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00" w:before="900"/>
        <w:jc w:val="center"/>
      </w:pPr>
      <w:r>
        <w:rPr>
          <w:rFonts w:ascii="Times New Roman" w:hAnsi="Times New Roman"/>
          <w:b/>
          <w:color w:val="172C3C"/>
          <w:sz w:val="22"/>
        </w:rPr>
        <w:t>A BILL</w:t>
      </w:r>
    </w:p>
    <w:p>
      <w:pPr>
        <w:spacing w:after="240"/>
        <w:jc w:val="center"/>
      </w:pPr>
      <w:r>
        <w:rPr>
          <w:rFonts w:ascii="Times New Roman" w:hAnsi="Times New Roman"/>
          <w:b/>
          <w:color w:val="172C3C"/>
          <w:sz w:val="50"/>
        </w:rPr>
        <w:t>SPACE ACT OF 2026</w:t>
      </w:r>
    </w:p>
    <w:p>
      <w:pPr>
        <w:spacing w:after="480"/>
        <w:jc w:val="center"/>
      </w:pPr>
      <w:r>
        <w:rPr>
          <w:i/>
          <w:sz w:val="26"/>
        </w:rPr>
        <w:t>Scientific Progress, Autonomy, Capacity, and Exploration Act</w:t>
      </w:r>
    </w:p>
    <w:p>
      <w:pPr>
        <w:spacing w:after="340" w:before="80"/>
        <w:jc w:val="center"/>
      </w:pPr>
      <w:r>
        <w:rPr>
          <w:b w:val="0"/>
          <w:i w:val="0"/>
        </w:rPr>
        <w:t>A comprehensive Federal science, research, engineering, and human exploration framework</w:t>
      </w:r>
    </w:p>
    <w:p>
      <w:pPr>
        <w:spacing w:after="360"/>
        <w:jc w:val="center"/>
      </w:pPr>
      <w:r>
        <w:rPr>
          <w:b/>
          <w:i w:val="0"/>
        </w:rPr>
        <w:t>39 STATUTORY TITLES  |  445 SECTIONS  |  11 ANNEXES</w:t>
      </w:r>
    </w:p>
    <w:p>
      <w:pPr>
        <w:spacing w:after="80"/>
        <w:jc w:val="center"/>
      </w:pPr>
      <w:r>
        <w:rPr>
          <w:b/>
          <w:i w:val="0"/>
          <w:color w:val="172C3C"/>
          <w:sz w:val="40"/>
        </w:rPr>
        <w:t>$309,748,000,000</w:t>
      </w:r>
    </w:p>
    <w:p>
      <w:pPr>
        <w:spacing w:after="440"/>
        <w:jc w:val="center"/>
      </w:pPr>
      <w:r>
        <w:rPr>
          <w:b w:val="0"/>
          <w:i/>
        </w:rPr>
        <w:t>Permanent annual program budget authority in fiscal year 2025 purchasing power</w:t>
      </w:r>
    </w:p>
    <w:p>
      <w:pPr>
        <w:spacing w:after="560"/>
        <w:jc w:val="center"/>
      </w:pPr>
      <w:r>
        <w:rPr>
          <w:b w:val="0"/>
          <w:i w:val="0"/>
        </w:rPr>
        <w:t>Federal legislative-counsel model  •  October 2026</w:t>
      </w:r>
    </w:p>
    <w:p>
      <w:pPr>
        <w:jc w:val="both"/>
      </w:pPr>
      <w:r>
        <w:rPr>
          <w:b w:val="0"/>
          <w:i w:val="0"/>
        </w:rPr>
        <w:t>To establish enduring scientific and technological capacity across the United States and through lawful international cooperation; provide guaranteed NASA and DARPA mission appropriations; expand basic research, scientific infrastructure, personnel, high-risk experimentation, and long-horizon exploration; protect civil liberties and scientific integrity; create independent audit and fiscal stewardship; and preserve scientific opportunity for future generations.</w:t>
      </w:r>
    </w:p>
    <w:p>
      <w:r>
        <w:br w:type="page"/>
      </w:r>
    </w:p>
    <w:p>
      <w:pPr>
        <w:pStyle w:val="Heading1"/>
      </w:pPr>
      <w:r>
        <w:t>LEGISLATIVE COUNSEL DIGEST</w:t>
      </w:r>
    </w:p>
    <w:p>
      <w:r>
        <w:rPr>
          <w:b w:val="0"/>
          <w:i w:val="0"/>
        </w:rPr>
        <w:t>The SPACE Act is a single integrated statutory funding, scientific governance, capital delivery, research workforce, technological development, and intergenerational stewardship framework. Its full annual appropriation is set directly in law rather than described as a future funding target.</w:t>
      </w:r>
    </w:p>
    <w:p>
      <w:pPr>
        <w:pStyle w:val="Heading2"/>
      </w:pPr>
      <w:r>
        <w:t>Permanent annual funding</w:t>
      </w:r>
    </w:p>
    <w:tbl>
      <w:tblPr>
        <w:tblStyle w:val="TableGrid"/>
        <w:tblW w:type="auto" w:w="0"/>
        <w:jc w:val="center"/>
        <w:tblLayout w:type="fixed"/>
        <w:tblLook w:firstColumn="1" w:firstRow="1" w:lastColumn="0" w:lastRow="0" w:noHBand="0" w:noVBand="1" w:val="04A0"/>
      </w:tblPr>
      <w:tblGrid>
        <w:gridCol w:w="4925"/>
        <w:gridCol w:w="4925"/>
      </w:tblGrid>
      <w:tr>
        <w:trPr>
          <w:tblHeader w:val="true"/>
          <w:cantSplit/>
        </w:trPr>
        <w:tc>
          <w:tcPr>
            <w:tcW w:type="dxa" w:w="6557"/>
            <w:shd w:fill="E8EBED"/>
          </w:tcPr>
          <w:p>
            <w:pPr>
              <w:spacing w:after="0"/>
            </w:pPr>
            <w:r>
              <w:rPr>
                <w:rFonts w:ascii="Times New Roman" w:hAnsi="Times New Roman"/>
                <w:b/>
                <w:color w:val="172C3C"/>
                <w:sz w:val="16"/>
              </w:rPr>
              <w:t>Statutory account</w:t>
            </w:r>
          </w:p>
        </w:tc>
        <w:tc>
          <w:tcPr>
            <w:tcW w:type="dxa" w:w="3278"/>
            <w:shd w:fill="E8EBED"/>
          </w:tcPr>
          <w:p>
            <w:pPr>
              <w:spacing w:after="0"/>
            </w:pPr>
            <w:r>
              <w:rPr>
                <w:rFonts w:ascii="Times New Roman" w:hAnsi="Times New Roman"/>
                <w:b/>
                <w:color w:val="172C3C"/>
                <w:sz w:val="16"/>
              </w:rPr>
              <w:t>FY2025 real annual budget authority</w:t>
            </w:r>
          </w:p>
        </w:tc>
      </w:tr>
      <w:tr>
        <w:trPr>
          <w:cantSplit/>
        </w:trPr>
        <w:tc>
          <w:tcPr>
            <w:tcW w:type="dxa" w:w="6557"/>
            <w:vAlign w:val="center"/>
          </w:tcPr>
          <w:p>
            <w:pPr>
              <w:spacing w:after="0" w:before="0"/>
            </w:pPr>
            <w:r>
              <w:rPr>
                <w:rFonts w:ascii="Times New Roman" w:hAnsi="Times New Roman"/>
                <w:color w:val="14191C"/>
                <w:sz w:val="16"/>
              </w:rPr>
              <w:t>Nasa Program Account</w:t>
            </w:r>
          </w:p>
        </w:tc>
        <w:tc>
          <w:tcPr>
            <w:tcW w:type="dxa" w:w="3278"/>
            <w:vAlign w:val="center"/>
          </w:tcPr>
          <w:p>
            <w:pPr>
              <w:spacing w:after="0" w:before="0"/>
            </w:pPr>
            <w:r>
              <w:rPr>
                <w:rFonts w:ascii="Times New Roman" w:hAnsi="Times New Roman"/>
                <w:color w:val="14191C"/>
                <w:sz w:val="16"/>
              </w:rPr>
              <w:t>$149.028 billion</w:t>
            </w:r>
          </w:p>
        </w:tc>
      </w:tr>
      <w:tr>
        <w:trPr>
          <w:cantSplit/>
        </w:trPr>
        <w:tc>
          <w:tcPr>
            <w:tcW w:type="dxa" w:w="6557"/>
            <w:vAlign w:val="center"/>
          </w:tcPr>
          <w:p>
            <w:pPr>
              <w:spacing w:after="0" w:before="0"/>
            </w:pPr>
            <w:r>
              <w:rPr>
                <w:rFonts w:ascii="Times New Roman" w:hAnsi="Times New Roman"/>
                <w:color w:val="14191C"/>
                <w:sz w:val="16"/>
              </w:rPr>
              <w:t>Darpa Frontier Research Account</w:t>
            </w:r>
          </w:p>
        </w:tc>
        <w:tc>
          <w:tcPr>
            <w:tcW w:type="dxa" w:w="3278"/>
            <w:vAlign w:val="center"/>
          </w:tcPr>
          <w:p>
            <w:pPr>
              <w:spacing w:after="0" w:before="0"/>
            </w:pPr>
            <w:r>
              <w:rPr>
                <w:rFonts w:ascii="Times New Roman" w:hAnsi="Times New Roman"/>
                <w:color w:val="14191C"/>
                <w:sz w:val="16"/>
              </w:rPr>
              <w:t>$24.875 billion</w:t>
            </w:r>
          </w:p>
        </w:tc>
      </w:tr>
      <w:tr>
        <w:trPr>
          <w:cantSplit/>
        </w:trPr>
        <w:tc>
          <w:tcPr>
            <w:tcW w:type="dxa" w:w="6557"/>
            <w:vAlign w:val="center"/>
          </w:tcPr>
          <w:p>
            <w:pPr>
              <w:spacing w:after="0" w:before="0"/>
            </w:pPr>
            <w:r>
              <w:rPr>
                <w:rFonts w:ascii="Times New Roman" w:hAnsi="Times New Roman"/>
                <w:color w:val="14191C"/>
                <w:sz w:val="16"/>
              </w:rPr>
              <w:t>National Frontier Science Network</w:t>
            </w:r>
          </w:p>
        </w:tc>
        <w:tc>
          <w:tcPr>
            <w:tcW w:type="dxa" w:w="3278"/>
            <w:vAlign w:val="center"/>
          </w:tcPr>
          <w:p>
            <w:pPr>
              <w:spacing w:after="0" w:before="0"/>
            </w:pPr>
            <w:r>
              <w:rPr>
                <w:rFonts w:ascii="Times New Roman" w:hAnsi="Times New Roman"/>
                <w:color w:val="14191C"/>
                <w:sz w:val="16"/>
              </w:rPr>
              <w:t>$49.845 billion</w:t>
            </w:r>
          </w:p>
        </w:tc>
      </w:tr>
      <w:tr>
        <w:trPr>
          <w:cantSplit/>
        </w:trPr>
        <w:tc>
          <w:tcPr>
            <w:tcW w:type="dxa" w:w="6557"/>
            <w:vAlign w:val="center"/>
          </w:tcPr>
          <w:p>
            <w:pPr>
              <w:spacing w:after="0" w:before="0"/>
            </w:pPr>
            <w:r>
              <w:rPr>
                <w:rFonts w:ascii="Times New Roman" w:hAnsi="Times New Roman"/>
                <w:color w:val="14191C"/>
                <w:sz w:val="16"/>
              </w:rPr>
              <w:t>Scientific Infrastructure And Capital Renewal</w:t>
            </w:r>
          </w:p>
        </w:tc>
        <w:tc>
          <w:tcPr>
            <w:tcW w:type="dxa" w:w="3278"/>
            <w:vAlign w:val="center"/>
          </w:tcPr>
          <w:p>
            <w:pPr>
              <w:spacing w:after="0" w:before="0"/>
            </w:pPr>
            <w:r>
              <w:rPr>
                <w:rFonts w:ascii="Times New Roman" w:hAnsi="Times New Roman"/>
                <w:color w:val="14191C"/>
                <w:sz w:val="16"/>
              </w:rPr>
              <w:t>$30.000 billion</w:t>
            </w:r>
          </w:p>
        </w:tc>
      </w:tr>
      <w:tr>
        <w:trPr>
          <w:cantSplit/>
        </w:trPr>
        <w:tc>
          <w:tcPr>
            <w:tcW w:type="dxa" w:w="6557"/>
            <w:vAlign w:val="center"/>
          </w:tcPr>
          <w:p>
            <w:pPr>
              <w:spacing w:after="0" w:before="0"/>
            </w:pPr>
            <w:r>
              <w:rPr>
                <w:rFonts w:ascii="Times New Roman" w:hAnsi="Times New Roman"/>
                <w:color w:val="14191C"/>
                <w:sz w:val="16"/>
              </w:rPr>
              <w:t>Workforce, Education, And Talent</w:t>
            </w:r>
          </w:p>
        </w:tc>
        <w:tc>
          <w:tcPr>
            <w:tcW w:type="dxa" w:w="3278"/>
            <w:vAlign w:val="center"/>
          </w:tcPr>
          <w:p>
            <w:pPr>
              <w:spacing w:after="0" w:before="0"/>
            </w:pPr>
            <w:r>
              <w:rPr>
                <w:rFonts w:ascii="Times New Roman" w:hAnsi="Times New Roman"/>
                <w:color w:val="14191C"/>
                <w:sz w:val="16"/>
              </w:rPr>
              <w:t>$20.000 billion</w:t>
            </w:r>
          </w:p>
        </w:tc>
      </w:tr>
      <w:tr>
        <w:trPr>
          <w:cantSplit/>
        </w:trPr>
        <w:tc>
          <w:tcPr>
            <w:tcW w:type="dxa" w:w="6557"/>
            <w:vAlign w:val="center"/>
          </w:tcPr>
          <w:p>
            <w:pPr>
              <w:spacing w:after="0" w:before="0"/>
            </w:pPr>
            <w:r>
              <w:rPr>
                <w:rFonts w:ascii="Times New Roman" w:hAnsi="Times New Roman"/>
                <w:color w:val="14191C"/>
                <w:sz w:val="16"/>
              </w:rPr>
              <w:t>Grand Challenges And Far-Horizon Research</w:t>
            </w:r>
          </w:p>
        </w:tc>
        <w:tc>
          <w:tcPr>
            <w:tcW w:type="dxa" w:w="3278"/>
            <w:vAlign w:val="center"/>
          </w:tcPr>
          <w:p>
            <w:pPr>
              <w:spacing w:after="0" w:before="0"/>
            </w:pPr>
            <w:r>
              <w:rPr>
                <w:rFonts w:ascii="Times New Roman" w:hAnsi="Times New Roman"/>
                <w:color w:val="14191C"/>
                <w:sz w:val="16"/>
              </w:rPr>
              <w:t>$20.000 billion</w:t>
            </w:r>
          </w:p>
        </w:tc>
      </w:tr>
      <w:tr>
        <w:trPr>
          <w:cantSplit/>
        </w:trPr>
        <w:tc>
          <w:tcPr>
            <w:tcW w:type="dxa" w:w="6557"/>
            <w:vAlign w:val="center"/>
          </w:tcPr>
          <w:p>
            <w:pPr>
              <w:spacing w:after="0" w:before="0"/>
            </w:pPr>
            <w:r>
              <w:rPr>
                <w:rFonts w:ascii="Times New Roman" w:hAnsi="Times New Roman"/>
                <w:color w:val="14191C"/>
                <w:sz w:val="16"/>
              </w:rPr>
              <w:t>International Cooperative Science</w:t>
            </w:r>
          </w:p>
        </w:tc>
        <w:tc>
          <w:tcPr>
            <w:tcW w:type="dxa" w:w="3278"/>
            <w:vAlign w:val="center"/>
          </w:tcPr>
          <w:p>
            <w:pPr>
              <w:spacing w:after="0" w:before="0"/>
            </w:pPr>
            <w:r>
              <w:rPr>
                <w:rFonts w:ascii="Times New Roman" w:hAnsi="Times New Roman"/>
                <w:color w:val="14191C"/>
                <w:sz w:val="16"/>
              </w:rPr>
              <w:t>$10.000 billion</w:t>
            </w:r>
          </w:p>
        </w:tc>
      </w:tr>
      <w:tr>
        <w:trPr>
          <w:cantSplit/>
        </w:trPr>
        <w:tc>
          <w:tcPr>
            <w:tcW w:type="dxa" w:w="6557"/>
            <w:vAlign w:val="center"/>
          </w:tcPr>
          <w:p>
            <w:pPr>
              <w:spacing w:after="0" w:before="0"/>
            </w:pPr>
            <w:r>
              <w:rPr>
                <w:rFonts w:ascii="Times New Roman" w:hAnsi="Times New Roman"/>
                <w:color w:val="14191C"/>
                <w:sz w:val="16"/>
              </w:rPr>
              <w:t>Safety, Security, Oversight, And Continuity</w:t>
            </w:r>
          </w:p>
        </w:tc>
        <w:tc>
          <w:tcPr>
            <w:tcW w:type="dxa" w:w="3278"/>
            <w:vAlign w:val="center"/>
          </w:tcPr>
          <w:p>
            <w:pPr>
              <w:spacing w:after="0" w:before="0"/>
            </w:pPr>
            <w:r>
              <w:rPr>
                <w:rFonts w:ascii="Times New Roman" w:hAnsi="Times New Roman"/>
                <w:color w:val="14191C"/>
                <w:sz w:val="16"/>
              </w:rPr>
              <w:t>$6.000 billion</w:t>
            </w:r>
          </w:p>
        </w:tc>
      </w:tr>
      <w:tr>
        <w:trPr>
          <w:cantSplit/>
        </w:trPr>
        <w:tc>
          <w:tcPr>
            <w:tcW w:type="dxa" w:w="6557"/>
            <w:vAlign w:val="center"/>
          </w:tcPr>
          <w:p>
            <w:pPr>
              <w:spacing w:after="0" w:before="0"/>
            </w:pPr>
            <w:r>
              <w:rPr>
                <w:rFonts w:ascii="Times New Roman" w:hAnsi="Times New Roman"/>
                <w:color w:val="14191C"/>
                <w:sz w:val="16"/>
              </w:rPr>
              <w:t>TOTAL</w:t>
            </w:r>
          </w:p>
        </w:tc>
        <w:tc>
          <w:tcPr>
            <w:tcW w:type="dxa" w:w="3278"/>
            <w:vAlign w:val="center"/>
          </w:tcPr>
          <w:p>
            <w:pPr>
              <w:spacing w:after="0" w:before="0"/>
            </w:pPr>
            <w:r>
              <w:rPr>
                <w:rFonts w:ascii="Times New Roman" w:hAnsi="Times New Roman"/>
                <w:color w:val="14191C"/>
                <w:sz w:val="16"/>
              </w:rPr>
              <w:t>$309.748 billion</w:t>
            </w:r>
          </w:p>
        </w:tc>
      </w:tr>
    </w:tbl>
    <w:p>
      <w:pPr>
        <w:spacing w:after="20"/>
      </w:pPr>
    </w:p>
    <w:p>
      <w:r>
        <w:rPr>
          <w:b w:val="0"/>
          <w:i w:val="0"/>
        </w:rPr>
        <w:t>NASA receives $149.028 billion and DARPA receives $24.875 billion. Together these amounts provide at least six times each institution’s regular or enacted fiscal year 2025 scientific appropriation, using the correct primary-source baselines. The remaining $135.845 billion finances the enabling science system rather than merely expanding headquarters or a single flagship mission.</w:t>
      </w:r>
    </w:p>
    <w:p>
      <w:pPr>
        <w:pStyle w:val="Heading2"/>
      </w:pPr>
      <w:r>
        <w:t>Critical legal and practical characteristics</w:t>
      </w:r>
    </w:p>
    <w:p>
      <w:pPr>
        <w:ind w:left="346" w:hanging="202"/>
      </w:pPr>
      <w:r>
        <w:rPr>
          <w:b/>
        </w:rPr>
        <w:t xml:space="preserve">•  </w:t>
      </w:r>
      <w:r>
        <w:t>The Treasury provides a permanent general-fund appropriation to reach the full statutory amount; qualifying regular NASA and DARPA funding is counted once and the other accounts are supplemental. Dedicated financial-transactions and stock-repurchase receipts reduce the Treasury transfer, but no unsupported deficit-neutrality claim is made.</w:t>
      </w:r>
    </w:p>
    <w:p>
      <w:pPr>
        <w:ind w:left="346" w:hanging="202"/>
      </w:pPr>
      <w:r>
        <w:rPr>
          <w:b/>
        </w:rPr>
        <w:t xml:space="preserve">•  </w:t>
      </w:r>
      <w:r>
        <w:t>Technical autonomy protects scientific conclusions, expert peer review, independent safety findings, program-manager judgment and publication of lawful fundamental research. Executive mission-setting, Congressional control, environmental law, safety and civil rights remain fully applicable.</w:t>
      </w:r>
    </w:p>
    <w:p>
      <w:pPr>
        <w:ind w:left="346" w:hanging="202"/>
      </w:pPr>
      <w:r>
        <w:rPr>
          <w:b/>
        </w:rPr>
        <w:t xml:space="preserve">•  </w:t>
      </w:r>
      <w:r>
        <w:t>Large infrastructure and engineering projects must pass readiness, scientific-value, cost, safety, workforce, utility, environmental and lifecycle operations reviews before major obligations are made. Unready funds remain legally available for future authorized work.</w:t>
      </w:r>
    </w:p>
    <w:p>
      <w:pPr>
        <w:ind w:left="346" w:hanging="202"/>
      </w:pPr>
      <w:r>
        <w:rPr>
          <w:b/>
        </w:rPr>
        <w:t xml:space="preserve">•  </w:t>
      </w:r>
      <w:r>
        <w:t>The Act finances tenured scientific competence as well as technicians, apprentices, precision manufacturing, scientific computing, procurement officers, field operations, independent safety review, maintenance and archives.</w:t>
      </w:r>
    </w:p>
    <w:p>
      <w:pPr>
        <w:ind w:left="346" w:hanging="202"/>
      </w:pPr>
      <w:r>
        <w:rPr>
          <w:b/>
        </w:rPr>
        <w:t xml:space="preserve">•  </w:t>
      </w:r>
      <w:r>
        <w:t>A target endowment of 50 times the annual authority ($15.4874 trillion in FY2025 purchasing power) and 30 months of protected NASA/DARPA liquidity are explicitly long-term capitalization targets, not assets the legislation falsely claims to already own.</w:t>
      </w:r>
    </w:p>
    <w:p>
      <w:pPr>
        <w:ind w:left="346" w:hanging="202"/>
      </w:pPr>
      <w:r>
        <w:rPr>
          <w:b/>
        </w:rPr>
        <w:t xml:space="preserve">•  </w:t>
      </w:r>
      <w:r>
        <w:t>The international model enables shared peaceful scientific programs and facilities while preserving sovereign taxation, military, policing, lawmaking, treaty processes and domestic civil liberties.</w:t>
      </w:r>
    </w:p>
    <w:p>
      <w:pPr>
        <w:pStyle w:val="Heading2"/>
      </w:pPr>
      <w:r>
        <w:t>How to read the package</w:t>
      </w:r>
    </w:p>
    <w:p>
      <w:r>
        <w:rPr>
          <w:b w:val="0"/>
          <w:i w:val="0"/>
        </w:rPr>
        <w:t>The numbered statutory sections are the operative model bill. Annexes A–K provide the evidence register, fiscal methodology, implementation, scientific roadmap, constitutional analysis, model global convention, model national adoption law, stakeholder review, commentary, FAQ, and quality audit. Annex commentary is explanatory rather than independently enforceable.</w:t>
      </w:r>
    </w:p>
    <w:p>
      <w:r>
        <w:br w:type="page"/>
      </w:r>
    </w:p>
    <w:p>
      <w:pPr>
        <w:pStyle w:val="Heading1"/>
      </w:pPr>
      <w:r>
        <w:t>TABLE OF CONTENTS</w:t>
      </w:r>
    </w:p>
    <w:p>
      <w:pPr>
        <w:spacing w:after="100"/>
      </w:pPr>
      <w:r>
        <w:rPr>
          <w:b/>
          <w:i w:val="0"/>
        </w:rPr>
        <w:t>LEGISLATIVE TEXT AND SUPPORTING ANNEXES</w:t>
      </w:r>
    </w:p>
    <w:tbl>
      <w:tblPr>
        <w:tblW w:type="auto" w:w="0"/>
        <w:tblLayout w:type="fixed"/>
        <w:tblLook w:firstColumn="1" w:firstRow="1" w:lastColumn="0" w:lastRow="0" w:noHBand="0" w:noVBand="1" w:val="04A0"/>
      </w:tblPr>
      <w:tblGrid>
        <w:gridCol w:w="4925"/>
        <w:gridCol w:w="4925"/>
      </w:tblGrid>
      <w:tr>
        <w:tc>
          <w:tcPr>
            <w:tcW w:type="dxa" w:w="4838"/>
          </w:tcPr>
          <w:p>
            <w:pPr>
              <w:spacing w:after="5" w:line="240" w:lineRule="auto"/>
            </w:pPr>
            <w:r>
              <w:rPr>
                <w:rFonts w:ascii="Times New Roman" w:hAnsi="Times New Roman"/>
                <w:b w:val="0"/>
                <w:sz w:val="16"/>
              </w:rPr>
              <w:t>TITLE I — GENERAL PROVISIONS, PURPOSES, FINDINGS, AND DEFINITIONS</w:t>
            </w:r>
          </w:p>
        </w:tc>
        <w:tc>
          <w:tcPr>
            <w:tcW w:type="dxa" w:w="4838"/>
          </w:tcPr>
          <w:p>
            <w:pPr>
              <w:spacing w:after="5" w:line="240" w:lineRule="auto"/>
            </w:pPr>
            <w:r>
              <w:rPr>
                <w:rFonts w:ascii="Times New Roman" w:hAnsi="Times New Roman"/>
                <w:b w:val="0"/>
                <w:sz w:val="16"/>
              </w:rPr>
              <w:t>TITLE XXVI — SAFETY, ETHICS, CIVIL LIBERTIES, RESEARCH SECURITY, AND DUAL-USE GOVERNANCE</w:t>
            </w:r>
          </w:p>
        </w:tc>
      </w:tr>
      <w:tr>
        <w:tc>
          <w:tcPr>
            <w:tcW w:type="dxa" w:w="4838"/>
          </w:tcPr>
          <w:p>
            <w:pPr>
              <w:spacing w:after="5" w:line="240" w:lineRule="auto"/>
            </w:pPr>
            <w:r>
              <w:rPr>
                <w:rFonts w:ascii="Times New Roman" w:hAnsi="Times New Roman"/>
                <w:b w:val="0"/>
                <w:sz w:val="16"/>
              </w:rPr>
              <w:t>TITLE II — NATIONAL SCIENCE AND EXPLORATION FUNDING COMPACT</w:t>
            </w:r>
          </w:p>
        </w:tc>
        <w:tc>
          <w:tcPr>
            <w:tcW w:type="dxa" w:w="4838"/>
          </w:tcPr>
          <w:p>
            <w:pPr>
              <w:spacing w:after="5" w:line="240" w:lineRule="auto"/>
            </w:pPr>
            <w:r>
              <w:rPr>
                <w:rFonts w:ascii="Times New Roman" w:hAnsi="Times New Roman"/>
                <w:b w:val="0"/>
                <w:sz w:val="16"/>
              </w:rPr>
              <w:t>TITLE XXVII — REGIONAL SCIENCE CAPACITY, SMALL BUSINESS, AND LOCAL INFRASTRUCTURE</w:t>
            </w:r>
          </w:p>
        </w:tc>
      </w:tr>
      <w:tr>
        <w:tc>
          <w:tcPr>
            <w:tcW w:type="dxa" w:w="4838"/>
          </w:tcPr>
          <w:p>
            <w:pPr>
              <w:spacing w:after="5" w:line="240" w:lineRule="auto"/>
            </w:pPr>
            <w:r>
              <w:rPr>
                <w:rFonts w:ascii="Times New Roman" w:hAnsi="Times New Roman"/>
                <w:b w:val="0"/>
                <w:sz w:val="16"/>
              </w:rPr>
              <w:t>TITLE III — SCIENTIFIC AUTONOMY, RESEARCH FREEDOM, AND INSTITUTIONAL GOVERNANCE</w:t>
            </w:r>
          </w:p>
        </w:tc>
        <w:tc>
          <w:tcPr>
            <w:tcW w:type="dxa" w:w="4838"/>
          </w:tcPr>
          <w:p>
            <w:pPr>
              <w:spacing w:after="5" w:line="240" w:lineRule="auto"/>
            </w:pPr>
            <w:r>
              <w:rPr>
                <w:rFonts w:ascii="Times New Roman" w:hAnsi="Times New Roman"/>
                <w:b w:val="0"/>
                <w:sz w:val="16"/>
              </w:rPr>
              <w:t>TITLE XXVIII — INTERNATIONAL SPACE COMPACT AND GLOBAL ADOPTION</w:t>
            </w:r>
          </w:p>
        </w:tc>
      </w:tr>
      <w:tr>
        <w:tc>
          <w:tcPr>
            <w:tcW w:type="dxa" w:w="4838"/>
          </w:tcPr>
          <w:p>
            <w:pPr>
              <w:spacing w:after="5" w:line="240" w:lineRule="auto"/>
            </w:pPr>
            <w:r>
              <w:rPr>
                <w:rFonts w:ascii="Times New Roman" w:hAnsi="Times New Roman"/>
                <w:b w:val="0"/>
                <w:sz w:val="16"/>
              </w:rPr>
              <w:t>TITLE IV — SPACE FUTURE FUND AND INTERGENERATIONAL FINANCE</w:t>
            </w:r>
          </w:p>
        </w:tc>
        <w:tc>
          <w:tcPr>
            <w:tcW w:type="dxa" w:w="4838"/>
          </w:tcPr>
          <w:p>
            <w:pPr>
              <w:spacing w:after="5" w:line="240" w:lineRule="auto"/>
            </w:pPr>
            <w:r>
              <w:rPr>
                <w:rFonts w:ascii="Times New Roman" w:hAnsi="Times New Roman"/>
                <w:b w:val="0"/>
                <w:sz w:val="16"/>
              </w:rPr>
              <w:t>TITLE XXIX — OVERSIGHT, AUDIT, PERFORMANCE, TRANSPARENCY, AND ANTI-CAPTURE</w:t>
            </w:r>
          </w:p>
        </w:tc>
      </w:tr>
      <w:tr>
        <w:tc>
          <w:tcPr>
            <w:tcW w:type="dxa" w:w="4838"/>
          </w:tcPr>
          <w:p>
            <w:pPr>
              <w:spacing w:after="5" w:line="240" w:lineRule="auto"/>
            </w:pPr>
            <w:r>
              <w:rPr>
                <w:rFonts w:ascii="Times New Roman" w:hAnsi="Times New Roman"/>
                <w:b w:val="0"/>
                <w:sz w:val="16"/>
              </w:rPr>
              <w:t>TITLE V — NATIONAL SCIENTIFIC INFRASTRUCTURE AUTHORITY AND RESEARCH ENVIRONMENTS</w:t>
            </w:r>
          </w:p>
        </w:tc>
        <w:tc>
          <w:tcPr>
            <w:tcW w:type="dxa" w:w="4838"/>
          </w:tcPr>
          <w:p>
            <w:pPr>
              <w:spacing w:after="5" w:line="240" w:lineRule="auto"/>
            </w:pPr>
            <w:r>
              <w:rPr>
                <w:rFonts w:ascii="Times New Roman" w:hAnsi="Times New Roman"/>
                <w:b w:val="0"/>
                <w:sz w:val="16"/>
              </w:rPr>
              <w:t>TITLE XXX — IMPLEMENTATION, ADAPTIVE GOVERNANCE, CONTINUITY, AND LONG-HORIZON PLANNING</w:t>
            </w:r>
          </w:p>
        </w:tc>
      </w:tr>
      <w:tr>
        <w:tc>
          <w:tcPr>
            <w:tcW w:type="dxa" w:w="4838"/>
          </w:tcPr>
          <w:p>
            <w:pPr>
              <w:spacing w:after="5" w:line="240" w:lineRule="auto"/>
            </w:pPr>
            <w:r>
              <w:rPr>
                <w:rFonts w:ascii="Times New Roman" w:hAnsi="Times New Roman"/>
                <w:b w:val="0"/>
                <w:sz w:val="16"/>
              </w:rPr>
              <w:t>TITLE VI — NASA CAPACITY, SCIENCE, EXPLORATION, AND AERONAUTICS</w:t>
            </w:r>
          </w:p>
        </w:tc>
        <w:tc>
          <w:tcPr>
            <w:tcW w:type="dxa" w:w="4838"/>
          </w:tcPr>
          <w:p>
            <w:pPr>
              <w:spacing w:after="5" w:line="240" w:lineRule="auto"/>
            </w:pPr>
            <w:r>
              <w:rPr>
                <w:rFonts w:ascii="Times New Roman" w:hAnsi="Times New Roman"/>
                <w:b w:val="0"/>
                <w:sz w:val="16"/>
              </w:rPr>
              <w:t>TITLE XXXI — CONSOLIDATED APPROPRIATIONS SCHEDULE AND ALLOCATION CONTROL</w:t>
            </w:r>
          </w:p>
        </w:tc>
      </w:tr>
      <w:tr>
        <w:tc>
          <w:tcPr>
            <w:tcW w:type="dxa" w:w="4838"/>
          </w:tcPr>
          <w:p>
            <w:pPr>
              <w:spacing w:after="5" w:line="240" w:lineRule="auto"/>
            </w:pPr>
            <w:r>
              <w:rPr>
                <w:rFonts w:ascii="Times New Roman" w:hAnsi="Times New Roman"/>
                <w:b w:val="0"/>
                <w:sz w:val="16"/>
              </w:rPr>
              <w:t>TITLE VII — DARPA CAPACITY AND HIGH-RISK RESEARCH</w:t>
            </w:r>
          </w:p>
        </w:tc>
        <w:tc>
          <w:tcPr>
            <w:tcW w:type="dxa" w:w="4838"/>
          </w:tcPr>
          <w:p>
            <w:pPr>
              <w:spacing w:after="5" w:line="240" w:lineRule="auto"/>
            </w:pPr>
            <w:r>
              <w:rPr>
                <w:rFonts w:ascii="Times New Roman" w:hAnsi="Times New Roman"/>
                <w:b w:val="0"/>
                <w:sz w:val="16"/>
              </w:rPr>
              <w:t>TITLE XXXII — CAPITAL PROJECT READINESS, SCIENTIFIC FACILITIES, AND DELIVERY ASSURANCE</w:t>
            </w:r>
          </w:p>
        </w:tc>
      </w:tr>
      <w:tr>
        <w:tc>
          <w:tcPr>
            <w:tcW w:type="dxa" w:w="4838"/>
          </w:tcPr>
          <w:p>
            <w:pPr>
              <w:spacing w:after="5" w:line="240" w:lineRule="auto"/>
            </w:pPr>
            <w:r>
              <w:rPr>
                <w:rFonts w:ascii="Times New Roman" w:hAnsi="Times New Roman"/>
                <w:b w:val="0"/>
                <w:sz w:val="16"/>
              </w:rPr>
              <w:t>TITLE VIII — FEDERAL FRONTIER SCIENCE NETWORK</w:t>
            </w:r>
          </w:p>
        </w:tc>
        <w:tc>
          <w:tcPr>
            <w:tcW w:type="dxa" w:w="4838"/>
          </w:tcPr>
          <w:p>
            <w:pPr>
              <w:spacing w:after="5" w:line="240" w:lineRule="auto"/>
            </w:pPr>
            <w:r>
              <w:rPr>
                <w:rFonts w:ascii="Times New Roman" w:hAnsi="Times New Roman"/>
                <w:b w:val="0"/>
                <w:sz w:val="16"/>
              </w:rPr>
              <w:t>TITLE XXXIII — SCIENTIFIC HUMAN CAPITAL, PROFESSIONAL DEVELOPMENT, AND INSTITUTIONAL ABSORPTION</w:t>
            </w:r>
          </w:p>
        </w:tc>
      </w:tr>
      <w:tr>
        <w:tc>
          <w:tcPr>
            <w:tcW w:type="dxa" w:w="4838"/>
          </w:tcPr>
          <w:p>
            <w:pPr>
              <w:spacing w:after="5" w:line="240" w:lineRule="auto"/>
            </w:pPr>
            <w:r>
              <w:rPr>
                <w:rFonts w:ascii="Times New Roman" w:hAnsi="Times New Roman"/>
                <w:b w:val="0"/>
                <w:sz w:val="16"/>
              </w:rPr>
              <w:t>TITLE IX — FUNDAMENTAL SCIENCE, GRAND INSTRUMENTS, AND DISCOVERY</w:t>
            </w:r>
          </w:p>
        </w:tc>
        <w:tc>
          <w:tcPr>
            <w:tcW w:type="dxa" w:w="4838"/>
          </w:tcPr>
          <w:p>
            <w:pPr>
              <w:spacing w:after="5" w:line="240" w:lineRule="auto"/>
            </w:pPr>
            <w:r>
              <w:rPr>
                <w:rFonts w:ascii="Times New Roman" w:hAnsi="Times New Roman"/>
                <w:b w:val="0"/>
                <w:sz w:val="16"/>
              </w:rPr>
              <w:t>TITLE XXXIV — TECHNOLOGY MATURATION, INTEGRATED SYSTEMS ENGINEERING, AND FRONTIER DISCOVERY</w:t>
            </w:r>
          </w:p>
        </w:tc>
      </w:tr>
      <w:tr>
        <w:tc>
          <w:tcPr>
            <w:tcW w:type="dxa" w:w="4838"/>
          </w:tcPr>
          <w:p>
            <w:pPr>
              <w:spacing w:after="5" w:line="240" w:lineRule="auto"/>
            </w:pPr>
            <w:r>
              <w:rPr>
                <w:rFonts w:ascii="Times New Roman" w:hAnsi="Times New Roman"/>
                <w:b w:val="0"/>
                <w:sz w:val="16"/>
              </w:rPr>
              <w:t>TITLE X — GRAND CHALLENGES, MOONSHOTS, AND FAR-HORIZON RESEARCH</w:t>
            </w:r>
          </w:p>
        </w:tc>
        <w:tc>
          <w:tcPr>
            <w:tcW w:type="dxa" w:w="4838"/>
          </w:tcPr>
          <w:p>
            <w:pPr>
              <w:spacing w:after="5" w:line="240" w:lineRule="auto"/>
            </w:pPr>
            <w:r>
              <w:rPr>
                <w:rFonts w:ascii="Times New Roman" w:hAnsi="Times New Roman"/>
                <w:b w:val="0"/>
                <w:sz w:val="16"/>
              </w:rPr>
              <w:t>TITLE XXXV — PEACEFUL SPACE OPERATIONS, ORBITAL STEWARDSHIP, AND PLANETARY PROTECTION</w:t>
            </w:r>
          </w:p>
        </w:tc>
      </w:tr>
      <w:tr>
        <w:tc>
          <w:tcPr>
            <w:tcW w:type="dxa" w:w="4838"/>
          </w:tcPr>
          <w:p>
            <w:pPr>
              <w:spacing w:after="5" w:line="240" w:lineRule="auto"/>
            </w:pPr>
            <w:r>
              <w:rPr>
                <w:rFonts w:ascii="Times New Roman" w:hAnsi="Times New Roman"/>
                <w:b w:val="0"/>
                <w:sz w:val="16"/>
              </w:rPr>
              <w:t>TITLE XI — CISLUNAR, LUNAR, MARS, AND DEEP-SPACE SYSTEMS</w:t>
            </w:r>
          </w:p>
        </w:tc>
        <w:tc>
          <w:tcPr>
            <w:tcW w:type="dxa" w:w="4838"/>
          </w:tcPr>
          <w:p>
            <w:pPr>
              <w:spacing w:after="5" w:line="240" w:lineRule="auto"/>
            </w:pPr>
            <w:r>
              <w:rPr>
                <w:rFonts w:ascii="Times New Roman" w:hAnsi="Times New Roman"/>
                <w:b w:val="0"/>
                <w:sz w:val="16"/>
              </w:rPr>
              <w:t>TITLE XXXVI — INTERNATIONAL SCIENCE GOVERNANCE, COMMON FACILITIES, AND TREATY IMPLEMENTATION</w:t>
            </w:r>
          </w:p>
        </w:tc>
      </w:tr>
      <w:tr>
        <w:tc>
          <w:tcPr>
            <w:tcW w:type="dxa" w:w="4838"/>
          </w:tcPr>
          <w:p>
            <w:pPr>
              <w:spacing w:after="5" w:line="240" w:lineRule="auto"/>
            </w:pPr>
            <w:r>
              <w:rPr>
                <w:rFonts w:ascii="Times New Roman" w:hAnsi="Times New Roman"/>
                <w:b w:val="0"/>
                <w:sz w:val="16"/>
              </w:rPr>
              <w:t>TITLE XII — ASTRONOMY, ASTROPHYSICS, HELIOPHYSICS, AND PLANETARY SCIENCE</w:t>
            </w:r>
          </w:p>
        </w:tc>
        <w:tc>
          <w:tcPr>
            <w:tcW w:type="dxa" w:w="4838"/>
          </w:tcPr>
          <w:p>
            <w:pPr>
              <w:spacing w:after="5" w:line="240" w:lineRule="auto"/>
            </w:pPr>
            <w:r>
              <w:rPr>
                <w:rFonts w:ascii="Times New Roman" w:hAnsi="Times New Roman"/>
                <w:b w:val="0"/>
                <w:sz w:val="16"/>
              </w:rPr>
              <w:t>TITLE XXXVII — OPEN-SCIENCE SYSTEMS, DATA RIGHTS, RESPONSIBLE COMPUTING, AND ADVANCED TECHNOLOGY SAFETY</w:t>
            </w:r>
          </w:p>
        </w:tc>
      </w:tr>
      <w:tr>
        <w:tc>
          <w:tcPr>
            <w:tcW w:type="dxa" w:w="4838"/>
          </w:tcPr>
          <w:p>
            <w:pPr>
              <w:spacing w:after="5" w:line="240" w:lineRule="auto"/>
            </w:pPr>
            <w:r>
              <w:rPr>
                <w:rFonts w:ascii="Times New Roman" w:hAnsi="Times New Roman"/>
                <w:b w:val="0"/>
                <w:sz w:val="16"/>
              </w:rPr>
              <w:t>TITLE XIII — AERONAUTICS, ADVANCED MOBILITY, AND TRANSPORT</w:t>
            </w:r>
          </w:p>
        </w:tc>
        <w:tc>
          <w:tcPr>
            <w:tcW w:type="dxa" w:w="4838"/>
          </w:tcPr>
          <w:p>
            <w:pPr>
              <w:spacing w:after="5" w:line="240" w:lineRule="auto"/>
            </w:pPr>
            <w:r>
              <w:rPr>
                <w:rFonts w:ascii="Times New Roman" w:hAnsi="Times New Roman"/>
                <w:b w:val="0"/>
                <w:sz w:val="16"/>
              </w:rPr>
              <w:t>TITLE XXXVIII — INTERGENERATIONAL SCIENCE, PERPETUAL INSTITUTIONAL CAPACITY, AND CONTINUITY</w:t>
            </w:r>
          </w:p>
        </w:tc>
      </w:tr>
      <w:tr>
        <w:tc>
          <w:tcPr>
            <w:tcW w:type="dxa" w:w="4838"/>
          </w:tcPr>
          <w:p>
            <w:pPr>
              <w:spacing w:after="5" w:line="240" w:lineRule="auto"/>
            </w:pPr>
            <w:r>
              <w:rPr>
                <w:rFonts w:ascii="Times New Roman" w:hAnsi="Times New Roman"/>
                <w:b w:val="0"/>
                <w:sz w:val="16"/>
              </w:rPr>
              <w:t>TITLE XIV — COMPUTING, ARTIFICIAL INTELLIGENCE, QUANTUM, ROBOTICS, AND CYBER-PHYSICAL SYSTEMS</w:t>
            </w:r>
          </w:p>
        </w:tc>
        <w:tc>
          <w:tcPr>
            <w:tcW w:type="dxa" w:w="4838"/>
          </w:tcPr>
          <w:p>
            <w:pPr>
              <w:spacing w:after="5" w:line="240" w:lineRule="auto"/>
            </w:pPr>
            <w:r>
              <w:rPr>
                <w:rFonts w:ascii="Times New Roman" w:hAnsi="Times New Roman"/>
                <w:b w:val="0"/>
                <w:sz w:val="16"/>
              </w:rPr>
              <w:t>TITLE XXXIX — CONSTITUTIONAL AUTHORITY, JUDICIAL REVIEW, SEVERABILITY, AND EFFECTIVE DATES</w:t>
            </w:r>
          </w:p>
        </w:tc>
      </w:tr>
      <w:tr>
        <w:tc>
          <w:tcPr>
            <w:tcW w:type="dxa" w:w="4838"/>
          </w:tcPr>
          <w:p>
            <w:pPr>
              <w:spacing w:after="5" w:line="240" w:lineRule="auto"/>
            </w:pPr>
            <w:r>
              <w:rPr>
                <w:rFonts w:ascii="Times New Roman" w:hAnsi="Times New Roman"/>
                <w:b w:val="0"/>
                <w:sz w:val="16"/>
              </w:rPr>
              <w:t>TITLE XV — ENERGY, MATERIALS, MICROELECTRONICS, AND ADVANCED MANUFACTURING</w:t>
            </w:r>
          </w:p>
        </w:tc>
        <w:tc>
          <w:tcPr>
            <w:tcW w:type="dxa" w:w="4838"/>
          </w:tcPr>
          <w:p>
            <w:pPr>
              <w:spacing w:after="5" w:line="240" w:lineRule="auto"/>
            </w:pPr>
            <w:r>
              <w:rPr>
                <w:rFonts w:ascii="Times New Roman" w:hAnsi="Times New Roman"/>
                <w:b w:val="0"/>
                <w:sz w:val="16"/>
              </w:rPr>
              <w:t>ANNEX A — RESEARCH BASIS, VERIFICATION, AND INSTITUTIONAL DESIGN</w:t>
            </w:r>
          </w:p>
        </w:tc>
      </w:tr>
      <w:tr>
        <w:tc>
          <w:tcPr>
            <w:tcW w:type="dxa" w:w="4838"/>
          </w:tcPr>
          <w:p>
            <w:pPr>
              <w:spacing w:after="5" w:line="240" w:lineRule="auto"/>
            </w:pPr>
            <w:r>
              <w:rPr>
                <w:rFonts w:ascii="Times New Roman" w:hAnsi="Times New Roman"/>
                <w:b w:val="0"/>
                <w:sz w:val="16"/>
              </w:rPr>
              <w:t>TITLE XVI — BIOLOGY, BIOTECHNOLOGY, HUMAN PERFORMANCE, AND CLOSED-LOOP LIFE SUPPORT</w:t>
            </w:r>
          </w:p>
        </w:tc>
        <w:tc>
          <w:tcPr>
            <w:tcW w:type="dxa" w:w="4838"/>
          </w:tcPr>
          <w:p>
            <w:pPr>
              <w:spacing w:after="5" w:line="240" w:lineRule="auto"/>
            </w:pPr>
            <w:r>
              <w:rPr>
                <w:rFonts w:ascii="Times New Roman" w:hAnsi="Times New Roman"/>
                <w:b w:val="0"/>
                <w:sz w:val="16"/>
              </w:rPr>
              <w:t>ANNEX B — PRELIMINARY FISCAL NOTE, CASH FLOW, AND CAPITAL TARGETS</w:t>
            </w:r>
          </w:p>
        </w:tc>
      </w:tr>
      <w:tr>
        <w:tc>
          <w:tcPr>
            <w:tcW w:type="dxa" w:w="4838"/>
          </w:tcPr>
          <w:p>
            <w:pPr>
              <w:spacing w:after="5" w:line="240" w:lineRule="auto"/>
            </w:pPr>
            <w:r>
              <w:rPr>
                <w:rFonts w:ascii="Times New Roman" w:hAnsi="Times New Roman"/>
                <w:b w:val="0"/>
                <w:sz w:val="16"/>
              </w:rPr>
              <w:t>TITLE XVII — EARTH, OCEAN, ATMOSPHERIC, POLAR, AND ENVIRONMENTAL SCIENCE</w:t>
            </w:r>
          </w:p>
        </w:tc>
        <w:tc>
          <w:tcPr>
            <w:tcW w:type="dxa" w:w="4838"/>
          </w:tcPr>
          <w:p>
            <w:pPr>
              <w:spacing w:after="5" w:line="240" w:lineRule="auto"/>
            </w:pPr>
            <w:r>
              <w:rPr>
                <w:rFonts w:ascii="Times New Roman" w:hAnsi="Times New Roman"/>
                <w:b w:val="0"/>
                <w:sz w:val="16"/>
              </w:rPr>
              <w:t>ANNEX C — EXECUTION, WORKFORCE, AND CAPITAL DELIVERY ROADMAP</w:t>
            </w:r>
          </w:p>
        </w:tc>
      </w:tr>
      <w:tr>
        <w:tc>
          <w:tcPr>
            <w:tcW w:type="dxa" w:w="4838"/>
          </w:tcPr>
          <w:p>
            <w:pPr>
              <w:spacing w:after="5" w:line="240" w:lineRule="auto"/>
            </w:pPr>
            <w:r>
              <w:rPr>
                <w:rFonts w:ascii="Times New Roman" w:hAnsi="Times New Roman"/>
                <w:b w:val="0"/>
                <w:sz w:val="16"/>
              </w:rPr>
              <w:t>TITLE XVIII — PLANETARY DEFENSE, SPACE WEATHER, AND CATASTROPHIC-RISK SCIENCE</w:t>
            </w:r>
          </w:p>
        </w:tc>
        <w:tc>
          <w:tcPr>
            <w:tcW w:type="dxa" w:w="4838"/>
          </w:tcPr>
          <w:p>
            <w:pPr>
              <w:spacing w:after="5" w:line="240" w:lineRule="auto"/>
            </w:pPr>
            <w:r>
              <w:rPr>
                <w:rFonts w:ascii="Times New Roman" w:hAnsi="Times New Roman"/>
                <w:b w:val="0"/>
                <w:sz w:val="16"/>
              </w:rPr>
              <w:t>ANNEX D — SCIENTIFIC AND TECHNOLOGICAL MISSION ROADMAP</w:t>
            </w:r>
          </w:p>
        </w:tc>
      </w:tr>
      <w:tr>
        <w:tc>
          <w:tcPr>
            <w:tcW w:type="dxa" w:w="4838"/>
          </w:tcPr>
          <w:p>
            <w:pPr>
              <w:spacing w:after="5" w:line="240" w:lineRule="auto"/>
            </w:pPr>
            <w:r>
              <w:rPr>
                <w:rFonts w:ascii="Times New Roman" w:hAnsi="Times New Roman"/>
                <w:b w:val="0"/>
                <w:sz w:val="16"/>
              </w:rPr>
              <w:t>TITLE XIX — ADVANCED PROPULSION, IN-SPACE INDUSTRY, AND INTERSTELLAR PRECURSOR RESEARCH</w:t>
            </w:r>
          </w:p>
        </w:tc>
        <w:tc>
          <w:tcPr>
            <w:tcW w:type="dxa" w:w="4838"/>
          </w:tcPr>
          <w:p>
            <w:pPr>
              <w:spacing w:after="5" w:line="240" w:lineRule="auto"/>
            </w:pPr>
            <w:r>
              <w:rPr>
                <w:rFonts w:ascii="Times New Roman" w:hAnsi="Times New Roman"/>
                <w:b w:val="0"/>
                <w:sz w:val="16"/>
              </w:rPr>
              <w:t>ANNEX E — CONSTITUTIONAL, FISCAL, ADMINISTRATIVE, AND LITIGATION REVIEW</w:t>
            </w:r>
          </w:p>
        </w:tc>
      </w:tr>
      <w:tr>
        <w:tc>
          <w:tcPr>
            <w:tcW w:type="dxa" w:w="4838"/>
          </w:tcPr>
          <w:p>
            <w:pPr>
              <w:spacing w:after="5" w:line="240" w:lineRule="auto"/>
            </w:pPr>
            <w:r>
              <w:rPr>
                <w:rFonts w:ascii="Times New Roman" w:hAnsi="Times New Roman"/>
                <w:b w:val="0"/>
                <w:sz w:val="16"/>
              </w:rPr>
              <w:t>TITLE XX — FEDERAL FRONTIER SCIENCE WORKFORCE</w:t>
            </w:r>
          </w:p>
        </w:tc>
        <w:tc>
          <w:tcPr>
            <w:tcW w:type="dxa" w:w="4838"/>
          </w:tcPr>
          <w:p>
            <w:pPr>
              <w:spacing w:after="5" w:line="240" w:lineRule="auto"/>
            </w:pPr>
            <w:r>
              <w:rPr>
                <w:rFonts w:ascii="Times New Roman" w:hAnsi="Times New Roman"/>
                <w:b w:val="0"/>
                <w:sz w:val="16"/>
              </w:rPr>
              <w:t>ANNEX F — MODEL INTERNATIONAL SPACE CONVENTION FOR GLOBAL ADOPTION</w:t>
            </w:r>
          </w:p>
        </w:tc>
      </w:tr>
      <w:tr>
        <w:tc>
          <w:tcPr>
            <w:tcW w:type="dxa" w:w="4838"/>
          </w:tcPr>
          <w:p>
            <w:pPr>
              <w:spacing w:after="5" w:line="240" w:lineRule="auto"/>
            </w:pPr>
            <w:r>
              <w:rPr>
                <w:rFonts w:ascii="Times New Roman" w:hAnsi="Times New Roman"/>
                <w:b w:val="0"/>
                <w:sz w:val="16"/>
              </w:rPr>
              <w:t>TITLE XXI — EDUCATION, APPRENTICESHIPS, FELLOWSHIPS, AND PUBLIC SCIENCE</w:t>
            </w:r>
          </w:p>
        </w:tc>
        <w:tc>
          <w:tcPr>
            <w:tcW w:type="dxa" w:w="4838"/>
          </w:tcPr>
          <w:p>
            <w:pPr>
              <w:spacing w:after="5" w:line="240" w:lineRule="auto"/>
            </w:pPr>
            <w:r>
              <w:rPr>
                <w:rFonts w:ascii="Times New Roman" w:hAnsi="Times New Roman"/>
                <w:b w:val="0"/>
                <w:sz w:val="16"/>
              </w:rPr>
              <w:t>ANNEX G — MODEL NATIONAL SCIENTIFIC-CAPACITY FRAMEWORK LAW</w:t>
            </w:r>
          </w:p>
        </w:tc>
      </w:tr>
      <w:tr>
        <w:tc>
          <w:tcPr>
            <w:tcW w:type="dxa" w:w="4838"/>
          </w:tcPr>
          <w:p>
            <w:pPr>
              <w:spacing w:after="5" w:line="240" w:lineRule="auto"/>
            </w:pPr>
            <w:r>
              <w:rPr>
                <w:rFonts w:ascii="Times New Roman" w:hAnsi="Times New Roman"/>
                <w:b w:val="0"/>
                <w:sz w:val="16"/>
              </w:rPr>
              <w:t>TITLE XXII — GLOBAL SCIENTIFIC TALENT AND MOBILITY</w:t>
            </w:r>
          </w:p>
        </w:tc>
        <w:tc>
          <w:tcPr>
            <w:tcW w:type="dxa" w:w="4838"/>
          </w:tcPr>
          <w:p>
            <w:pPr>
              <w:spacing w:after="5" w:line="240" w:lineRule="auto"/>
            </w:pPr>
            <w:r>
              <w:rPr>
                <w:rFonts w:ascii="Times New Roman" w:hAnsi="Times New Roman"/>
                <w:b w:val="0"/>
                <w:sz w:val="16"/>
              </w:rPr>
              <w:t>ANNEX H — STAKEHOLDER, DISTRIBUTIONAL, AND PUBLIC-INTEREST REVIEW</w:t>
            </w:r>
          </w:p>
        </w:tc>
      </w:tr>
      <w:tr>
        <w:tc>
          <w:tcPr>
            <w:tcW w:type="dxa" w:w="4838"/>
          </w:tcPr>
          <w:p>
            <w:pPr>
              <w:spacing w:after="5" w:line="240" w:lineRule="auto"/>
            </w:pPr>
            <w:r>
              <w:rPr>
                <w:rFonts w:ascii="Times New Roman" w:hAnsi="Times New Roman"/>
                <w:b w:val="0"/>
                <w:sz w:val="16"/>
              </w:rPr>
              <w:t>TITLE XXIII — FRONTIER PROCUREMENT, GRANTS, OTHER TRANSACTIONS, PRIZES, AND RAPID EXPERIMENTATION</w:t>
            </w:r>
          </w:p>
        </w:tc>
        <w:tc>
          <w:tcPr>
            <w:tcW w:type="dxa" w:w="4838"/>
          </w:tcPr>
          <w:p>
            <w:pPr>
              <w:spacing w:after="5" w:line="240" w:lineRule="auto"/>
            </w:pPr>
            <w:r>
              <w:rPr>
                <w:rFonts w:ascii="Times New Roman" w:hAnsi="Times New Roman"/>
                <w:b w:val="0"/>
                <w:sz w:val="16"/>
              </w:rPr>
              <w:t>ANNEX I — TITLE-BY-TITLE LEGISLATIVE COMMENTARY</w:t>
            </w:r>
          </w:p>
        </w:tc>
      </w:tr>
      <w:tr>
        <w:tc>
          <w:tcPr>
            <w:tcW w:type="dxa" w:w="4838"/>
          </w:tcPr>
          <w:p>
            <w:pPr>
              <w:spacing w:after="5" w:line="240" w:lineRule="auto"/>
            </w:pPr>
            <w:r>
              <w:rPr>
                <w:rFonts w:ascii="Times New Roman" w:hAnsi="Times New Roman"/>
                <w:b w:val="0"/>
                <w:sz w:val="16"/>
              </w:rPr>
              <w:t>TITLE XXIV — TECHNOLOGY TRANSITION, INTELLECTUAL PROPERTY, STANDARDS, AND PUBLIC RETURN</w:t>
            </w:r>
          </w:p>
        </w:tc>
        <w:tc>
          <w:tcPr>
            <w:tcW w:type="dxa" w:w="4838"/>
          </w:tcPr>
          <w:p>
            <w:pPr>
              <w:spacing w:after="5" w:line="240" w:lineRule="auto"/>
            </w:pPr>
            <w:r>
              <w:rPr>
                <w:rFonts w:ascii="Times New Roman" w:hAnsi="Times New Roman"/>
                <w:b w:val="0"/>
                <w:sz w:val="16"/>
              </w:rPr>
              <w:t>ANNEX J — PLAIN-LANGUAGE PUBLIC SUMMARY AND QUESTIONS</w:t>
            </w:r>
          </w:p>
        </w:tc>
      </w:tr>
      <w:tr>
        <w:tc>
          <w:tcPr>
            <w:tcW w:type="dxa" w:w="4838"/>
          </w:tcPr>
          <w:p>
            <w:pPr>
              <w:spacing w:after="5" w:line="240" w:lineRule="auto"/>
            </w:pPr>
            <w:r>
              <w:rPr>
                <w:rFonts w:ascii="Times New Roman" w:hAnsi="Times New Roman"/>
                <w:b w:val="0"/>
                <w:sz w:val="16"/>
              </w:rPr>
              <w:t>TITLE XXV — OPEN SCIENCE, DATA, SOFTWARE, PUBLICATION, AND KNOWLEDGE PRESERVATION</w:t>
            </w:r>
          </w:p>
        </w:tc>
        <w:tc>
          <w:tcPr>
            <w:tcW w:type="dxa" w:w="4838"/>
          </w:tcPr>
          <w:p>
            <w:pPr>
              <w:spacing w:after="5" w:line="240" w:lineRule="auto"/>
            </w:pPr>
            <w:r>
              <w:rPr>
                <w:rFonts w:ascii="Times New Roman" w:hAnsi="Times New Roman"/>
                <w:b w:val="0"/>
                <w:sz w:val="16"/>
              </w:rPr>
              <w:t>ANNEX K — QUALITY-CHECK, OPEN QUESTIONS, AND SOURCE URL REGISTER</w:t>
            </w:r>
          </w:p>
        </w:tc>
      </w:tr>
    </w:tbl>
    <w:p>
      <w:r>
        <w:br w:type="page"/>
      </w:r>
    </w:p>
    <w:p>
      <w:pPr>
        <w:pStyle w:val="Heading1"/>
      </w:pPr>
      <w:r>
        <w:t>LEGISLATIVE TEXT</w:t>
      </w:r>
    </w:p>
    <w:p>
      <w:pPr>
        <w:spacing w:after="180"/>
      </w:pPr>
      <w:r>
        <w:rPr>
          <w:b w:val="0"/>
          <w:i/>
        </w:rPr>
        <w:t>Be it enacted by the Senate and House of Representatives of the United States of America in Congress assembled,</w:t>
      </w:r>
    </w:p>
    <w:p>
      <w:pPr>
        <w:pStyle w:val="LegTitle"/>
      </w:pPr>
      <w:r>
        <w:t>TITLE I — GENERAL PROVISIONS, PURPOSES, FINDINGS, AND DEFINITIONS</w:t>
      </w:r>
    </w:p>
    <w:p>
      <w:pPr>
        <w:pStyle w:val="LegSection"/>
      </w:pPr>
      <w:r>
        <w:t>SEC. 101. SHORT TITLE.</w:t>
      </w:r>
    </w:p>
    <w:p>
      <w:pPr>
        <w:pStyle w:val="LegClause"/>
      </w:pPr>
      <w:r>
        <w:rPr>
          <w:b/>
        </w:rPr>
        <w:t xml:space="preserve">(a)  </w:t>
      </w:r>
      <w:r>
        <w:t>This Act may be cited as the “Scientific Progress, Autonomy, Capacity, and Exploration Act of 2026” or the “SPACE Act of 2026”.</w:t>
      </w:r>
    </w:p>
    <w:p>
      <w:pPr>
        <w:pStyle w:val="LegClause"/>
      </w:pPr>
      <w:r>
        <w:rPr>
          <w:b/>
        </w:rPr>
        <w:t xml:space="preserve">(b)  </w:t>
      </w:r>
      <w:r>
        <w:t>The acronym “SPACE” means Scientific Progress, Autonomy, Capacity, and Exploration.</w:t>
      </w:r>
    </w:p>
    <w:p>
      <w:pPr>
        <w:pStyle w:val="LegClause"/>
      </w:pPr>
      <w:r>
        <w:rPr>
          <w:b/>
        </w:rPr>
        <w:t xml:space="preserve">(c)  </w:t>
      </w:r>
      <w:r>
        <w:t>This Act shall be construed as a framework for enduring scientific capacity, not as a legislative determination that any unverified technological claim or predetermined scientific conclusion is correct.</w:t>
      </w:r>
    </w:p>
    <w:p>
      <w:pPr>
        <w:pStyle w:val="LegSection"/>
      </w:pPr>
      <w:r>
        <w:t>SEC. 102. PURPOSES.</w:t>
      </w:r>
    </w:p>
    <w:p>
      <w:pPr>
        <w:pStyle w:val="LegClause"/>
      </w:pPr>
      <w:r>
        <w:rPr>
          <w:b/>
        </w:rPr>
        <w:t xml:space="preserve">(1)  </w:t>
      </w:r>
      <w:r>
        <w:t>To maintain frontier science and engineering as permanent capabilities of the United States.</w:t>
      </w:r>
    </w:p>
    <w:p>
      <w:pPr>
        <w:pStyle w:val="LegClause"/>
      </w:pPr>
      <w:r>
        <w:rPr>
          <w:b/>
        </w:rPr>
        <w:t xml:space="preserve">(2)  </w:t>
      </w:r>
      <w:r>
        <w:t>To provide NASA and DARPA not less than three times their FY2025 real funding baselines and to build the people, facilities, software, acquisition capacity, and institutional resilience needed to use those resources effectively.</w:t>
      </w:r>
    </w:p>
    <w:p>
      <w:pPr>
        <w:pStyle w:val="LegClause"/>
      </w:pPr>
      <w:r>
        <w:rPr>
          <w:b/>
        </w:rPr>
        <w:t xml:space="preserve">(3)  </w:t>
      </w:r>
      <w:r>
        <w:t>To protect legitimate scientific and engineering judgment from improper interference while preserving democratic control, fiscal accountability, safety, ethics, national security, and judicial review.</w:t>
      </w:r>
    </w:p>
    <w:p>
      <w:pPr>
        <w:pStyle w:val="LegClause"/>
      </w:pPr>
      <w:r>
        <w:rPr>
          <w:b/>
        </w:rPr>
        <w:t xml:space="preserve">(4)  </w:t>
      </w:r>
      <w:r>
        <w:t>To support basic science, applied research, experimental development, demonstration, deployment, standards, scientific software, and major infrastructure as distinct but connected public functions.</w:t>
      </w:r>
    </w:p>
    <w:p>
      <w:pPr>
        <w:pStyle w:val="LegClause"/>
      </w:pPr>
      <w:r>
        <w:rPr>
          <w:b/>
        </w:rPr>
        <w:t xml:space="preserve">(5)  </w:t>
      </w:r>
      <w:r>
        <w:t>To protect lawful research whose usefulness may be uncertain or decades away.</w:t>
      </w:r>
    </w:p>
    <w:p>
      <w:pPr>
        <w:pStyle w:val="LegClause"/>
      </w:pPr>
      <w:r>
        <w:rPr>
          <w:b/>
        </w:rPr>
        <w:t xml:space="preserve">(6)  </w:t>
      </w:r>
      <w:r>
        <w:t>To create a multigenerational workforce strategy covering scientists, engineers, technicians, trades, operators, mission controllers, software professionals, acquisition staff, safety experts, educators, archivists, and support personnel.</w:t>
      </w:r>
    </w:p>
    <w:p>
      <w:pPr>
        <w:pStyle w:val="LegClause"/>
      </w:pPr>
      <w:r>
        <w:rPr>
          <w:b/>
        </w:rPr>
        <w:t xml:space="preserve">(7)  </w:t>
      </w:r>
      <w:r>
        <w:t>To maintain a rolling planning horizon of not less than 500 years and a policy objective of perpetual scientific continuity.</w:t>
      </w:r>
    </w:p>
    <w:p>
      <w:pPr>
        <w:pStyle w:val="LegClause"/>
      </w:pPr>
      <w:r>
        <w:rPr>
          <w:b/>
        </w:rPr>
        <w:t xml:space="preserve">(8)  </w:t>
      </w:r>
      <w:r>
        <w:t>To create a model adaptable by other sovereign states and regional organizations without transferring sovereign authority absent lawful treaty or legislation.</w:t>
      </w:r>
    </w:p>
    <w:p>
      <w:pPr>
        <w:pStyle w:val="LegSection"/>
      </w:pPr>
      <w:r>
        <w:t>SEC. 103. FINDINGS.</w:t>
      </w:r>
    </w:p>
    <w:p>
      <w:pPr>
        <w:pStyle w:val="LegClause"/>
      </w:pPr>
      <w:r>
        <w:rPr>
          <w:b/>
        </w:rPr>
        <w:t xml:space="preserve">(1)  </w:t>
      </w:r>
      <w:r>
        <w:t>Public institutions are uniquely positioned to support basic research, high technical risk, long time horizons, shared scientific infrastructure, national-scale data, and mission work whose benefits cannot be captured fully by private investors.</w:t>
      </w:r>
    </w:p>
    <w:p>
      <w:pPr>
        <w:pStyle w:val="LegClause"/>
      </w:pPr>
      <w:r>
        <w:rPr>
          <w:b/>
        </w:rPr>
        <w:t xml:space="preserve">(2)  </w:t>
      </w:r>
      <w:r>
        <w:t>Physical infrastructure, acquisition capacity, scientific labor, software, test access, and institutional knowledge can become binding constraints even when nominal appropriations rise.</w:t>
      </w:r>
    </w:p>
    <w:p>
      <w:pPr>
        <w:pStyle w:val="LegClause"/>
      </w:pPr>
      <w:r>
        <w:rPr>
          <w:b/>
        </w:rPr>
        <w:t xml:space="preserve">(3)  </w:t>
      </w:r>
      <w:r>
        <w:t>Scientific progress benefits from plural institutions with different missions, risk tolerances, cultures, time horizons, and accountability structures.</w:t>
      </w:r>
    </w:p>
    <w:p>
      <w:pPr>
        <w:pStyle w:val="LegClause"/>
      </w:pPr>
      <w:r>
        <w:rPr>
          <w:b/>
        </w:rPr>
        <w:t xml:space="preserve">(4)  </w:t>
      </w:r>
      <w:r>
        <w:t>The ability to terminate failing technical approaches without terminating the broader mission is a core capability of effective high-risk research.</w:t>
      </w:r>
    </w:p>
    <w:p>
      <w:pPr>
        <w:pStyle w:val="LegClause"/>
      </w:pPr>
      <w:r>
        <w:rPr>
          <w:b/>
        </w:rPr>
        <w:t xml:space="preserve">(5)  </w:t>
      </w:r>
      <w:r>
        <w:t>Open international exchange strengthens science when balanced with proportionate research-security, export-control, sanctions, and classified-information safeguards.</w:t>
      </w:r>
    </w:p>
    <w:p>
      <w:pPr>
        <w:pStyle w:val="LegClause"/>
      </w:pPr>
      <w:r>
        <w:rPr>
          <w:b/>
        </w:rPr>
        <w:t xml:space="preserve">(6)  </w:t>
      </w:r>
      <w:r>
        <w:t>Long-lived scientific institutions require maintenance, workforce renewal, transparent governance, durable archives, and fiscal rules capable of surviving technological and political change.</w:t>
      </w:r>
    </w:p>
    <w:p>
      <w:pPr>
        <w:pStyle w:val="LegClause"/>
      </w:pPr>
      <w:r>
        <w:rPr>
          <w:b/>
        </w:rPr>
        <w:t xml:space="preserve">(7)  </w:t>
      </w:r>
      <w:r>
        <w:t>Future generations benefit when current institutions preserve scientific optionality rather than locking public resources into one technology, vendor, destination, or theory.</w:t>
      </w:r>
    </w:p>
    <w:p>
      <w:pPr>
        <w:pStyle w:val="LegSection"/>
      </w:pPr>
      <w:r>
        <w:t>SEC. 104. NATIONAL POLICY OF SCIENTIFIC ABUNDANCE.</w:t>
      </w:r>
    </w:p>
    <w:p>
      <w:pPr>
        <w:pStyle w:val="LegClause"/>
      </w:pPr>
      <w:r>
        <w:rPr>
          <w:b/>
        </w:rPr>
        <w:t xml:space="preserve">(a)  </w:t>
      </w:r>
      <w:r>
        <w:t>It is the policy of the United States to create sufficient scientific capacity that meritorious research is not routinely abandoned solely because laboratory space, compute, test access, instrument time, technical staff, or exploratory funding is unavailable.</w:t>
      </w:r>
    </w:p>
    <w:p>
      <w:pPr>
        <w:pStyle w:val="LegClause"/>
      </w:pPr>
      <w:r>
        <w:rPr>
          <w:b/>
        </w:rPr>
        <w:t xml:space="preserve">(b)  </w:t>
      </w:r>
      <w:r>
        <w:t>Subsection (a) does not authorize wasteful duplication, evasion of law, or indefinite continuation of programs that fail reasonable scientific, technical, safety, or fiscal review.</w:t>
      </w:r>
    </w:p>
    <w:p>
      <w:pPr>
        <w:pStyle w:val="LegSection"/>
      </w:pPr>
      <w:r>
        <w:t>SEC. 105. DEFINITIONS.</w:t>
      </w:r>
    </w:p>
    <w:p>
      <w:pPr>
        <w:pStyle w:val="LegClause"/>
      </w:pPr>
      <w:r>
        <w:rPr>
          <w:b/>
        </w:rPr>
        <w:t xml:space="preserve">(1)  </w:t>
      </w:r>
      <w:r>
        <w:t>"Basic research" means systematic study directed principally toward fuller knowledge or understanding of fundamental aspects of phenomena and observable facts without a specific application necessarily in view.</w:t>
      </w:r>
    </w:p>
    <w:p>
      <w:pPr>
        <w:pStyle w:val="LegClause"/>
      </w:pPr>
      <w:r>
        <w:rPr>
          <w:b/>
        </w:rPr>
        <w:t xml:space="preserve">(2)  </w:t>
      </w:r>
      <w:r>
        <w:t>"Frontier research" means research, engineering, exploration, or technical demonstration characterized by material uncertainty, long time horizon, high capital intensity, integration complexity, national-scale externalities, or unusually large public-good characteristics.</w:t>
      </w:r>
    </w:p>
    <w:p>
      <w:pPr>
        <w:pStyle w:val="LegClause"/>
      </w:pPr>
      <w:r>
        <w:rPr>
          <w:b/>
        </w:rPr>
        <w:t xml:space="preserve">(3)  </w:t>
      </w:r>
      <w:r>
        <w:t>"Protected technical function" means a scientific, engineering, safety, peer-review, publication, or portfolio judgment designated under Title III.</w:t>
      </w:r>
    </w:p>
    <w:p>
      <w:pPr>
        <w:pStyle w:val="LegClause"/>
      </w:pPr>
      <w:r>
        <w:rPr>
          <w:b/>
        </w:rPr>
        <w:t xml:space="preserve">(4)  </w:t>
      </w:r>
      <w:r>
        <w:t>"Covered frontier institution" means NASA, DARPA, and any institution designated under section 208.</w:t>
      </w:r>
    </w:p>
    <w:p>
      <w:pPr>
        <w:pStyle w:val="LegClause"/>
      </w:pPr>
      <w:r>
        <w:rPr>
          <w:b/>
        </w:rPr>
        <w:t xml:space="preserve">(5)  </w:t>
      </w:r>
      <w:r>
        <w:t>"Frontier Science Network" means the coordinated but institutionally plural network established by Title VIII.</w:t>
      </w:r>
    </w:p>
    <w:p>
      <w:pPr>
        <w:pStyle w:val="LegClause"/>
      </w:pPr>
      <w:r>
        <w:rPr>
          <w:b/>
        </w:rPr>
        <w:t xml:space="preserve">(6)  </w:t>
      </w:r>
      <w:r>
        <w:t>"Real dollars" means amounts adjusted by the GDP chain-type price index or a successor measure selected under section 206.</w:t>
      </w:r>
    </w:p>
    <w:p>
      <w:pPr>
        <w:pStyle w:val="LegClause"/>
      </w:pPr>
      <w:r>
        <w:rPr>
          <w:b/>
        </w:rPr>
        <w:t xml:space="preserve">(7)  </w:t>
      </w:r>
      <w:r>
        <w:t>"Scientific infrastructure" includes laboratories, launch and test facilities, observatories, field stations, research vessels, aircraft, clean rooms, fabrication facilities, high-performance computing, networks, power systems, utilities, data repositories, software, instruments, and associated support systems.</w:t>
      </w:r>
    </w:p>
    <w:p>
      <w:pPr>
        <w:pStyle w:val="LegClause"/>
      </w:pPr>
      <w:r>
        <w:rPr>
          <w:b/>
        </w:rPr>
        <w:t xml:space="preserve">(8)  </w:t>
      </w:r>
      <w:r>
        <w:t>"Portfolio" means related projects managed toward a common technical or scientific objective and evaluated together for learning, risk, cost, transition, and mission value.</w:t>
      </w:r>
    </w:p>
    <w:p>
      <w:pPr>
        <w:pStyle w:val="LegClause"/>
      </w:pPr>
      <w:r>
        <w:rPr>
          <w:b/>
        </w:rPr>
        <w:t xml:space="preserve">(9)  </w:t>
      </w:r>
      <w:r>
        <w:t>"Fund" means the SPACE Future Fund established under section 401.</w:t>
      </w:r>
    </w:p>
    <w:p>
      <w:pPr>
        <w:pStyle w:val="LegClause"/>
      </w:pPr>
      <w:r>
        <w:rPr>
          <w:b/>
        </w:rPr>
        <w:t xml:space="preserve">(10)  </w:t>
      </w:r>
      <w:r>
        <w:t>"Intergenerational principal" means assets allocated to the long-run endowment account under section 407.</w:t>
      </w:r>
    </w:p>
    <w:p>
      <w:pPr>
        <w:pStyle w:val="LegSection"/>
      </w:pPr>
      <w:r>
        <w:t>SEC. 106. RULES OF CONSTRUCTION.</w:t>
      </w:r>
    </w:p>
    <w:p>
      <w:pPr>
        <w:pStyle w:val="LegClause"/>
      </w:pPr>
      <w:r>
        <w:rPr>
          <w:b/>
        </w:rPr>
        <w:t xml:space="preserve">(a)  </w:t>
      </w:r>
      <w:r>
        <w:t>No provision requiring ambitious research shall be construed as requiring a predetermined scientific result.</w:t>
      </w:r>
    </w:p>
    <w:p>
      <w:pPr>
        <w:pStyle w:val="LegClause"/>
      </w:pPr>
      <w:r>
        <w:rPr>
          <w:b/>
        </w:rPr>
        <w:t xml:space="preserve">(b)  </w:t>
      </w:r>
      <w:r>
        <w:t>No autonomy provision exempts a person or institution from civil-rights law, labor law, environmental law, ethics law, appropriations law, criminal law, research-integrity requirements, export controls, sanctions, classified-information law, or proportionate safety requirements.</w:t>
      </w:r>
    </w:p>
    <w:p>
      <w:pPr>
        <w:pStyle w:val="LegClause"/>
      </w:pPr>
      <w:r>
        <w:rPr>
          <w:b/>
        </w:rPr>
        <w:t xml:space="preserve">(c)  </w:t>
      </w:r>
      <w:r>
        <w:t>No reference to a 500-year horizon shall be construed as binding a future Congress or guaranteeing future economic, scientific, or political conditions.</w:t>
      </w:r>
    </w:p>
    <w:p>
      <w:pPr>
        <w:pStyle w:val="LegSection"/>
      </w:pPr>
      <w:r>
        <w:t>SEC. 107. RELATIONSHIP TO ORGANIC AGENCY STATUTES.</w:t>
      </w:r>
    </w:p>
    <w:p>
      <w:pPr>
        <w:pStyle w:val="LegClause"/>
      </w:pPr>
      <w:r>
        <w:rPr>
          <w:b/>
        </w:rPr>
        <w:t xml:space="preserve">(a)  </w:t>
      </w:r>
      <w:r>
        <w:t>The purposes of the National Aeronautics and Space Act, including the distinction between civilian space work and defense functions reflected in section 20102 of title 51, United States Code, remain controlling.</w:t>
      </w:r>
    </w:p>
    <w:p>
      <w:pPr>
        <w:pStyle w:val="LegClause"/>
      </w:pPr>
      <w:r>
        <w:rPr>
          <w:b/>
        </w:rPr>
        <w:t xml:space="preserve">(b)  </w:t>
      </w:r>
      <w:r>
        <w:t>The Secretary of Defense shall execute the DARPA provisions through authorities lawfully applicable to the Department of Defense; this Act does not transfer command of armed forces, intelligence operations, or military acquisitions to a civilian research body.</w:t>
      </w:r>
    </w:p>
    <w:p>
      <w:pPr>
        <w:pStyle w:val="LegClause"/>
      </w:pPr>
      <w:r>
        <w:rPr>
          <w:b/>
        </w:rPr>
        <w:t xml:space="preserve">(c)  </w:t>
      </w:r>
      <w:r>
        <w:t>If a program implicates more than one agency, the program charter shall assign a lead agency, the legal authority for each participant, and segregated funding obligations.</w:t>
      </w:r>
    </w:p>
    <w:p>
      <w:pPr>
        <w:pStyle w:val="LegSection"/>
      </w:pPr>
      <w:r>
        <w:t>SEC. 108. NATIONAL SCIENTIFIC INDEPENDENCE AND PUBLIC SERVICE.</w:t>
      </w:r>
    </w:p>
    <w:p>
      <w:pPr>
        <w:pStyle w:val="LegClause"/>
      </w:pPr>
      <w:r>
        <w:rPr>
          <w:b/>
        </w:rPr>
        <w:t xml:space="preserve">(a)  </w:t>
      </w:r>
      <w:r>
        <w:t>Government-supported science shall be conducted for public purposes, and no recipient acquires an entitlement to a favorable scientific finding, an exclusive contract, or a predetermined research outcome.</w:t>
      </w:r>
    </w:p>
    <w:p>
      <w:pPr>
        <w:pStyle w:val="LegClause"/>
      </w:pPr>
      <w:r>
        <w:rPr>
          <w:b/>
        </w:rPr>
        <w:t xml:space="preserve">(b)  </w:t>
      </w:r>
      <w:r>
        <w:t>Political officials may select lawful program objectives, but no public officer may falsify evidence or suppress an independently validated safety determination to favor a program or sponsor.</w:t>
      </w:r>
    </w:p>
    <w:p>
      <w:pPr>
        <w:pStyle w:val="LegClause"/>
      </w:pPr>
      <w:r>
        <w:rPr>
          <w:b/>
        </w:rPr>
        <w:t xml:space="preserve">(c)  </w:t>
      </w:r>
      <w:r>
        <w:t>Public explanations shall distinguish established findings, emerging hypotheses, speculative engineering concepts, and policy decisions.</w:t>
      </w:r>
    </w:p>
    <w:p>
      <w:pPr>
        <w:pStyle w:val="LegSection"/>
      </w:pPr>
      <w:r>
        <w:t>SEC. 109. ANNUAL NATIONAL CAPABILITY STATEMENT.</w:t>
      </w:r>
    </w:p>
    <w:p>
      <w:pPr>
        <w:pStyle w:val="LegClause"/>
      </w:pPr>
      <w:r>
        <w:rPr>
          <w:b/>
        </w:rPr>
        <w:t xml:space="preserve">(a)  </w:t>
      </w:r>
      <w:r>
        <w:t>The Director of the Office of Science and Technology Policy shall annually transmit to Congress a statement identifying the most important observed constraints on national science capacity.</w:t>
      </w:r>
    </w:p>
    <w:p>
      <w:pPr>
        <w:pStyle w:val="LegClause"/>
      </w:pPr>
      <w:r>
        <w:rPr>
          <w:b/>
        </w:rPr>
        <w:t xml:space="preserve">(b)  </w:t>
      </w:r>
      <w:r>
        <w:t>The statement shall report unfilled scientific and technical positions, mean wait times for major instruments and test facilities, deferred maintenance, procurement delays, research compute utilization, and long-lived data collection at risk.</w:t>
      </w:r>
    </w:p>
    <w:p>
      <w:pPr>
        <w:pStyle w:val="LegClause"/>
      </w:pPr>
      <w:r>
        <w:rPr>
          <w:b/>
        </w:rPr>
        <w:t xml:space="preserve">(c)  </w:t>
      </w:r>
      <w:r>
        <w:t>The statement shall assess these constraints without prescribing particular hypotheses or excluding scientific fields because outcomes are uncertain.</w:t>
      </w:r>
    </w:p>
    <w:p>
      <w:pPr>
        <w:pStyle w:val="LegTitle"/>
      </w:pPr>
      <w:r>
        <w:t>TITLE II — NATIONAL SCIENCE AND EXPLORATION FUNDING COMPACT</w:t>
      </w:r>
    </w:p>
    <w:p>
      <w:pPr>
        <w:pStyle w:val="LegSection"/>
      </w:pPr>
      <w:r>
        <w:t>SEC. 201. NASA PROTECTED APPROPRIATION AND MISSION ACCOUNTS.</w:t>
      </w:r>
    </w:p>
    <w:p>
      <w:pPr>
        <w:pStyle w:val="LegClause"/>
      </w:pPr>
      <w:r>
        <w:rPr>
          <w:b/>
        </w:rPr>
        <w:t xml:space="preserve">(a)  </w:t>
      </w:r>
      <w:r>
        <w:t>Beginning with the first full fiscal year that commences after this Act takes effect, the total annual budget authority for the National Aeronautics and Space Administration shall be not less than $149,028,000,000, expressed in fiscal year 2025 purchasing power and adjusted under section 206.</w:t>
      </w:r>
    </w:p>
    <w:p>
      <w:pPr>
        <w:pStyle w:val="LegClause"/>
      </w:pPr>
      <w:r>
        <w:rPr>
          <w:b/>
        </w:rPr>
        <w:t xml:space="preserve">(b)  </w:t>
      </w:r>
      <w:r>
        <w:t>The amount in subsection (a) is six times the $24,838,000,000 fiscal year 2025 regular discretionary NASA appropriation. Extraordinary fiscal year 2025 supplemental and mandatory special appropriations shall not be added to that recurring comparison base.</w:t>
      </w:r>
    </w:p>
    <w:p>
      <w:pPr>
        <w:pStyle w:val="LegClause"/>
      </w:pPr>
      <w:r>
        <w:rPr>
          <w:b/>
        </w:rPr>
        <w:t xml:space="preserve">(c)  </w:t>
      </w:r>
      <w:r>
        <w:t>The amount shall be apportioned among NASA portfolios in accordance with section 3111 and shall include, rather than be added to, other NASA budget authority counted under the anti-duplication procedure in section 215.</w:t>
      </w:r>
    </w:p>
    <w:p>
      <w:pPr>
        <w:pStyle w:val="LegClause"/>
      </w:pPr>
      <w:r>
        <w:rPr>
          <w:b/>
        </w:rPr>
        <w:t xml:space="preserve">(d)  </w:t>
      </w:r>
      <w:r>
        <w:t>The Administrator shall maintain separate civilian scientific, aeronautical, exploration, infrastructure, and mission-assurance accounts; no defense appropriation may be counted toward this floor.</w:t>
      </w:r>
    </w:p>
    <w:p>
      <w:pPr>
        <w:pStyle w:val="LegClause"/>
      </w:pPr>
      <w:r>
        <w:rPr>
          <w:b/>
        </w:rPr>
        <w:t xml:space="preserve">(e)  </w:t>
      </w:r>
      <w:r>
        <w:t>The amount shall be made available under the permanent appropriation in section 401, net of amounts lawfully provided and counted under section 215; such reconciliation may not reduce the aggregate statutory amount.</w:t>
      </w:r>
    </w:p>
    <w:p>
      <w:pPr>
        <w:pStyle w:val="LegSection"/>
      </w:pPr>
      <w:r>
        <w:t>SEC. 202. DARPA PROTECTED APPROPRIATION AND MISSION ACCOUNTS.</w:t>
      </w:r>
    </w:p>
    <w:p>
      <w:pPr>
        <w:pStyle w:val="LegClause"/>
      </w:pPr>
      <w:r>
        <w:rPr>
          <w:b/>
        </w:rPr>
        <w:t xml:space="preserve">(a)  </w:t>
      </w:r>
      <w:r>
        <w:t>Beginning with the fiscal year described in section 201(a), the total annual budget authority for the Defense Advanced Research Projects Agency shall be not less than $24,875,000,000, expressed in fiscal year 2025 purchasing power and adjusted under section 206.</w:t>
      </w:r>
    </w:p>
    <w:p>
      <w:pPr>
        <w:pStyle w:val="LegClause"/>
      </w:pPr>
      <w:r>
        <w:rPr>
          <w:b/>
        </w:rPr>
        <w:t xml:space="preserve">(b)  </w:t>
      </w:r>
      <w:r>
        <w:t>The certified fiscal year 2025 enacted DARPA research, development, test, and evaluation baseline for this Act is $4,145,693,000, as reflected in the Department of Defense fiscal year 2026 budget justification. The amount in subsection (a) exceeds six times that baseline.</w:t>
      </w:r>
    </w:p>
    <w:p>
      <w:pPr>
        <w:pStyle w:val="LegClause"/>
      </w:pPr>
      <w:r>
        <w:rPr>
          <w:b/>
        </w:rPr>
        <w:t xml:space="preserve">(c)  </w:t>
      </w:r>
      <w:r>
        <w:t>The Secretary of Defense shall maintain an identifiable DARPA account. Funds may be executed under the research and prototype authorities of sections 4021 and 4022 of title 10, United States Code, when applicable, without impairing existing statutory conditions.</w:t>
      </w:r>
    </w:p>
    <w:p>
      <w:pPr>
        <w:pStyle w:val="LegClause"/>
      </w:pPr>
      <w:r>
        <w:rPr>
          <w:b/>
        </w:rPr>
        <w:t xml:space="preserve">(d)  </w:t>
      </w:r>
      <w:r>
        <w:t>Not less than 75 percent of annual DARPA authority shall be directly traceable to technical program activities, performers, test, demonstration, validation, or transition, rather than permanent headquarters overhead.</w:t>
      </w:r>
    </w:p>
    <w:p>
      <w:pPr>
        <w:pStyle w:val="LegClause"/>
      </w:pPr>
      <w:r>
        <w:rPr>
          <w:b/>
        </w:rPr>
        <w:t xml:space="preserve">(e)  </w:t>
      </w:r>
      <w:r>
        <w:t>The amount under this section is included in the aggregate annual SPACE authorization and is reconciled with other DARPA appropriations under section 215.</w:t>
      </w:r>
    </w:p>
    <w:p>
      <w:pPr>
        <w:pStyle w:val="LegSection"/>
      </w:pPr>
      <w:r>
        <w:t>SEC. 203. NATIONAL FRONTIER SCIENCE NETWORK APPROPRIATION.</w:t>
      </w:r>
    </w:p>
    <w:p>
      <w:pPr>
        <w:pStyle w:val="LegClause"/>
      </w:pPr>
      <w:r>
        <w:rPr>
          <w:b/>
        </w:rPr>
        <w:t xml:space="preserve">(a)  </w:t>
      </w:r>
      <w:r>
        <w:t>There is appropriated to the National Frontier Science Network Account $49,845,000,000 for each full fiscal year described in section 201(a), adjusted under section 206.</w:t>
      </w:r>
    </w:p>
    <w:p>
      <w:pPr>
        <w:pStyle w:val="LegClause"/>
      </w:pPr>
      <w:r>
        <w:rPr>
          <w:b/>
        </w:rPr>
        <w:t xml:space="preserve">(b)  </w:t>
      </w:r>
      <w:r>
        <w:t>The amounts shall be allocated among the National Science Foundation, the Department of Energy Office of Science, the National Institute of Standards and Technology, the National Oceanic and Atmospheric Administration, the United States Geological Survey, and other designated public scientific institutions according to the account schedule in section 3113.</w:t>
      </w:r>
    </w:p>
    <w:p>
      <w:pPr>
        <w:pStyle w:val="LegClause"/>
      </w:pPr>
      <w:r>
        <w:rPr>
          <w:b/>
        </w:rPr>
        <w:t xml:space="preserve">(c)  </w:t>
      </w:r>
      <w:r>
        <w:t>Amounts shall finance investigator-led fundamental research, shared scientific instruments, national laboratory research, advanced metrology, long-duration observations, scientific software, and cross-agency research services. The allocations shall not be interpreted as identical management rules for different scientific institutions.</w:t>
      </w:r>
    </w:p>
    <w:p>
      <w:pPr>
        <w:pStyle w:val="LegClause"/>
      </w:pPr>
      <w:r>
        <w:rPr>
          <w:b/>
        </w:rPr>
        <w:t xml:space="preserve">(d)  </w:t>
      </w:r>
      <w:r>
        <w:t>Every participating institution shall preserve an independently administered peer-review track, except where a clearly documented mission or user-facility method is more appropriate.</w:t>
      </w:r>
    </w:p>
    <w:p>
      <w:pPr>
        <w:pStyle w:val="LegSection"/>
      </w:pPr>
      <w:r>
        <w:t>SEC. 204. SCIENTIFIC INFRASTRUCTURE AND CAPITAL RENEWAL ACCOUNT.</w:t>
      </w:r>
    </w:p>
    <w:p>
      <w:pPr>
        <w:pStyle w:val="LegClause"/>
      </w:pPr>
      <w:r>
        <w:rPr>
          <w:b/>
        </w:rPr>
        <w:t xml:space="preserve">(a)  </w:t>
      </w:r>
      <w:r>
        <w:t>There is appropriated $30,000,000,000 annually, adjusted under section 206, for design, construction, modernization, maintenance, decommissioning reserves, shared user facilities, instrumentation, utilities, and resilient research infrastructure.</w:t>
      </w:r>
    </w:p>
    <w:p>
      <w:pPr>
        <w:pStyle w:val="LegClause"/>
      </w:pPr>
      <w:r>
        <w:rPr>
          <w:b/>
        </w:rPr>
        <w:t xml:space="preserve">(b)  </w:t>
      </w:r>
      <w:r>
        <w:t>No dollar under this account may be counted as a second expenditure for a NASA or DARPA project financed by the respective protected account; the required cost attribution and single-ledger rule are specified in section 3115.</w:t>
      </w:r>
    </w:p>
    <w:p>
      <w:pPr>
        <w:pStyle w:val="LegClause"/>
      </w:pPr>
      <w:r>
        <w:rPr>
          <w:b/>
        </w:rPr>
        <w:t xml:space="preserve">(c)  </w:t>
      </w:r>
      <w:r>
        <w:t>Construction shall be undertaken through the gated capital process in Title XXXII. Annual appropriations that remain unobligated because technical, environmental, labor, or design conditions have not yet been satisfied shall carry forward without being treated as permission to waive those conditions.</w:t>
      </w:r>
    </w:p>
    <w:p>
      <w:pPr>
        <w:pStyle w:val="LegSection"/>
      </w:pPr>
      <w:r>
        <w:t>SEC. 205. WORKFORCE, EDUCATION, AND TALENT ACCOUNT.</w:t>
      </w:r>
    </w:p>
    <w:p>
      <w:pPr>
        <w:pStyle w:val="LegClause"/>
      </w:pPr>
      <w:r>
        <w:rPr>
          <w:b/>
        </w:rPr>
        <w:t xml:space="preserve">(a)  </w:t>
      </w:r>
      <w:r>
        <w:t>There is appropriated $20,000,000,000 annually, adjusted under section 206, to finance the recruitment, training, mentoring, retention, mobility, and scientific-operational workforce programs specified in this Act.</w:t>
      </w:r>
    </w:p>
    <w:p>
      <w:pPr>
        <w:pStyle w:val="LegClause"/>
      </w:pPr>
      <w:r>
        <w:rPr>
          <w:b/>
        </w:rPr>
        <w:t xml:space="preserve">(b)  </w:t>
      </w:r>
      <w:r>
        <w:t>The account is additional to salaries and benefits already budgeted in the NASA and DARPA protected agency accounts. An individual position or training award may not be charged to two accounts for the same cost.</w:t>
      </w:r>
    </w:p>
    <w:p>
      <w:pPr>
        <w:pStyle w:val="LegClause"/>
      </w:pPr>
      <w:r>
        <w:rPr>
          <w:b/>
        </w:rPr>
        <w:t xml:space="preserve">(c)  </w:t>
      </w:r>
      <w:r>
        <w:t>Not less than one fifth of the account shall support skilled technical, trades, computing-operations, laboratory-safety, facility-maintenance, or applied scientific occupations that do not categorically require a doctoral degree.</w:t>
      </w:r>
    </w:p>
    <w:p>
      <w:pPr>
        <w:pStyle w:val="LegSection"/>
      </w:pPr>
      <w:r>
        <w:t>SEC. 206. REAL-DOLLAR INDEXING AND ANNUAL CERTIFICATION.</w:t>
      </w:r>
    </w:p>
    <w:p>
      <w:pPr>
        <w:pStyle w:val="LegClause"/>
      </w:pPr>
      <w:r>
        <w:rPr>
          <w:b/>
        </w:rPr>
        <w:t xml:space="preserve">(a)  </w:t>
      </w:r>
      <w:r>
        <w:t>All dollar values in sections 201 through 205, 3111 through 3118, and 401 through 416 are fiscal year 2025 constant-dollar values. For each fiscal year, the Secretary of the Treasury shall calculate a purchasing-power multiplier using the annual gross domestic product chain-type price index published by the Bureau of Economic Analysis.</w:t>
      </w:r>
    </w:p>
    <w:p>
      <w:pPr>
        <w:pStyle w:val="LegClause"/>
      </w:pPr>
      <w:r>
        <w:rPr>
          <w:b/>
        </w:rPr>
        <w:t xml:space="preserve">(b)  </w:t>
      </w:r>
      <w:r>
        <w:t>An amount for fiscal year Y shall equal the fiscal year 2025 amount multiplied by the most recently available index estimate for Y divided by the index for fiscal year 2025; a true-up shall be made the following year when actual indexes become available.</w:t>
      </w:r>
    </w:p>
    <w:p>
      <w:pPr>
        <w:pStyle w:val="LegClause"/>
      </w:pPr>
      <w:r>
        <w:rPr>
          <w:b/>
        </w:rPr>
        <w:t xml:space="preserve">(c)  </w:t>
      </w:r>
      <w:r>
        <w:t>OMB shall publish all calculations 120 days before the fiscal year, and GAO shall independently verify the method. Indexing shall apply consistently to the entire statutory schedule so its component amounts continue to reconcile exactly.</w:t>
      </w:r>
    </w:p>
    <w:p>
      <w:pPr>
        <w:pStyle w:val="LegClause"/>
      </w:pPr>
      <w:r>
        <w:rPr>
          <w:b/>
        </w:rPr>
        <w:t xml:space="preserve">(d)  </w:t>
      </w:r>
      <w:r>
        <w:t>No officer may revise the base-year allocation amounts or replace the index for policy reasons without subsequent legislation.</w:t>
      </w:r>
    </w:p>
    <w:p>
      <w:pPr>
        <w:pStyle w:val="LegSection"/>
      </w:pPr>
      <w:r>
        <w:t>SEC. 207. BASELINE FINDINGS AND RECONCILIATION.</w:t>
      </w:r>
    </w:p>
    <w:p>
      <w:pPr>
        <w:pStyle w:val="LegClause"/>
      </w:pPr>
      <w:r>
        <w:rPr>
          <w:b/>
        </w:rPr>
        <w:t xml:space="preserve">(a)  </w:t>
      </w:r>
      <w:r>
        <w:t>For purposes of this Act, the fiscal year 2025 NASA regular discretionary baseline is $24,838,000,000 and the fiscal year 2025 enacted DARPA research budget baseline is $4,145,693,000.</w:t>
      </w:r>
    </w:p>
    <w:p>
      <w:pPr>
        <w:pStyle w:val="LegClause"/>
      </w:pPr>
      <w:r>
        <w:rPr>
          <w:b/>
        </w:rPr>
        <w:t xml:space="preserve">(b)  </w:t>
      </w:r>
      <w:r>
        <w:t>Within 120 days of enactment, the Comptroller General shall verify those two values against primary agency budget and enacted appropriation records, describing any accounting qualifications. Technical corrections shall not reduce the dollar minima enacted in sections 201 and 202.</w:t>
      </w:r>
    </w:p>
    <w:p>
      <w:pPr>
        <w:pStyle w:val="LegClause"/>
      </w:pPr>
      <w:r>
        <w:rPr>
          <w:b/>
        </w:rPr>
        <w:t xml:space="preserve">(c)  </w:t>
      </w:r>
      <w:r>
        <w:t>NASA fiscal year 2025 disaster, spectrum, and special mandatory funds shall be separately described and not treated as a recurring annual baseline. An FY2025 budget request shall never substitute for an enacted amount.</w:t>
      </w:r>
    </w:p>
    <w:p>
      <w:pPr>
        <w:pStyle w:val="LegClause"/>
      </w:pPr>
      <w:r>
        <w:rPr>
          <w:b/>
        </w:rPr>
        <w:t xml:space="preserve">(d)  </w:t>
      </w:r>
      <w:r>
        <w:t>The Inspector General of the affected agency may dispute the counting of an appropriation under section 215. OMB shall resolve the question within 30 days, subject to GAO review.</w:t>
      </w:r>
    </w:p>
    <w:p>
      <w:pPr>
        <w:pStyle w:val="LegSection"/>
      </w:pPr>
      <w:r>
        <w:t>SEC. 208. DESIGNATION OF ADDITIONAL COVERED INSTITUTIONS.</w:t>
      </w:r>
    </w:p>
    <w:p>
      <w:pPr>
        <w:pStyle w:val="LegClause"/>
      </w:pPr>
      <w:r>
        <w:rPr>
          <w:b/>
        </w:rPr>
        <w:t xml:space="preserve">(a)  </w:t>
      </w:r>
      <w:r>
        <w:t>Congress may designate additional covered frontier institutions and provide institution-specific funding floors.</w:t>
      </w:r>
    </w:p>
    <w:p>
      <w:pPr>
        <w:pStyle w:val="LegClause"/>
      </w:pPr>
      <w:r>
        <w:rPr>
          <w:b/>
        </w:rPr>
        <w:t xml:space="preserve">(b)  </w:t>
      </w:r>
      <w:r>
        <w:t>The President may recommend designations based on mission distinctiveness, public-good characteristics, high-risk or long-horizon need, governance quality, and insufficiency of ordinary funding pathways.</w:t>
      </w:r>
    </w:p>
    <w:p>
      <w:pPr>
        <w:pStyle w:val="LegClause"/>
      </w:pPr>
      <w:r>
        <w:rPr>
          <w:b/>
        </w:rPr>
        <w:t xml:space="preserve">(c)  </w:t>
      </w:r>
      <w:r>
        <w:t>No executive designation alone creates a mandatory funding floor.</w:t>
      </w:r>
    </w:p>
    <w:p>
      <w:pPr>
        <w:pStyle w:val="LegSection"/>
      </w:pPr>
      <w:r>
        <w:t>SEC. 209. PERIOD OF AVAILABILITY AND CARRYING FORWARD BUDGET AUTHORITY.</w:t>
      </w:r>
    </w:p>
    <w:p>
      <w:pPr>
        <w:pStyle w:val="LegClause"/>
      </w:pPr>
      <w:r>
        <w:rPr>
          <w:b/>
        </w:rPr>
        <w:t xml:space="preserve">(a)  </w:t>
      </w:r>
      <w:r>
        <w:t>Amounts for ordinary competitive research awards and fellowships shall remain available for obligation for five fiscal years; amounts for capital construction, spacecraft, research instruments, major test facilities, advanced computing, and archives shall remain available until expended.</w:t>
      </w:r>
    </w:p>
    <w:p>
      <w:pPr>
        <w:pStyle w:val="LegClause"/>
      </w:pPr>
      <w:r>
        <w:rPr>
          <w:b/>
        </w:rPr>
        <w:t xml:space="preserve">(b)  </w:t>
      </w:r>
      <w:r>
        <w:t>Availability for obligation does not eliminate contractual milestones, statutory purpose restrictions, project-readiness certifications, appropriations-law controls, or independent technical review.</w:t>
      </w:r>
    </w:p>
    <w:p>
      <w:pPr>
        <w:pStyle w:val="LegClause"/>
      </w:pPr>
      <w:r>
        <w:rPr>
          <w:b/>
        </w:rPr>
        <w:t xml:space="preserve">(c)  </w:t>
      </w:r>
      <w:r>
        <w:t>The aggregate annual appropriation shall be recorded as budget authority in the fiscal year provided. The Government shall report obligations and outlays separately rather than treating budget authority as cash expenditure or scientific performance.</w:t>
      </w:r>
    </w:p>
    <w:p>
      <w:pPr>
        <w:pStyle w:val="LegClause"/>
      </w:pPr>
      <w:r>
        <w:rPr>
          <w:b/>
        </w:rPr>
        <w:t xml:space="preserve">(d)  </w:t>
      </w:r>
      <w:r>
        <w:t>Unobligated amounts do not reduce the next annual statutory appropriation unless Congress expressly directs otherwise; OMB shall publish balances by year of origin and intended use.</w:t>
      </w:r>
    </w:p>
    <w:p>
      <w:pPr>
        <w:pStyle w:val="LegSection"/>
      </w:pPr>
      <w:r>
        <w:t>SEC. 210. ANTI-SUPPLANTING AND ACCOUNT INTEGRITY.</w:t>
      </w:r>
    </w:p>
    <w:p>
      <w:pPr>
        <w:pStyle w:val="LegClause"/>
      </w:pPr>
      <w:r>
        <w:rPr>
          <w:b/>
        </w:rPr>
        <w:t xml:space="preserve">(a)  </w:t>
      </w:r>
      <w:r>
        <w:t>No covered agency shall use a SPACE account to reimburse an unrelated statutory program or to finance a purpose prohibited by its own organic law.</w:t>
      </w:r>
    </w:p>
    <w:p>
      <w:pPr>
        <w:pStyle w:val="LegClause"/>
      </w:pPr>
      <w:r>
        <w:rPr>
          <w:b/>
        </w:rPr>
        <w:t xml:space="preserve">(b)  </w:t>
      </w:r>
      <w:r>
        <w:t>The ordinary fiscal year 2025 agency baselines shall be separately disclosed in each annual crosswalk. Congress remains free to enact later appropriations, but an executive official may not make an artificial book transfer solely to reduce the statutory SPACE total.</w:t>
      </w:r>
    </w:p>
    <w:p>
      <w:pPr>
        <w:pStyle w:val="LegClause"/>
      </w:pPr>
      <w:r>
        <w:rPr>
          <w:b/>
        </w:rPr>
        <w:t xml:space="preserve">(c)  </w:t>
      </w:r>
      <w:r>
        <w:t>A transfer between the civilian and defense account groups requires express law or a jointly authorized research agreement identifying permitted objectives, funds, and security controls.</w:t>
      </w:r>
    </w:p>
    <w:p>
      <w:pPr>
        <w:pStyle w:val="LegClause"/>
      </w:pPr>
      <w:r>
        <w:rPr>
          <w:b/>
        </w:rPr>
        <w:t xml:space="preserve">(d)  </w:t>
      </w:r>
      <w:r>
        <w:t>No expenditure may be charged to the same budget authority and project cost ledger more than once. GAO shall audit the crosswalk each fiscal year.</w:t>
      </w:r>
    </w:p>
    <w:p>
      <w:pPr>
        <w:pStyle w:val="LegSection"/>
      </w:pPr>
      <w:r>
        <w:t>SEC. 211. ABSORPTIVE CAPACITY AND SPENDING DISCIPLINE.</w:t>
      </w:r>
    </w:p>
    <w:p>
      <w:pPr>
        <w:pStyle w:val="LegClause"/>
      </w:pPr>
      <w:r>
        <w:rPr>
          <w:b/>
        </w:rPr>
        <w:t xml:space="preserve">(a)  </w:t>
      </w:r>
      <w:r>
        <w:t>An institution receiving an allocation exceeding twice its most recent actual annual obligations shall establish a Capacity and Readiness Plan before approving new long-term commitments above $500,000,000 in aggregate.</w:t>
      </w:r>
    </w:p>
    <w:p>
      <w:pPr>
        <w:pStyle w:val="LegClause"/>
      </w:pPr>
      <w:r>
        <w:rPr>
          <w:b/>
        </w:rPr>
        <w:t xml:space="preserve">(b)  </w:t>
      </w:r>
      <w:r>
        <w:t>The plan shall identify acquisition capacity; Government technical oversight; recruiting and apprenticeship capacity; availability of trained contractors; facilities; power and computing; environmental requirements; and the rate at which contracts can be competently managed.</w:t>
      </w:r>
    </w:p>
    <w:p>
      <w:pPr>
        <w:pStyle w:val="LegClause"/>
      </w:pPr>
      <w:r>
        <w:rPr>
          <w:b/>
        </w:rPr>
        <w:t xml:space="preserve">(c)  </w:t>
      </w:r>
      <w:r>
        <w:t>Funds shall remain available while readiness deficiencies are corrected. No numerical spending target shall justify premature award, sole-source favoritism, unsafe deployment, or cancellation of independent technical checks.</w:t>
      </w:r>
    </w:p>
    <w:p>
      <w:pPr>
        <w:pStyle w:val="LegClause"/>
      </w:pPr>
      <w:r>
        <w:rPr>
          <w:b/>
        </w:rPr>
        <w:t xml:space="preserve">(d)  </w:t>
      </w:r>
      <w:r>
        <w:t>OMB shall report to Congress quarterly on the amounts appropriated, apportioned, obligated, expended, reserved, and awaiting readiness milestones, with project-specific explanatory information.</w:t>
      </w:r>
    </w:p>
    <w:p>
      <w:pPr>
        <w:pStyle w:val="LegSection"/>
      </w:pPr>
      <w:r>
        <w:t>SEC. 212. PORTFOLIO AUTONOMY AND REPROGRAMMING.</w:t>
      </w:r>
    </w:p>
    <w:p>
      <w:pPr>
        <w:pStyle w:val="LegClause"/>
      </w:pPr>
      <w:r>
        <w:rPr>
          <w:b/>
        </w:rPr>
        <w:t xml:space="preserve">(a)  </w:t>
      </w:r>
      <w:r>
        <w:t>Heads of covered institutions may shift up to 15 percent of the annual authority within a statutory program subaccount among related technical approaches when the original mission remains unchanged and contemporaneous reasons are recorded.</w:t>
      </w:r>
    </w:p>
    <w:p>
      <w:pPr>
        <w:pStyle w:val="LegClause"/>
      </w:pPr>
      <w:r>
        <w:rPr>
          <w:b/>
        </w:rPr>
        <w:t xml:space="preserve">(b)  </w:t>
      </w:r>
      <w:r>
        <w:t>Reprogramming in excess of 7.5 percent of a subaccount shall be reported to the relevant authorizing and appropriations committees within 15 days; reprogramming across the eight aggregate accounts requires explicit statutory authority.</w:t>
      </w:r>
    </w:p>
    <w:p>
      <w:pPr>
        <w:pStyle w:val="LegClause"/>
      </w:pPr>
      <w:r>
        <w:rPr>
          <w:b/>
        </w:rPr>
        <w:t xml:space="preserve">(c)  </w:t>
      </w:r>
      <w:r>
        <w:t>No reprogramming may decrease the investigator-led basic-research reserve, long-duration observational continuity allocation, safety minimum, or protected technical review required by statute.</w:t>
      </w:r>
    </w:p>
    <w:p>
      <w:pPr>
        <w:pStyle w:val="LegSection"/>
      </w:pPr>
      <w:r>
        <w:t>SEC. 213. AGGREGATE ANNUAL SCIENTIFIC APPROPRIATION.</w:t>
      </w:r>
    </w:p>
    <w:p>
      <w:pPr>
        <w:pStyle w:val="LegClause"/>
      </w:pPr>
      <w:r>
        <w:rPr>
          <w:b/>
        </w:rPr>
        <w:t xml:space="preserve">(a)  </w:t>
      </w:r>
      <w:r>
        <w:t>For each full fiscal year beginning after this Act takes effect, there is appropriated out of any money in the Treasury not otherwise appropriated such sums as are necessary to assure aggregate SPACE program budget authority of exactly $309,748,000,000 in fiscal year 2025 dollars, adjusted under section 206, divided among the eight accounts in section 3110.</w:t>
      </w:r>
    </w:p>
    <w:p>
      <w:pPr>
        <w:pStyle w:val="LegClause"/>
      </w:pPr>
      <w:r>
        <w:rPr>
          <w:b/>
        </w:rPr>
        <w:t xml:space="preserve">(b)  </w:t>
      </w:r>
      <w:r>
        <w:t>The aggregate amount includes the NASA and DARPA totals specified in sections 201 and 202; those totals are not additional to the aggregate. Remaining allocations are additional to NASA and DARPA agency totals.</w:t>
      </w:r>
    </w:p>
    <w:p>
      <w:pPr>
        <w:pStyle w:val="LegClause"/>
      </w:pPr>
      <w:r>
        <w:rPr>
          <w:b/>
        </w:rPr>
        <w:t xml:space="preserve">(c)  </w:t>
      </w:r>
      <w:r>
        <w:t>The permanent appropriation under this section includes a Treasury backstop equal to the difference between the statutory aggregate and qualified, lawfully available other appropriations counted under section 215. The backstop is available regardless of the yield of the dedicated levies.</w:t>
      </w:r>
    </w:p>
    <w:p>
      <w:pPr>
        <w:pStyle w:val="LegClause"/>
      </w:pPr>
      <w:r>
        <w:rPr>
          <w:b/>
        </w:rPr>
        <w:t xml:space="preserve">(d)  </w:t>
      </w:r>
      <w:r>
        <w:t>Amounts are budget authority and not an assurance of equal annual cash outlays. No executive impoundment or withholding is authorized beyond the terms of this Act and existing appropriations law.</w:t>
      </w:r>
    </w:p>
    <w:p>
      <w:pPr>
        <w:pStyle w:val="LegSection"/>
      </w:pPr>
      <w:r>
        <w:t>SEC. 214. NO DUPLICATION OF BUDGET AUTHORITY.</w:t>
      </w:r>
    </w:p>
    <w:p>
      <w:pPr>
        <w:pStyle w:val="LegClause"/>
      </w:pPr>
      <w:r>
        <w:rPr>
          <w:b/>
        </w:rPr>
        <w:t xml:space="preserve">(a)  </w:t>
      </w:r>
      <w:r>
        <w:t>An amount may be counted once, and only once, toward the aggregate in section 213, regardless of whether that amount originates in the SPACE Future Fund, a regular NASA or DARPA appropriation, or a lawful interagency contribution.</w:t>
      </w:r>
    </w:p>
    <w:p>
      <w:pPr>
        <w:pStyle w:val="LegClause"/>
      </w:pPr>
      <w:r>
        <w:rPr>
          <w:b/>
        </w:rPr>
        <w:t xml:space="preserve">(b)  </w:t>
      </w:r>
      <w:r>
        <w:t>Appropriations for other Federal agencies may not be counted toward an account in this Act unless expressly designated and added to the integrated fiscal ledger in the same year. Routine non-SPACE spending by other agencies does not reduce the SPACE statutory minimum.</w:t>
      </w:r>
    </w:p>
    <w:p>
      <w:pPr>
        <w:pStyle w:val="LegClause"/>
      </w:pPr>
      <w:r>
        <w:rPr>
          <w:b/>
        </w:rPr>
        <w:t xml:space="preserve">(c)  </w:t>
      </w:r>
      <w:r>
        <w:t>The Comptroller General shall evaluate double counting annually. Any detected overcount shall be corrected through additional permanent Treasury funding to the affected account.</w:t>
      </w:r>
    </w:p>
    <w:p>
      <w:pPr>
        <w:pStyle w:val="LegSection"/>
      </w:pPr>
      <w:r>
        <w:t>SEC. 215. NASA AND DARPA REGULAR APPROPRIATIONS CROSSWALK.</w:t>
      </w:r>
    </w:p>
    <w:p>
      <w:pPr>
        <w:pStyle w:val="LegClause"/>
      </w:pPr>
      <w:r>
        <w:rPr>
          <w:b/>
        </w:rPr>
        <w:t xml:space="preserve">(a)  </w:t>
      </w:r>
      <w:r>
        <w:t>Within 30 days after annual appropriations enactment, the NASA Chief Financial Officer, the Department of Defense Comptroller, and OMB shall jointly certify the amounts of NASA and DARPA budget authority otherwise provided by law that may count toward their respective SPACE floors.</w:t>
      </w:r>
    </w:p>
    <w:p>
      <w:pPr>
        <w:pStyle w:val="LegClause"/>
      </w:pPr>
      <w:r>
        <w:rPr>
          <w:b/>
        </w:rPr>
        <w:t xml:space="preserve">(b)  </w:t>
      </w:r>
      <w:r>
        <w:t>An appropriation may be counted only if it is legally available for an eligible NASA or DARPA activity in the relevant fiscal year and its inclusion does not double count a transfer, reimbursement, or prior-year balance.</w:t>
      </w:r>
    </w:p>
    <w:p>
      <w:pPr>
        <w:pStyle w:val="LegClause"/>
      </w:pPr>
      <w:r>
        <w:rPr>
          <w:b/>
        </w:rPr>
        <w:t xml:space="preserve">(c)  </w:t>
      </w:r>
      <w:r>
        <w:t>The SPACE permanent Treasury top-up for each agency equals the positive difference between its indexed statutory floor and the qualified amount under subsection (a). Other NASA or DARPA funds above a statutory floor shall not diminish allocations to the remaining six SPACE accounts.</w:t>
      </w:r>
    </w:p>
    <w:p>
      <w:pPr>
        <w:pStyle w:val="LegClause"/>
      </w:pPr>
      <w:r>
        <w:rPr>
          <w:b/>
        </w:rPr>
        <w:t xml:space="preserve">(d)  </w:t>
      </w:r>
      <w:r>
        <w:t>The annual unified fiscal table shall show ordinary appropriations, SPACE top-ups, multi-year unobligated balances, other receipts, aggregate budget authority, and current-year outlays separately.</w:t>
      </w:r>
    </w:p>
    <w:p>
      <w:pPr>
        <w:pStyle w:val="LegSection"/>
      </w:pPr>
      <w:r>
        <w:t>SEC. 216. APPROPRIATION CLASSIFICATION AND SCOREKEEPING.</w:t>
      </w:r>
    </w:p>
    <w:p>
      <w:pPr>
        <w:pStyle w:val="LegClause"/>
      </w:pPr>
      <w:r>
        <w:rPr>
          <w:b/>
        </w:rPr>
        <w:t xml:space="preserve">(a)  </w:t>
      </w:r>
      <w:r>
        <w:t>Congress intends the permanent appropriation in section 213 to be mandatory budget authority subject to normal budget-process scorekeeping and Congressional amendment. This Act makes no claim that the appropriation is exempt from statutory budget enforcement.</w:t>
      </w:r>
    </w:p>
    <w:p>
      <w:pPr>
        <w:pStyle w:val="LegClause"/>
      </w:pPr>
      <w:r>
        <w:rPr>
          <w:b/>
        </w:rPr>
        <w:t xml:space="preserve">(b)  </w:t>
      </w:r>
      <w:r>
        <w:t>The Congressional Budget Office and the Joint Committee on Taxation shall be requested to provide official estimates of the outlay path, offsetting receipts, net budgetary effects, debt service, and induced tax changes.</w:t>
      </w:r>
    </w:p>
    <w:p>
      <w:pPr>
        <w:pStyle w:val="LegClause"/>
      </w:pPr>
      <w:r>
        <w:rPr>
          <w:b/>
        </w:rPr>
        <w:t xml:space="preserve">(c)  </w:t>
      </w:r>
      <w:r>
        <w:t>The absence or delay of an official estimate shall not transform a budget authorization into revenue or establish an assumption of deficit neutrality.</w:t>
      </w:r>
    </w:p>
    <w:p>
      <w:pPr>
        <w:pStyle w:val="LegSection"/>
      </w:pPr>
      <w:r>
        <w:t>SEC. 217. BUDGET SCHEDULE EXECUTION HIERARCHY.</w:t>
      </w:r>
    </w:p>
    <w:p>
      <w:pPr>
        <w:pStyle w:val="LegClause"/>
      </w:pPr>
      <w:r>
        <w:rPr>
          <w:b/>
        </w:rPr>
        <w:t xml:space="preserve">(a)  </w:t>
      </w:r>
      <w:r>
        <w:t>The statutory schedule shall be executed in the following order of legal priority: safety and legally binding obligations; mission-critical maintenance; recurring research and workforce continuity; independently approved capital commitments; far-horizon and exploratory allocations; and new optional expansions.</w:t>
      </w:r>
    </w:p>
    <w:p>
      <w:pPr>
        <w:pStyle w:val="LegClause"/>
      </w:pPr>
      <w:r>
        <w:rPr>
          <w:b/>
        </w:rPr>
        <w:t xml:space="preserve">(b)  </w:t>
      </w:r>
      <w:r>
        <w:t>The priority order guides annual cash and procurement planning but does not authorize the Executive to cancel, impound, or reallocate a statutory account without law.</w:t>
      </w:r>
    </w:p>
    <w:p>
      <w:pPr>
        <w:pStyle w:val="LegClause"/>
      </w:pPr>
      <w:r>
        <w:rPr>
          <w:b/>
        </w:rPr>
        <w:t xml:space="preserve">(c)  </w:t>
      </w:r>
      <w:r>
        <w:t>Where a project is not ready, funds shall be retained in the authorized account for later obligation or reassigned within the statutory bounds of section 212.</w:t>
      </w:r>
    </w:p>
    <w:p>
      <w:pPr>
        <w:pStyle w:val="LegTitle"/>
      </w:pPr>
      <w:r>
        <w:t>TITLE III — SCIENTIFIC AUTONOMY, RESEARCH FREEDOM, AND INSTITUTIONAL GOVERNANCE</w:t>
      </w:r>
    </w:p>
    <w:p>
      <w:pPr>
        <w:pStyle w:val="LegSection"/>
      </w:pPr>
      <w:r>
        <w:t>SEC. 301. SCIENTIFIC AUTONOMY CHARTER.</w:t>
      </w:r>
    </w:p>
    <w:p>
      <w:pPr>
        <w:pStyle w:val="LegClause"/>
      </w:pPr>
      <w:r>
        <w:rPr>
          <w:b/>
        </w:rPr>
        <w:t xml:space="preserve">(a)  </w:t>
      </w:r>
      <w:r>
        <w:t>Protected technical functions shall be exercised by qualified scientific, engineering, medical, technical, safety, or program personnel under written procedures.</w:t>
      </w:r>
    </w:p>
    <w:p>
      <w:pPr>
        <w:pStyle w:val="LegClause"/>
      </w:pPr>
      <w:r>
        <w:rPr>
          <w:b/>
        </w:rPr>
        <w:t xml:space="preserve">(b)  </w:t>
      </w:r>
      <w:r>
        <w:t>Protected functions include peer-review scoring; experiment design; technical milestone setting; scientific interpretation; safety findings; internal program termination; selection among lawful technical approaches; and publication decisions for unclassified fundamental research.</w:t>
      </w:r>
    </w:p>
    <w:p>
      <w:pPr>
        <w:pStyle w:val="LegClause"/>
      </w:pPr>
      <w:r>
        <w:rPr>
          <w:b/>
        </w:rPr>
        <w:t xml:space="preserve">(c)  </w:t>
      </w:r>
      <w:r>
        <w:t>Congress and the President retain authority to establish missions, appropriations, national-security priorities, lawful program objectives, and generally applicable policy.</w:t>
      </w:r>
    </w:p>
    <w:p>
      <w:pPr>
        <w:pStyle w:val="LegSection"/>
      </w:pPr>
      <w:r>
        <w:t>SEC. 302. PROHIBITION ON IMPROPER TECHNICAL INTERFERENCE.</w:t>
      </w:r>
    </w:p>
    <w:p>
      <w:pPr>
        <w:pStyle w:val="LegClause"/>
      </w:pPr>
      <w:r>
        <w:rPr>
          <w:b/>
        </w:rPr>
        <w:t xml:space="preserve">(a)  </w:t>
      </w:r>
      <w:r>
        <w:t>No Federal officer or recipient may knowingly direct alteration or suppression of a technical conclusion, safety finding, scientific result, peer-review score, or research-integrity determination for partisan, personal, retaliatory, or financial reasons.</w:t>
      </w:r>
    </w:p>
    <w:p>
      <w:pPr>
        <w:pStyle w:val="LegClause"/>
      </w:pPr>
      <w:r>
        <w:rPr>
          <w:b/>
        </w:rPr>
        <w:t xml:space="preserve">(b)  </w:t>
      </w:r>
      <w:r>
        <w:t>A lawful policy decision may differ from scientific advice if the decision-maker identifies the policy basis and does not falsify the underlying technical record.</w:t>
      </w:r>
    </w:p>
    <w:p>
      <w:pPr>
        <w:pStyle w:val="LegSection"/>
      </w:pPr>
      <w:r>
        <w:t>SEC. 303. TECHNICAL DISSENT AND MINORITY REPORTS.</w:t>
      </w:r>
    </w:p>
    <w:p>
      <w:pPr>
        <w:pStyle w:val="LegClause"/>
      </w:pPr>
      <w:r>
        <w:rPr>
          <w:b/>
        </w:rPr>
        <w:t xml:space="preserve">(a)  </w:t>
      </w:r>
      <w:r>
        <w:t>Covered institutions shall maintain confidential, nonretaliatory channels for scientific and engineering dissent.</w:t>
      </w:r>
    </w:p>
    <w:p>
      <w:pPr>
        <w:pStyle w:val="LegClause"/>
      </w:pPr>
      <w:r>
        <w:rPr>
          <w:b/>
        </w:rPr>
        <w:t xml:space="preserve">(b)  </w:t>
      </w:r>
      <w:r>
        <w:t>For major safety, cost, architecture, or scientific disagreements, qualified dissenters may place a concise minority view in the decision record.</w:t>
      </w:r>
    </w:p>
    <w:p>
      <w:pPr>
        <w:pStyle w:val="LegClause"/>
      </w:pPr>
      <w:r>
        <w:rPr>
          <w:b/>
        </w:rPr>
        <w:t xml:space="preserve">(c)  </w:t>
      </w:r>
      <w:r>
        <w:t>Classified dissent shall be handled through secure channels with access to Inspectors General and appropriate congressional committees.</w:t>
      </w:r>
    </w:p>
    <w:p>
      <w:pPr>
        <w:pStyle w:val="LegSection"/>
      </w:pPr>
      <w:r>
        <w:t>SEC. 304. INDEPENDENT SCIENTIFIC COUNCILS.</w:t>
      </w:r>
    </w:p>
    <w:p>
      <w:pPr>
        <w:pStyle w:val="LegClause"/>
      </w:pPr>
      <w:r>
        <w:rPr>
          <w:b/>
        </w:rPr>
        <w:t xml:space="preserve">(a)  </w:t>
      </w:r>
      <w:r>
        <w:t>NASA shall maintain a Science and Engineering Council; DARPA shall maintain external portfolio review panels; and the Frontier Science Network shall maintain an Independent Frontier Science Council.</w:t>
      </w:r>
    </w:p>
    <w:p>
      <w:pPr>
        <w:pStyle w:val="LegClause"/>
      </w:pPr>
      <w:r>
        <w:rPr>
          <w:b/>
        </w:rPr>
        <w:t xml:space="preserve">(b)  </w:t>
      </w:r>
      <w:r>
        <w:t>Members shall be selected for expertise rather than partisan affiliation and shall disclose financial conflicts.</w:t>
      </w:r>
    </w:p>
    <w:p>
      <w:pPr>
        <w:pStyle w:val="LegClause"/>
      </w:pPr>
      <w:r>
        <w:rPr>
          <w:b/>
        </w:rPr>
        <w:t xml:space="preserve">(c)  </w:t>
      </w:r>
      <w:r>
        <w:t>Councils may advise, publish, and recommend but may not substitute themselves for lawfully responsible executive officials.</w:t>
      </w:r>
    </w:p>
    <w:p>
      <w:pPr>
        <w:pStyle w:val="LegSection"/>
      </w:pPr>
      <w:r>
        <w:t>SEC. 305. ADMINISTRATIVE WAIVER AUTHORITY.</w:t>
      </w:r>
    </w:p>
    <w:p>
      <w:pPr>
        <w:pStyle w:val="LegClause"/>
      </w:pPr>
      <w:r>
        <w:rPr>
          <w:b/>
        </w:rPr>
        <w:t xml:space="preserve">(a)  </w:t>
      </w:r>
      <w:r>
        <w:t>The head of a covered institution may waive internal administrative policies that materially burden research and are not required by statute, regulation, binding governmentwide policy, contract, safety requirement, or appropriations law.</w:t>
      </w:r>
    </w:p>
    <w:p>
      <w:pPr>
        <w:pStyle w:val="LegClause"/>
      </w:pPr>
      <w:r>
        <w:rPr>
          <w:b/>
        </w:rPr>
        <w:t xml:space="preserve">(b)  </w:t>
      </w:r>
      <w:r>
        <w:t>Waivers shall be written, time-limited, auditable, and reported in aggregate.</w:t>
      </w:r>
    </w:p>
    <w:p>
      <w:pPr>
        <w:pStyle w:val="LegClause"/>
      </w:pPr>
      <w:r>
        <w:rPr>
          <w:b/>
        </w:rPr>
        <w:t xml:space="preserve">(c)  </w:t>
      </w:r>
      <w:r>
        <w:t>Nonwaivable matters include civil rights, labor protections, ethics, conflicts of interest, human-subject protection, biosafety, nuclear safety, environmental law, export controls, sanctions, classified-information protection, and anti-fraud controls.</w:t>
      </w:r>
    </w:p>
    <w:p>
      <w:pPr>
        <w:pStyle w:val="LegSection"/>
      </w:pPr>
      <w:r>
        <w:t>SEC. 306. SCIENTIFIC INTEGRITY OFFICERS.</w:t>
      </w:r>
    </w:p>
    <w:p>
      <w:pPr>
        <w:pStyle w:val="LegClause"/>
      </w:pPr>
      <w:r>
        <w:rPr>
          <w:b/>
        </w:rPr>
        <w:t xml:space="preserve">(a)  </w:t>
      </w:r>
      <w:r>
        <w:t>Each covered institution shall appoint a senior Scientific Integrity Officer independent of program chains of command for integrity investigations and policy.</w:t>
      </w:r>
    </w:p>
    <w:p>
      <w:pPr>
        <w:pStyle w:val="LegClause"/>
      </w:pPr>
      <w:r>
        <w:rPr>
          <w:b/>
        </w:rPr>
        <w:t xml:space="preserve">(b)  </w:t>
      </w:r>
      <w:r>
        <w:t>The officer shall distinguish fabrication, falsification, plagiarism, undisclosed conflicts, and manipulation from good-faith methodological disagreement.</w:t>
      </w:r>
    </w:p>
    <w:p>
      <w:pPr>
        <w:pStyle w:val="LegSection"/>
      </w:pPr>
      <w:r>
        <w:t>SEC. 307. LEADERSHIP CONTINUITY.</w:t>
      </w:r>
    </w:p>
    <w:p>
      <w:pPr>
        <w:pStyle w:val="LegClause"/>
      </w:pPr>
      <w:r>
        <w:rPr>
          <w:b/>
        </w:rPr>
        <w:t xml:space="preserve">(a)  </w:t>
      </w:r>
      <w:r>
        <w:t>The NASA Administrator shall be appointed for a six-year term and may serve at the pleasure of the President.</w:t>
      </w:r>
    </w:p>
    <w:p>
      <w:pPr>
        <w:pStyle w:val="LegClause"/>
      </w:pPr>
      <w:r>
        <w:rPr>
          <w:b/>
        </w:rPr>
        <w:t xml:space="preserve">(b)  </w:t>
      </w:r>
      <w:r>
        <w:t>DARPA shall preserve term-limited program leadership as a core operating principle.</w:t>
      </w:r>
    </w:p>
    <w:p>
      <w:pPr>
        <w:pStyle w:val="LegClause"/>
      </w:pPr>
      <w:r>
        <w:rPr>
          <w:b/>
        </w:rPr>
        <w:t xml:space="preserve">(c)  </w:t>
      </w:r>
      <w:r>
        <w:t>Senior scientific leadership transitions shall include documented handover of technical risks, commitments, and institutional knowledge.</w:t>
      </w:r>
    </w:p>
    <w:p>
      <w:pPr>
        <w:pStyle w:val="LegSection"/>
      </w:pPr>
      <w:r>
        <w:t>SEC. 308. INSTITUTIONAL PLURALISM.</w:t>
      </w:r>
    </w:p>
    <w:p>
      <w:pPr>
        <w:pStyle w:val="LegClause"/>
      </w:pPr>
      <w:r>
        <w:rPr>
          <w:b/>
        </w:rPr>
        <w:t xml:space="preserve">(a)  </w:t>
      </w:r>
      <w:r>
        <w:t>No central coordinating body created by this Act may dictate a single research-management model across all institutions.</w:t>
      </w:r>
    </w:p>
    <w:p>
      <w:pPr>
        <w:pStyle w:val="LegClause"/>
      </w:pPr>
      <w:r>
        <w:rPr>
          <w:b/>
        </w:rPr>
        <w:t xml:space="preserve">(b)  </w:t>
      </w:r>
      <w:r>
        <w:t>Peer-reviewed investigator-led science, mission science, operational laboratories, DARPA-style programs, prizes, user facilities, and long-duration observatories may use different governance appropriate to function.</w:t>
      </w:r>
    </w:p>
    <w:p>
      <w:pPr>
        <w:pStyle w:val="LegSection"/>
      </w:pPr>
      <w:r>
        <w:t>SEC. 309. SCIENTIFIC INTEGRITY PROCEEDINGS.</w:t>
      </w:r>
    </w:p>
    <w:p>
      <w:pPr>
        <w:pStyle w:val="LegClause"/>
      </w:pPr>
      <w:r>
        <w:rPr>
          <w:b/>
        </w:rPr>
        <w:t xml:space="preserve">(a)  </w:t>
      </w:r>
      <w:r>
        <w:t>Each covered institution shall maintain a written process for receiving allegations of falsification, suppression, retaliation, conflicted peer review, or undisclosed financial influence.</w:t>
      </w:r>
    </w:p>
    <w:p>
      <w:pPr>
        <w:pStyle w:val="LegClause"/>
      </w:pPr>
      <w:r>
        <w:rPr>
          <w:b/>
        </w:rPr>
        <w:t xml:space="preserve">(b)  </w:t>
      </w:r>
      <w:r>
        <w:t>The process shall identify investigative standards, preservation of evidence, protection of witnesses, notice to affected persons, reasoned findings, and an appeal or independent review channel.</w:t>
      </w:r>
    </w:p>
    <w:p>
      <w:pPr>
        <w:pStyle w:val="LegClause"/>
      </w:pPr>
      <w:r>
        <w:rPr>
          <w:b/>
        </w:rPr>
        <w:t xml:space="preserve">(c)  </w:t>
      </w:r>
      <w:r>
        <w:t>Good-faith criticism, error correction, scientific dissent, or unpopular results shall not alone constitute research misconduct.</w:t>
      </w:r>
    </w:p>
    <w:p>
      <w:pPr>
        <w:pStyle w:val="LegSection"/>
      </w:pPr>
      <w:r>
        <w:t>SEC. 310. PROTECTED TIME FOR SCIENCE.</w:t>
      </w:r>
    </w:p>
    <w:p>
      <w:pPr>
        <w:pStyle w:val="LegClause"/>
      </w:pPr>
      <w:r>
        <w:rPr>
          <w:b/>
        </w:rPr>
        <w:t xml:space="preserve">(a)  </w:t>
      </w:r>
      <w:r>
        <w:t>Agencies shall measure the median share of professional technical hours spent on avoidable reporting, duplicative approvals, redundant credentials, or contract administration.</w:t>
      </w:r>
    </w:p>
    <w:p>
      <w:pPr>
        <w:pStyle w:val="LegClause"/>
      </w:pPr>
      <w:r>
        <w:rPr>
          <w:b/>
        </w:rPr>
        <w:t xml:space="preserve">(b)  </w:t>
      </w:r>
      <w:r>
        <w:t>Within two years each agency shall reduce at least three burdens documented as providing minimal safety, integrity, security, or fiscal benefit, subject to a published evaluation.</w:t>
      </w:r>
    </w:p>
    <w:p>
      <w:pPr>
        <w:pStyle w:val="LegClause"/>
      </w:pPr>
      <w:r>
        <w:rPr>
          <w:b/>
        </w:rPr>
        <w:t xml:space="preserve">(c)  </w:t>
      </w:r>
      <w:r>
        <w:t>Any simplified administrative pathway must preserve records sufficient for external audit, data provenance, and public accountability.</w:t>
      </w:r>
    </w:p>
    <w:p>
      <w:pPr>
        <w:pStyle w:val="LegSection"/>
      </w:pPr>
      <w:r>
        <w:t>SEC. 311. SCIENTIFIC COUNCIL MEMBER ELIGIBILITY AND RECUSALS.</w:t>
      </w:r>
    </w:p>
    <w:p>
      <w:pPr>
        <w:pStyle w:val="LegClause"/>
      </w:pPr>
      <w:r>
        <w:rPr>
          <w:b/>
        </w:rPr>
        <w:t xml:space="preserve">(a)  </w:t>
      </w:r>
      <w:r>
        <w:t>Independent councils shall include scientists, engineers, technicians, major-facility operators, safety specialists, and research-methodology experts with staggered terms.</w:t>
      </w:r>
    </w:p>
    <w:p>
      <w:pPr>
        <w:pStyle w:val="LegClause"/>
      </w:pPr>
      <w:r>
        <w:rPr>
          <w:b/>
        </w:rPr>
        <w:t xml:space="preserve">(b)  </w:t>
      </w:r>
      <w:r>
        <w:t>A council member having a direct financial or supervisory interest in an award under review shall recuse and may provide technical evidence only through a disclosed process.</w:t>
      </w:r>
    </w:p>
    <w:p>
      <w:pPr>
        <w:pStyle w:val="LegClause"/>
      </w:pPr>
      <w:r>
        <w:rPr>
          <w:b/>
        </w:rPr>
        <w:t xml:space="preserve">(c)  </w:t>
      </w:r>
      <w:r>
        <w:t>Councils may publish minority reports and shall not act as a substitute for an authorized officer with legal power to make final decisions.</w:t>
      </w:r>
    </w:p>
    <w:p>
      <w:pPr>
        <w:pStyle w:val="LegSection"/>
      </w:pPr>
      <w:r>
        <w:t>SEC. 312. LIMITS OF AUTONOMY IN SAFETY-CRITICAL PROGRAMS.</w:t>
      </w:r>
    </w:p>
    <w:p>
      <w:pPr>
        <w:pStyle w:val="LegClause"/>
      </w:pPr>
      <w:r>
        <w:rPr>
          <w:b/>
        </w:rPr>
        <w:t xml:space="preserve">(a)  </w:t>
      </w:r>
      <w:r>
        <w:t>A scientific official may not invoke autonomy to waive the independent safety authority responsible for spaceflight, aviation, radiation, biological containment, cyber operations, or human-subject research.</w:t>
      </w:r>
    </w:p>
    <w:p>
      <w:pPr>
        <w:pStyle w:val="LegClause"/>
      </w:pPr>
      <w:r>
        <w:rPr>
          <w:b/>
        </w:rPr>
        <w:t xml:space="preserve">(b)  </w:t>
      </w:r>
      <w:r>
        <w:t>Disagreements between a program manager and independent safety official shall be elevated with a written technical record and an appeal to a qualified official not subordinate to the program.</w:t>
      </w:r>
    </w:p>
    <w:p>
      <w:pPr>
        <w:pStyle w:val="LegClause"/>
      </w:pPr>
      <w:r>
        <w:rPr>
          <w:b/>
        </w:rPr>
        <w:t xml:space="preserve">(c)  </w:t>
      </w:r>
      <w:r>
        <w:t>An imminent serious hazard may support a temporary stop-work order subject to prompt review, narrow scope, and written reasons.</w:t>
      </w:r>
    </w:p>
    <w:p>
      <w:pPr>
        <w:pStyle w:val="LegTitle"/>
      </w:pPr>
      <w:r>
        <w:t>TITLE IV — SPACE FUTURE FUND AND INTERGENERATIONAL FINANCE</w:t>
      </w:r>
    </w:p>
    <w:p>
      <w:pPr>
        <w:pStyle w:val="LegSection"/>
      </w:pPr>
      <w:r>
        <w:t>SEC. 401. SPACE FUTURE FUND AND PERMANENT TREASURY APPROPRIATION.</w:t>
      </w:r>
    </w:p>
    <w:p>
      <w:pPr>
        <w:pStyle w:val="LegClause"/>
      </w:pPr>
      <w:r>
        <w:rPr>
          <w:b/>
        </w:rPr>
        <w:t xml:space="preserve">(a)  </w:t>
      </w:r>
      <w:r>
        <w:t>There is established in the Treasury the SPACE Future Fund, consisting of a Federal Operating Account, Capital and Infrastructure Account, Stabilization Account, and Intergenerational Endowment Account.</w:t>
      </w:r>
    </w:p>
    <w:p>
      <w:pPr>
        <w:pStyle w:val="LegClause"/>
      </w:pPr>
      <w:r>
        <w:rPr>
          <w:b/>
        </w:rPr>
        <w:t xml:space="preserve">(b)  </w:t>
      </w:r>
      <w:r>
        <w:t>For each fiscal year beginning with the first full fiscal year after the effective date, amounts needed to satisfy section 213 are permanently appropriated without further fiscal-year limitation and may be invested, allotted, and spent only for purposes authorized by this Act.</w:t>
      </w:r>
    </w:p>
    <w:p>
      <w:pPr>
        <w:pStyle w:val="LegClause"/>
      </w:pPr>
      <w:r>
        <w:rPr>
          <w:b/>
        </w:rPr>
        <w:t xml:space="preserve">(c)  </w:t>
      </w:r>
      <w:r>
        <w:t>The Treasury shall make any required general-fund transfer into the Operating Account on October 1, net of qualified NASA and DARPA amounts under section 215 and net of dedicated receipts already credited for the year; forecast errors shall be reconciled quarterly without reducing the annual entitlement.</w:t>
      </w:r>
    </w:p>
    <w:p>
      <w:pPr>
        <w:pStyle w:val="LegClause"/>
      </w:pPr>
      <w:r>
        <w:rPr>
          <w:b/>
        </w:rPr>
        <w:t xml:space="preserve">(d)  </w:t>
      </w:r>
      <w:r>
        <w:t>Nothing in this section exempts spending from the Antideficiency Act, the Impoundment Control Act, the Constitution, lawful debt limits, or existing audit requirements. Any borrowing implications shall be included in official scorekeeping.</w:t>
      </w:r>
    </w:p>
    <w:p>
      <w:pPr>
        <w:pStyle w:val="LegClause"/>
      </w:pPr>
      <w:r>
        <w:rPr>
          <w:b/>
        </w:rPr>
        <w:t xml:space="preserve">(e)  </w:t>
      </w:r>
      <w:r>
        <w:t>The Fund is not a sovereign wealth fund with authority to control the private economy; it serves as a transparent fiscal, stabilization, and intergenerational stewardship structure for statutory science purposes.</w:t>
      </w:r>
    </w:p>
    <w:p>
      <w:pPr>
        <w:pStyle w:val="LegSection"/>
      </w:pPr>
      <w:r>
        <w:t>SEC. 402. RECEIPTS AND THEIR TREATMENT.</w:t>
      </w:r>
    </w:p>
    <w:p>
      <w:pPr>
        <w:pStyle w:val="LegClause"/>
      </w:pPr>
      <w:r>
        <w:rPr>
          <w:b/>
        </w:rPr>
        <w:t xml:space="preserve">(a)  </w:t>
      </w:r>
      <w:r>
        <w:t>The Fund shall receive dedicated contributions imposed in sections 403 and 404, royalties and user fees designated under law, gifts accepted under law, international reimbursements, recoveries, investment income, and any other amounts appropriated.</w:t>
      </w:r>
    </w:p>
    <w:p>
      <w:pPr>
        <w:pStyle w:val="LegClause"/>
      </w:pPr>
      <w:r>
        <w:rPr>
          <w:b/>
        </w:rPr>
        <w:t xml:space="preserve">(b)  </w:t>
      </w:r>
      <w:r>
        <w:t>All dedicated receipts shall be recorded as offsets to Treasury general-fund transfers under section 401 and shall not be counted as additional scientific program authority above section 213 unless Congress expressly authorizes additional amounts.</w:t>
      </w:r>
    </w:p>
    <w:p>
      <w:pPr>
        <w:pStyle w:val="LegClause"/>
      </w:pPr>
      <w:r>
        <w:rPr>
          <w:b/>
        </w:rPr>
        <w:t xml:space="preserve">(c)  </w:t>
      </w:r>
      <w:r>
        <w:t>Receipts in excess of current-year obligations and the Stabilization Account requirement shall be allocated to the Intergenerational Endowment according to the capital-preservation rule in section 407; excess may not be withdrawn for unrelated purposes without subsequent law.</w:t>
      </w:r>
    </w:p>
    <w:p>
      <w:pPr>
        <w:pStyle w:val="LegClause"/>
      </w:pPr>
      <w:r>
        <w:rPr>
          <w:b/>
        </w:rPr>
        <w:t xml:space="preserve">(d)  </w:t>
      </w:r>
      <w:r>
        <w:t>The Fund shall publish annual gross revenue, net revenue after economic offsets where estimated, transfers, obligations, outlays, Fund balances, and independent audit opinions.</w:t>
      </w:r>
    </w:p>
    <w:p>
      <w:pPr>
        <w:pStyle w:val="LegSection"/>
      </w:pPr>
      <w:r>
        <w:t>SEC. 403. FRONTIER FINANCIAL-TRANSACTIONS CONTRIBUTION.</w:t>
      </w:r>
    </w:p>
    <w:p>
      <w:pPr>
        <w:pStyle w:val="LegClause"/>
      </w:pPr>
      <w:r>
        <w:rPr>
          <w:b/>
        </w:rPr>
        <w:t xml:space="preserve">(a)  </w:t>
      </w:r>
      <w:r>
        <w:t>A Federal excise contribution is imposed on covered secondary-market acquisitions of securities at 0.06 percent of the consideration paid for equities and pooled securities, 0.02 percent of consideration for debt obligations, and a derivatives-equivalence amount prescribed by law and implementing regulations to avoid taxing the full notional value of economically small positions.</w:t>
      </w:r>
    </w:p>
    <w:p>
      <w:pPr>
        <w:pStyle w:val="LegClause"/>
      </w:pPr>
      <w:r>
        <w:rPr>
          <w:b/>
        </w:rPr>
        <w:t xml:space="preserve">(b)  </w:t>
      </w:r>
      <w:r>
        <w:t>Initial primary issuance, bank deposits, ordinary payments, Federal benefits, spot currency exchange, and securities with a remaining maturity of not more than 100 days are excluded; bona fide clearing, market-making, and retirement-plan intermediaries may use relief mechanisms that prevent duplicate tax on a single economic acquisition.</w:t>
      </w:r>
    </w:p>
    <w:p>
      <w:pPr>
        <w:pStyle w:val="LegClause"/>
      </w:pPr>
      <w:r>
        <w:rPr>
          <w:b/>
        </w:rPr>
        <w:t xml:space="preserve">(c)  </w:t>
      </w:r>
      <w:r>
        <w:t>The Secretary shall promulgate rules identifying liable persons, settlement collection, cross-border nexus, exemptions, refund claims, reporting, and safeguards against abusive migration or artificial slicing of transactions.</w:t>
      </w:r>
    </w:p>
    <w:p>
      <w:pPr>
        <w:pStyle w:val="LegClause"/>
      </w:pPr>
      <w:r>
        <w:rPr>
          <w:b/>
        </w:rPr>
        <w:t xml:space="preserve">(d)  </w:t>
      </w:r>
      <w:r>
        <w:t>The contribution may not be increased by regulation. Congress may adjust the rate after reviewing CBO and Joint Committee on Taxation estimates, liquidity, household incidence, market integrity, and international substitution.</w:t>
      </w:r>
    </w:p>
    <w:p>
      <w:pPr>
        <w:pStyle w:val="LegClause"/>
      </w:pPr>
      <w:r>
        <w:rPr>
          <w:b/>
        </w:rPr>
        <w:t xml:space="preserve">(e)  </w:t>
      </w:r>
      <w:r>
        <w:t>This section is a dedicated revenue offset, not the sole financing source for the permanent appropriation. Its enactment does not establish a legislative finding that the tax will cover any fixed fraction of the total $309,748,000,000 program.</w:t>
      </w:r>
    </w:p>
    <w:p>
      <w:pPr>
        <w:pStyle w:val="LegSection"/>
      </w:pPr>
      <w:r>
        <w:t>SEC. 404. SUPPLEMENTAL STOCK-REPURCHASE CONTRIBUTION.</w:t>
      </w:r>
    </w:p>
    <w:p>
      <w:pPr>
        <w:pStyle w:val="LegClause"/>
      </w:pPr>
      <w:r>
        <w:rPr>
          <w:b/>
        </w:rPr>
        <w:t xml:space="preserve">(a)  </w:t>
      </w:r>
      <w:r>
        <w:t>There is imposed on a covered corporation an additional excise contribution equal to one percent of the value of stock repurchases that are subject to section 4501 of the Internal Revenue Code of 1986, determined using its base, netting, and anti-abuse rules.</w:t>
      </w:r>
    </w:p>
    <w:p>
      <w:pPr>
        <w:pStyle w:val="LegClause"/>
      </w:pPr>
      <w:r>
        <w:rPr>
          <w:b/>
        </w:rPr>
        <w:t xml:space="preserve">(b)  </w:t>
      </w:r>
      <w:r>
        <w:t>The additional contribution shall be collected by the Internal Revenue Service and credited to the Fund as an offset to general-fund transfers, without reducing the underlying section 4501 tax.</w:t>
      </w:r>
    </w:p>
    <w:p>
      <w:pPr>
        <w:pStyle w:val="LegClause"/>
      </w:pPr>
      <w:r>
        <w:rPr>
          <w:b/>
        </w:rPr>
        <w:t xml:space="preserve">(c)  </w:t>
      </w:r>
      <w:r>
        <w:t>Treasury shall publish an annual review of substitution toward dividends, investment, compensation, or foreign transactions. A revenue estimate in another fiscal report shall not be interpreted as an official score of this subsection.</w:t>
      </w:r>
    </w:p>
    <w:p>
      <w:pPr>
        <w:pStyle w:val="LegSection"/>
      </w:pPr>
      <w:r>
        <w:t>SEC. 405. REVENUE UNCERTAINTY AND TREASURY TRANSFER.</w:t>
      </w:r>
    </w:p>
    <w:p>
      <w:pPr>
        <w:pStyle w:val="LegClause"/>
      </w:pPr>
      <w:r>
        <w:rPr>
          <w:b/>
        </w:rPr>
        <w:t xml:space="preserve">(a)  </w:t>
      </w:r>
      <w:r>
        <w:t>The Secretary shall prepare a three-year forward forecast of dedicated receipts and current-year outlays in at least low, central, and high revenue scenarios, separately reporting behavioral effects and macroeconomic assumptions.</w:t>
      </w:r>
    </w:p>
    <w:p>
      <w:pPr>
        <w:pStyle w:val="LegClause"/>
      </w:pPr>
      <w:r>
        <w:rPr>
          <w:b/>
        </w:rPr>
        <w:t xml:space="preserve">(b)  </w:t>
      </w:r>
      <w:r>
        <w:t>A forecast shortfall shall increase the general-fund transfer under section 401 rather than automatically reduce the $309,748,000,000 statutory budget-authority amount; any proposed fiscal offset shall be submitted to Congress for enactment.</w:t>
      </w:r>
    </w:p>
    <w:p>
      <w:pPr>
        <w:pStyle w:val="LegClause"/>
      </w:pPr>
      <w:r>
        <w:rPr>
          <w:b/>
        </w:rPr>
        <w:t xml:space="preserve">(c)  </w:t>
      </w:r>
      <w:r>
        <w:t>Nothing in this Act authorizes an executive official to impose a tax or increase a statutory rate to close a projected gap. Taxation rates shall be set by law.</w:t>
      </w:r>
    </w:p>
    <w:p>
      <w:pPr>
        <w:pStyle w:val="LegClause"/>
      </w:pPr>
      <w:r>
        <w:rPr>
          <w:b/>
        </w:rPr>
        <w:t xml:space="preserve">(d)  </w:t>
      </w:r>
      <w:r>
        <w:t>For transparency, the Secretary shall disclose the net federal deficit or surplus effect of this Act under official estimates and shall distinguish budget-authority, outlay, receipt, and interest effects.</w:t>
      </w:r>
    </w:p>
    <w:p>
      <w:pPr>
        <w:pStyle w:val="LegSection"/>
      </w:pPr>
      <w:r>
        <w:t>SEC. 406. FULLY APPROPRIATED FUNDS AND TRUTHFUL FISCAL SCORE.</w:t>
      </w:r>
    </w:p>
    <w:p>
      <w:pPr>
        <w:pStyle w:val="LegClause"/>
      </w:pPr>
      <w:r>
        <w:rPr>
          <w:b/>
        </w:rPr>
        <w:t xml:space="preserve">(a)  </w:t>
      </w:r>
      <w:r>
        <w:t>The annual accounts specified in this Act are fully appropriated as a matter of federal budget authority. Congress does not determine in this section that dedicated tax receipts will fully offset the resulting outlays.</w:t>
      </w:r>
    </w:p>
    <w:p>
      <w:pPr>
        <w:pStyle w:val="LegClause"/>
      </w:pPr>
      <w:r>
        <w:rPr>
          <w:b/>
        </w:rPr>
        <w:t xml:space="preserve">(b)  </w:t>
      </w:r>
      <w:r>
        <w:t>Each annual budget submission shall show gross SPACE budget authority, regular NASA/DARPA appropriations counted against the two agency floors, required Treasury top-up, dedicated receipts, estimated outlays, and the ten-year net federal budget effect.</w:t>
      </w:r>
    </w:p>
    <w:p>
      <w:pPr>
        <w:pStyle w:val="LegClause"/>
      </w:pPr>
      <w:r>
        <w:rPr>
          <w:b/>
        </w:rPr>
        <w:t xml:space="preserve">(c)  </w:t>
      </w:r>
      <w:r>
        <w:t>The President shall transmit recommended revenue or spending measures addressing any estimated net deficit effect, but no recommendation shall suspend or alter this Act without subsequent legislation.</w:t>
      </w:r>
    </w:p>
    <w:p>
      <w:pPr>
        <w:pStyle w:val="LegSection"/>
      </w:pPr>
      <w:r>
        <w:t>SEC. 407. INTERGENERATIONAL ENDOWMENT ACCOUNT.</w:t>
      </w:r>
    </w:p>
    <w:p>
      <w:pPr>
        <w:pStyle w:val="LegClause"/>
      </w:pPr>
      <w:r>
        <w:rPr>
          <w:b/>
        </w:rPr>
        <w:t xml:space="preserve">(a)  </w:t>
      </w:r>
      <w:r>
        <w:t>The target real principal of the Intergenerational Endowment Account shall equal 50 times the certified annual aggregate SPACE authority, corresponding to $15,487,400,000,000 in fiscal year 2025 purchasing power at the initial statutory schedule.</w:t>
      </w:r>
    </w:p>
    <w:p>
      <w:pPr>
        <w:pStyle w:val="LegClause"/>
      </w:pPr>
      <w:r>
        <w:rPr>
          <w:b/>
        </w:rPr>
        <w:t xml:space="preserve">(b)  </w:t>
      </w:r>
      <w:r>
        <w:t>The Endowment shall be capitalized only from legally available excess receipts, amounts separately appropriated for capitalization, and realized net investment gains. No part of the $309,748,000,000 annual operating schedule shall be assumed simultaneously to be expenditure authority and new Endowment principal.</w:t>
      </w:r>
    </w:p>
    <w:p>
      <w:pPr>
        <w:pStyle w:val="LegClause"/>
      </w:pPr>
      <w:r>
        <w:rPr>
          <w:b/>
        </w:rPr>
        <w:t xml:space="preserve">(c)  </w:t>
      </w:r>
      <w:r>
        <w:t>After the Endowment reaches not less than 25 times the then-current annual program amount, ordinary annual distributions shall not exceed two percent of the trailing five-year average market value measured in real dollars, subject to actuarial assessment and a statutory emergency exception.</w:t>
      </w:r>
    </w:p>
    <w:p>
      <w:pPr>
        <w:pStyle w:val="LegClause"/>
      </w:pPr>
      <w:r>
        <w:rPr>
          <w:b/>
        </w:rPr>
        <w:t xml:space="preserve">(d)  </w:t>
      </w:r>
      <w:r>
        <w:t>The target is a rolling intergenerational capital objective, not an assertion that a permanent two-percent real return or a 500-year capital guarantee exists.</w:t>
      </w:r>
    </w:p>
    <w:p>
      <w:pPr>
        <w:pStyle w:val="LegClause"/>
      </w:pPr>
      <w:r>
        <w:rPr>
          <w:b/>
        </w:rPr>
        <w:t xml:space="preserve">(e)  </w:t>
      </w:r>
      <w:r>
        <w:t>The Board shall model fees, inflation, sequence risk, market crashes, debt sustainability, and legislative changes and report results under section 411.</w:t>
      </w:r>
    </w:p>
    <w:p>
      <w:pPr>
        <w:pStyle w:val="LegSection"/>
      </w:pPr>
      <w:r>
        <w:t>SEC. 408. STABILIZATION ACCOUNT AND MINIMUM LIQUIDITY.</w:t>
      </w:r>
    </w:p>
    <w:p>
      <w:pPr>
        <w:pStyle w:val="LegClause"/>
      </w:pPr>
      <w:r>
        <w:rPr>
          <w:b/>
        </w:rPr>
        <w:t xml:space="preserve">(a)  </w:t>
      </w:r>
      <w:r>
        <w:t>The Stabilization Account shall maintain a target of not less than 30 months of the protected combined NASA and DARPA annual authority, equal initially to $434,757,500,000 in fiscal year 2025 purchasing power.</w:t>
      </w:r>
    </w:p>
    <w:p>
      <w:pPr>
        <w:pStyle w:val="LegClause"/>
      </w:pPr>
      <w:r>
        <w:rPr>
          <w:b/>
        </w:rPr>
        <w:t xml:space="preserve">(b)  </w:t>
      </w:r>
      <w:r>
        <w:t>The target shall be built according to a 20-year capitalization schedule based on legally available receipts; the existence of a target shall not be construed as proof that sufficient assets are currently held.</w:t>
      </w:r>
    </w:p>
    <w:p>
      <w:pPr>
        <w:pStyle w:val="LegClause"/>
      </w:pPr>
      <w:r>
        <w:rPr>
          <w:b/>
        </w:rPr>
        <w:t xml:space="preserve">(c)  </w:t>
      </w:r>
      <w:r>
        <w:t>Stabilization assets shall be invested in short-duration Treasury instruments and other high-liquidity assets permitted by law; withdrawals require a documented fiscal disruption, identified current legal obligations, and contemporaneous congressional notification.</w:t>
      </w:r>
    </w:p>
    <w:p>
      <w:pPr>
        <w:pStyle w:val="LegClause"/>
      </w:pPr>
      <w:r>
        <w:rPr>
          <w:b/>
        </w:rPr>
        <w:t xml:space="preserve">(d)  </w:t>
      </w:r>
      <w:r>
        <w:t>Replenishment shall take priority over discretionary Endowment capitalization following a withdrawal. The Fund Board may not use the Stabilization Account for equity market speculation or political industrial policy.</w:t>
      </w:r>
    </w:p>
    <w:p>
      <w:pPr>
        <w:pStyle w:val="LegSection"/>
      </w:pPr>
      <w:r>
        <w:t>SEC. 409. FUND BOARD AND FIDUCIARY DESIGN.</w:t>
      </w:r>
    </w:p>
    <w:p>
      <w:pPr>
        <w:pStyle w:val="LegClause"/>
      </w:pPr>
      <w:r>
        <w:rPr>
          <w:b/>
        </w:rPr>
        <w:t xml:space="preserve">(a)  </w:t>
      </w:r>
      <w:r>
        <w:t>The Intergenerational Endowment shall be administered by a Board of nine: the Secretary of the Treasury, the Director of OMB, and seven members appointed by the President with Senate consent, each appointed for a staggered twelve-year term.</w:t>
      </w:r>
    </w:p>
    <w:p>
      <w:pPr>
        <w:pStyle w:val="LegClause"/>
      </w:pPr>
      <w:r>
        <w:rPr>
          <w:b/>
        </w:rPr>
        <w:t xml:space="preserve">(b)  </w:t>
      </w:r>
      <w:r>
        <w:t>Appointed members shall be chosen for demonstrable public finance, fiduciary investing, risk management, scientific infrastructure, governance, or pension-system expertise; not fewer than three shall have substantial portfolio risk or investment experience.</w:t>
      </w:r>
    </w:p>
    <w:p>
      <w:pPr>
        <w:pStyle w:val="LegClause"/>
      </w:pPr>
      <w:r>
        <w:rPr>
          <w:b/>
        </w:rPr>
        <w:t xml:space="preserve">(c)  </w:t>
      </w:r>
      <w:r>
        <w:t>A member shall disclose financial interests, recuse from conflicts, and be prohibited from benefiting personally from securities transactions of the Fund. An independent ethics and audit committee shall review compliance annually.</w:t>
      </w:r>
    </w:p>
    <w:p>
      <w:pPr>
        <w:pStyle w:val="LegClause"/>
      </w:pPr>
      <w:r>
        <w:rPr>
          <w:b/>
        </w:rPr>
        <w:t xml:space="preserve">(d)  </w:t>
      </w:r>
      <w:r>
        <w:t>The Board shall not direct NASA or DARPA research awards, and neither agency shall direct Fund investment decisions.</w:t>
      </w:r>
    </w:p>
    <w:p>
      <w:pPr>
        <w:pStyle w:val="LegSection"/>
      </w:pPr>
      <w:r>
        <w:t>SEC. 410. INVESTMENT POLICY AND LIMITATIONS.</w:t>
      </w:r>
    </w:p>
    <w:p>
      <w:pPr>
        <w:pStyle w:val="LegClause"/>
      </w:pPr>
      <w:r>
        <w:rPr>
          <w:b/>
        </w:rPr>
        <w:t xml:space="preserve">(a)  </w:t>
      </w:r>
      <w:r>
        <w:t>The Board shall adopt diversified, indexed, low-fee long-term investment policies with explicit liquidity, concentration, credit, currency, custodial, operational, and cyber limits, subject to congressional oversight.</w:t>
      </w:r>
    </w:p>
    <w:p>
      <w:pPr>
        <w:pStyle w:val="LegClause"/>
      </w:pPr>
      <w:r>
        <w:rPr>
          <w:b/>
        </w:rPr>
        <w:t xml:space="preserve">(b)  </w:t>
      </w:r>
      <w:r>
        <w:t>No investment shall confer authority to manage an operating company or use Fund voting rights for unrelated policy purposes. Foreign and national-security restrictions shall be administered through published legal criteria.</w:t>
      </w:r>
    </w:p>
    <w:p>
      <w:pPr>
        <w:pStyle w:val="LegClause"/>
      </w:pPr>
      <w:r>
        <w:rPr>
          <w:b/>
        </w:rPr>
        <w:t xml:space="preserve">(c)  </w:t>
      </w:r>
      <w:r>
        <w:t>Audited returns shall be reported net of fees and compared with publicly defined benchmarks. Apparent gains may not be booked as available program resources until legally realizable and distributable.</w:t>
      </w:r>
    </w:p>
    <w:p>
      <w:pPr>
        <w:pStyle w:val="LegClause"/>
      </w:pPr>
      <w:r>
        <w:rPr>
          <w:b/>
        </w:rPr>
        <w:t xml:space="preserve">(d)  </w:t>
      </w:r>
      <w:r>
        <w:t>The Fund shall not issue federal debt, pledge Treasury credit outside existing law, or guarantee private investment returns.</w:t>
      </w:r>
    </w:p>
    <w:p>
      <w:pPr>
        <w:pStyle w:val="LegSection"/>
      </w:pPr>
      <w:r>
        <w:t>SEC. 411. LONG-RANGE CAPITAL AND BUDGET DISCLOSURE.</w:t>
      </w:r>
    </w:p>
    <w:p>
      <w:pPr>
        <w:pStyle w:val="LegClause"/>
      </w:pPr>
      <w:r>
        <w:rPr>
          <w:b/>
        </w:rPr>
        <w:t xml:space="preserve">(a)  </w:t>
      </w:r>
      <w:r>
        <w:t>Every five years the Board shall issue stochastic 10-, 30-, 100-, and 500-year fiscal sustainability scenarios, including assumptions for population, productivity, scientific cost inflation, revenues, federal debt, interest, real asset returns, and legislative revision.</w:t>
      </w:r>
    </w:p>
    <w:p>
      <w:pPr>
        <w:pStyle w:val="LegClause"/>
      </w:pPr>
      <w:r>
        <w:rPr>
          <w:b/>
        </w:rPr>
        <w:t xml:space="preserve">(b)  </w:t>
      </w:r>
      <w:r>
        <w:t>The 500-year scenario is a stewardship exercise and shall not be presented as a forecast of prices, political institutions, revenue, or investment performance.</w:t>
      </w:r>
    </w:p>
    <w:p>
      <w:pPr>
        <w:pStyle w:val="LegClause"/>
      </w:pPr>
      <w:r>
        <w:rPr>
          <w:b/>
        </w:rPr>
        <w:t xml:space="preserve">(c)  </w:t>
      </w:r>
      <w:r>
        <w:t>The annual public Fund report shall show the distinction between permanent Treasury appropriations, dedicated revenue offsets, realized net investment proceeds, capitalized Endowment balances, and legally usable stabilization reserves.</w:t>
      </w:r>
    </w:p>
    <w:p>
      <w:pPr>
        <w:pStyle w:val="LegClause"/>
      </w:pPr>
      <w:r>
        <w:rPr>
          <w:b/>
        </w:rPr>
        <w:t xml:space="preserve">(d)  </w:t>
      </w:r>
      <w:r>
        <w:t>GAO shall conduct a biennial performance audit and the Fund shall receive an annual independent financial audit.</w:t>
      </w:r>
    </w:p>
    <w:p>
      <w:pPr>
        <w:pStyle w:val="LegSection"/>
      </w:pPr>
      <w:r>
        <w:t>SEC. 412. CONGRESSIONAL AUTHORITY AND FUTURE LEGISLATION.</w:t>
      </w:r>
    </w:p>
    <w:p>
      <w:pPr>
        <w:pStyle w:val="LegClause"/>
      </w:pPr>
      <w:r>
        <w:rPr>
          <w:b/>
        </w:rPr>
        <w:t xml:space="preserve">(a)  </w:t>
      </w:r>
      <w:r>
        <w:t>Congress intends this Act to establish durable funding and oversight, but no provision purports to bind future Congresses, restrict repeal by later law, or constitutionally entrench a tax or appropriation.</w:t>
      </w:r>
    </w:p>
    <w:p>
      <w:pPr>
        <w:pStyle w:val="LegClause"/>
      </w:pPr>
      <w:r>
        <w:rPr>
          <w:b/>
        </w:rPr>
        <w:t xml:space="preserve">(b)  </w:t>
      </w:r>
      <w:r>
        <w:t>A later law limiting an account shall specify its intended treatment of the annual schedule and outstanding long-duration contractual obligations; absent clear language, ordinary rules of statutory construction govern.</w:t>
      </w:r>
    </w:p>
    <w:p>
      <w:pPr>
        <w:pStyle w:val="LegClause"/>
      </w:pPr>
      <w:r>
        <w:rPr>
          <w:b/>
        </w:rPr>
        <w:t xml:space="preserve">(c)  </w:t>
      </w:r>
      <w:r>
        <w:t>The Executive may not interpret administrative flexibility under this Act as authority to refuse to obligate legally available funds contrary to applicable statutes.</w:t>
      </w:r>
    </w:p>
    <w:p>
      <w:pPr>
        <w:pStyle w:val="LegSection"/>
      </w:pPr>
      <w:r>
        <w:t>SEC. 413. ACCOUNT RECONCILIATION AND FINANCIAL SYSTEM.</w:t>
      </w:r>
    </w:p>
    <w:p>
      <w:pPr>
        <w:pStyle w:val="LegClause"/>
      </w:pPr>
      <w:r>
        <w:rPr>
          <w:b/>
        </w:rPr>
        <w:t xml:space="preserve">(a)  </w:t>
      </w:r>
      <w:r>
        <w:t>Treasury shall maintain a transaction-level or auditable aggregate ledger associating each appropriation with account, fiscal-year origin, agency, project, program, transfer, obligated amount, and cash outlay.</w:t>
      </w:r>
    </w:p>
    <w:p>
      <w:pPr>
        <w:pStyle w:val="LegClause"/>
      </w:pPr>
      <w:r>
        <w:rPr>
          <w:b/>
        </w:rPr>
        <w:t xml:space="preserve">(b)  </w:t>
      </w:r>
      <w:r>
        <w:t>Identical funds counted toward NASA or DARPA ordinary appropriations shall be netted from Fund top-ups. Agency reimbursements, fee offsets, and transfers shall not create fictitious new budget authority.</w:t>
      </w:r>
    </w:p>
    <w:p>
      <w:pPr>
        <w:pStyle w:val="LegClause"/>
      </w:pPr>
      <w:r>
        <w:rPr>
          <w:b/>
        </w:rPr>
        <w:t xml:space="preserve">(c)  </w:t>
      </w:r>
      <w:r>
        <w:t>The Chief Financial Officers Act and ordinary Government accounting standards shall govern. The consolidated Fund ledger shall be available to inspectors general and GAO.</w:t>
      </w:r>
    </w:p>
    <w:p>
      <w:pPr>
        <w:pStyle w:val="LegSection"/>
      </w:pPr>
      <w:r>
        <w:t>SEC. 414. SUPPLEMENTAL APPROPRIATION TRANSPARENCY.</w:t>
      </w:r>
    </w:p>
    <w:p>
      <w:pPr>
        <w:pStyle w:val="LegClause"/>
      </w:pPr>
      <w:r>
        <w:rPr>
          <w:b/>
        </w:rPr>
        <w:t xml:space="preserve">(a)  </w:t>
      </w:r>
      <w:r>
        <w:t>Additional funding enacted for an emergency or separate public purpose shall be shown outside the $309,748,000,000 annual schedule unless Congress expressly provides that it counts toward an identified SPACE account.</w:t>
      </w:r>
    </w:p>
    <w:p>
      <w:pPr>
        <w:pStyle w:val="LegClause"/>
      </w:pPr>
      <w:r>
        <w:rPr>
          <w:b/>
        </w:rPr>
        <w:t xml:space="preserve">(b)  </w:t>
      </w:r>
      <w:r>
        <w:t>Where additional funding is counted, the schedule shall still reconcile by fiscal-year origin and shall not obscure baseline research support.</w:t>
      </w:r>
    </w:p>
    <w:p>
      <w:pPr>
        <w:pStyle w:val="LegSection"/>
      </w:pPr>
      <w:r>
        <w:t>SEC. 415. REVENUE INCIDENCE AND TAX-BASE INTEGRITY.</w:t>
      </w:r>
    </w:p>
    <w:p>
      <w:pPr>
        <w:pStyle w:val="LegClause"/>
      </w:pPr>
      <w:r>
        <w:rPr>
          <w:b/>
        </w:rPr>
        <w:t xml:space="preserve">(a)  </w:t>
      </w:r>
      <w:r>
        <w:t>The Secretary, in consultation with the Joint Committee on Taxation and relevant regulators, shall publish annual estimates of the direct and indirect incidence of the contributions imposed by this title.</w:t>
      </w:r>
    </w:p>
    <w:p>
      <w:pPr>
        <w:pStyle w:val="LegClause"/>
      </w:pPr>
      <w:r>
        <w:rPr>
          <w:b/>
        </w:rPr>
        <w:t xml:space="preserve">(b)  </w:t>
      </w:r>
      <w:r>
        <w:t>The review shall address retirement accounts, pension funds, small savers, market-making liquidity, issuance costs, derivatives hedging, international trading substitution, and the relative burden on different income classes.</w:t>
      </w:r>
    </w:p>
    <w:p>
      <w:pPr>
        <w:pStyle w:val="LegClause"/>
      </w:pPr>
      <w:r>
        <w:rPr>
          <w:b/>
        </w:rPr>
        <w:t xml:space="preserve">(c)  </w:t>
      </w:r>
      <w:r>
        <w:t>The Secretary shall recommend statutory corrections if the contributions materially impair market resilience or produce greater offsetting losses than expected.</w:t>
      </w:r>
    </w:p>
    <w:p>
      <w:pPr>
        <w:pStyle w:val="LegSection"/>
      </w:pPr>
      <w:r>
        <w:t>SEC. 416. FIVE-YEAR FISCAL RECONCILIATION.</w:t>
      </w:r>
    </w:p>
    <w:p>
      <w:pPr>
        <w:pStyle w:val="LegClause"/>
      </w:pPr>
      <w:r>
        <w:rPr>
          <w:b/>
        </w:rPr>
        <w:t xml:space="preserve">(a)  </w:t>
      </w:r>
      <w:r>
        <w:t>Every five years Congress shall receive an independent reconciliation comparing the enacted appropriation, actual outlays, credited receipts, economic offsets, reserves, capital principal, scientific outcomes, and the net effect on federal debt.</w:t>
      </w:r>
    </w:p>
    <w:p>
      <w:pPr>
        <w:pStyle w:val="LegClause"/>
      </w:pPr>
      <w:r>
        <w:rPr>
          <w:b/>
        </w:rPr>
        <w:t xml:space="preserve">(b)  </w:t>
      </w:r>
      <w:r>
        <w:t>The report shall state whether the annual schedule is sustainable under low-growth and high-cost scenarios and identify legislative measures needed to restore fiscal balance without concealing tradeoffs.</w:t>
      </w:r>
    </w:p>
    <w:p>
      <w:pPr>
        <w:pStyle w:val="LegTitle"/>
      </w:pPr>
      <w:r>
        <w:t>TITLE V — NATIONAL SCIENTIFIC INFRASTRUCTURE AUTHORITY AND RESEARCH ENVIRONMENTS</w:t>
      </w:r>
    </w:p>
    <w:p>
      <w:pPr>
        <w:pStyle w:val="LegSection"/>
      </w:pPr>
      <w:r>
        <w:t>SEC. 501. NATIONAL SCIENTIFIC INFRASTRUCTURE AUTHORITY.</w:t>
      </w:r>
    </w:p>
    <w:p>
      <w:pPr>
        <w:pStyle w:val="LegClause"/>
      </w:pPr>
      <w:r>
        <w:rPr>
          <w:b/>
        </w:rPr>
        <w:t xml:space="preserve">(a)  </w:t>
      </w:r>
      <w:r>
        <w:t>There is established a National Scientific Infrastructure Authority, an executive-branch government corporation for delivery and lifecycle management of major civilian research infrastructure.</w:t>
      </w:r>
    </w:p>
    <w:p>
      <w:pPr>
        <w:pStyle w:val="LegClause"/>
      </w:pPr>
      <w:r>
        <w:rPr>
          <w:b/>
        </w:rPr>
        <w:t xml:space="preserve">(b)  </w:t>
      </w:r>
      <w:r>
        <w:t>The Authority may plan, design, construct, acquire, lease, modernize, maintain, and decommission scientific facilities when designated by a participating agency and funded by law.</w:t>
      </w:r>
    </w:p>
    <w:p>
      <w:pPr>
        <w:pStyle w:val="LegClause"/>
      </w:pPr>
      <w:r>
        <w:rPr>
          <w:b/>
        </w:rPr>
        <w:t xml:space="preserve">(c)  </w:t>
      </w:r>
      <w:r>
        <w:t>The Authority shall not select scientific research awards or displace agency ownership of scientific missions.</w:t>
      </w:r>
    </w:p>
    <w:p>
      <w:pPr>
        <w:pStyle w:val="LegClause"/>
      </w:pPr>
      <w:r>
        <w:rPr>
          <w:b/>
        </w:rPr>
        <w:t xml:space="preserve">(d)  </w:t>
      </w:r>
      <w:r>
        <w:t>Before a facility project may obligate more than $500,000,000, the sponsoring agency shall appoint an accountable executive for schedule, technical scope, cost, safety, and independent-review compliance.</w:t>
      </w:r>
    </w:p>
    <w:p>
      <w:pPr>
        <w:pStyle w:val="LegSection"/>
      </w:pPr>
      <w:r>
        <w:t>SEC. 502. AUTHORITY GOVERNANCE.</w:t>
      </w:r>
    </w:p>
    <w:p>
      <w:pPr>
        <w:pStyle w:val="LegClause"/>
      </w:pPr>
      <w:r>
        <w:rPr>
          <w:b/>
        </w:rPr>
        <w:t xml:space="preserve">(a)  </w:t>
      </w:r>
      <w:r>
        <w:t>The Authority shall be governed by a seven-member board including representatives of GSA, NASA, DOE, NSF, NIST, and two presidentially appointed infrastructure experts.</w:t>
      </w:r>
    </w:p>
    <w:p>
      <w:pPr>
        <w:pStyle w:val="LegClause"/>
      </w:pPr>
      <w:r>
        <w:rPr>
          <w:b/>
        </w:rPr>
        <w:t xml:space="preserve">(b)  </w:t>
      </w:r>
      <w:r>
        <w:t>Inspector General audit coverage shall be assigned by law or interagency agreement.</w:t>
      </w:r>
    </w:p>
    <w:p>
      <w:pPr>
        <w:pStyle w:val="LegClause"/>
      </w:pPr>
      <w:r>
        <w:rPr>
          <w:b/>
        </w:rPr>
        <w:t xml:space="preserve">(c)  </w:t>
      </w:r>
      <w:r>
        <w:t>Major projects shall use independent cost and schedule estimates before final investment decisions.</w:t>
      </w:r>
    </w:p>
    <w:p>
      <w:pPr>
        <w:pStyle w:val="LegSection"/>
      </w:pPr>
      <w:r>
        <w:t>SEC. 503. FEDERAL SCIENTIFIC LAND BANK.</w:t>
      </w:r>
    </w:p>
    <w:p>
      <w:pPr>
        <w:pStyle w:val="LegClause"/>
      </w:pPr>
      <w:r>
        <w:rPr>
          <w:b/>
        </w:rPr>
        <w:t xml:space="preserve">(a)  </w:t>
      </w:r>
      <w:r>
        <w:t>GSA shall identify suitable Federal property for future laboratories, test sites, observatories, launch and landing facilities, housing, energy systems, and related infrastructure.</w:t>
      </w:r>
    </w:p>
    <w:p>
      <w:pPr>
        <w:pStyle w:val="LegClause"/>
      </w:pPr>
      <w:r>
        <w:rPr>
          <w:b/>
        </w:rPr>
        <w:t xml:space="preserve">(b)  </w:t>
      </w:r>
      <w:r>
        <w:t>The land bank does not itself authorize construction, environmental harm, withdrawal of protected lands, or displacement.</w:t>
      </w:r>
    </w:p>
    <w:p>
      <w:pPr>
        <w:pStyle w:val="LegClause"/>
      </w:pPr>
      <w:r>
        <w:rPr>
          <w:b/>
        </w:rPr>
        <w:t xml:space="preserve">(c)  </w:t>
      </w:r>
      <w:r>
        <w:t>Agencies shall prioritize compatible underused Federal property before acquiring private land unless mission need requires otherwise.</w:t>
      </w:r>
    </w:p>
    <w:p>
      <w:pPr>
        <w:pStyle w:val="LegSection"/>
      </w:pPr>
      <w:r>
        <w:t>SEC. 504. SPACE CAMPUSES.</w:t>
      </w:r>
    </w:p>
    <w:p>
      <w:pPr>
        <w:pStyle w:val="LegClause"/>
      </w:pPr>
      <w:r>
        <w:rPr>
          <w:b/>
        </w:rPr>
        <w:t xml:space="preserve">(a)  </w:t>
      </w:r>
      <w:r>
        <w:t>SPACE campuses may integrate laboratories, offices, fabrication, test, computing, libraries, collaboration space, housing for remote or visiting personnel, childcare, food, transportation, recreation, emergency response, and resilient utilities.</w:t>
      </w:r>
    </w:p>
    <w:p>
      <w:pPr>
        <w:pStyle w:val="LegClause"/>
      </w:pPr>
      <w:r>
        <w:rPr>
          <w:b/>
        </w:rPr>
        <w:t xml:space="preserve">(b)  </w:t>
      </w:r>
      <w:r>
        <w:t>Residence shall not be a general condition of employment.</w:t>
      </w:r>
    </w:p>
    <w:p>
      <w:pPr>
        <w:pStyle w:val="LegClause"/>
      </w:pPr>
      <w:r>
        <w:rPr>
          <w:b/>
        </w:rPr>
        <w:t xml:space="preserve">(c)  </w:t>
      </w:r>
      <w:r>
        <w:t>Campuses shall be designed for interdisciplinary collaboration, hands-on prototyping, safe experimentation, accessibility, and sustainable work patterns.</w:t>
      </w:r>
    </w:p>
    <w:p>
      <w:pPr>
        <w:pStyle w:val="LegClause"/>
      </w:pPr>
      <w:r>
        <w:rPr>
          <w:b/>
        </w:rPr>
        <w:t xml:space="preserve">(d)  </w:t>
      </w:r>
      <w:r>
        <w:t>The design shall consider collaboration, acoustic and visual privacy, laboratory hazards, ergonomics, accessibility, heating and cooling, transit access, and safe work patterns without substituting facility amenities for scientific mission needs.</w:t>
      </w:r>
    </w:p>
    <w:p>
      <w:pPr>
        <w:pStyle w:val="LegSection"/>
      </w:pPr>
      <w:r>
        <w:t>SEC. 505. MAJOR USER FACILITIES.</w:t>
      </w:r>
    </w:p>
    <w:p>
      <w:pPr>
        <w:pStyle w:val="LegClause"/>
      </w:pPr>
      <w:r>
        <w:rPr>
          <w:b/>
        </w:rPr>
        <w:t xml:space="preserve">(a)  </w:t>
      </w:r>
      <w:r>
        <w:t>The Authority and agencies may operate user facilities accessible to Federal, university, nonprofit, small-business, international, and commercial researchers.</w:t>
      </w:r>
    </w:p>
    <w:p>
      <w:pPr>
        <w:pStyle w:val="LegClause"/>
      </w:pPr>
      <w:r>
        <w:rPr>
          <w:b/>
        </w:rPr>
        <w:t xml:space="preserve">(b)  </w:t>
      </w:r>
      <w:r>
        <w:t>Access shall be based on scientific merit, mission need, capacity, security, safety, and transparent cost-recovery rules.</w:t>
      </w:r>
    </w:p>
    <w:p>
      <w:pPr>
        <w:pStyle w:val="LegClause"/>
      </w:pPr>
      <w:r>
        <w:rPr>
          <w:b/>
        </w:rPr>
        <w:t xml:space="preserve">(c)  </w:t>
      </w:r>
      <w:r>
        <w:t>At least 15 percent of competitively allocable time shall be reserved for first-time, small-scale, or emerging users where technically feasible.</w:t>
      </w:r>
    </w:p>
    <w:p>
      <w:pPr>
        <w:pStyle w:val="LegSection"/>
      </w:pPr>
      <w:r>
        <w:t>SEC. 506. LIFECYCLE CAPITAL RULE.</w:t>
      </w:r>
    </w:p>
    <w:p>
      <w:pPr>
        <w:pStyle w:val="LegClause"/>
      </w:pPr>
      <w:r>
        <w:rPr>
          <w:b/>
        </w:rPr>
        <w:t xml:space="preserve">(a)  </w:t>
      </w:r>
      <w:r>
        <w:t>No major facility shall receive full construction authorization without an operations, maintenance, cyber, workforce, upgrade, decommissioning, and archival plan.</w:t>
      </w:r>
    </w:p>
    <w:p>
      <w:pPr>
        <w:pStyle w:val="LegClause"/>
      </w:pPr>
      <w:r>
        <w:rPr>
          <w:b/>
        </w:rPr>
        <w:t xml:space="preserve">(b)  </w:t>
      </w:r>
      <w:r>
        <w:t>Agencies shall establish lifecycle reserves where predictable future decommissioning or hazardous cleanup costs are material.</w:t>
      </w:r>
    </w:p>
    <w:p>
      <w:pPr>
        <w:pStyle w:val="LegSection"/>
      </w:pPr>
      <w:r>
        <w:t>SEC. 507. PERMITTING AND ENVIRONMENTAL REVIEW.</w:t>
      </w:r>
    </w:p>
    <w:p>
      <w:pPr>
        <w:pStyle w:val="LegClause"/>
      </w:pPr>
      <w:r>
        <w:rPr>
          <w:b/>
        </w:rPr>
        <w:t xml:space="preserve">(a)  </w:t>
      </w:r>
      <w:r>
        <w:t>Agencies shall use early programmatic review, concurrent permitting, common data, and interagency schedules to reduce unnecessary delay.</w:t>
      </w:r>
    </w:p>
    <w:p>
      <w:pPr>
        <w:pStyle w:val="LegClause"/>
      </w:pPr>
      <w:r>
        <w:rPr>
          <w:b/>
        </w:rPr>
        <w:t xml:space="preserve">(b)  </w:t>
      </w:r>
      <w:r>
        <w:t>Nothing in this section waives substantive environmental law, historic-preservation law, tribal consultation, public participation, or judicial review.</w:t>
      </w:r>
    </w:p>
    <w:p>
      <w:pPr>
        <w:pStyle w:val="LegClause"/>
      </w:pPr>
      <w:r>
        <w:rPr>
          <w:b/>
        </w:rPr>
        <w:t xml:space="preserve">(c)  </w:t>
      </w:r>
      <w:r>
        <w:t>A lead agency should target completion of ordinary Federal reviews within two years where the record permits.</w:t>
      </w:r>
    </w:p>
    <w:p>
      <w:pPr>
        <w:pStyle w:val="LegSection"/>
      </w:pPr>
      <w:r>
        <w:t>SEC. 508. LOCAL INFRASTRUCTURE AGREEMENTS.</w:t>
      </w:r>
    </w:p>
    <w:p>
      <w:pPr>
        <w:pStyle w:val="LegClause"/>
      </w:pPr>
      <w:r>
        <w:rPr>
          <w:b/>
        </w:rPr>
        <w:t xml:space="preserve">(a)  </w:t>
      </w:r>
      <w:r>
        <w:t>For major Federal expansion that materially burdens local housing, roads, schools, emergency services, water, or utilities, agencies may enter cost-sharing or mitigation agreements with State, tribal, territorial, and local governments.</w:t>
      </w:r>
    </w:p>
    <w:p>
      <w:pPr>
        <w:pStyle w:val="LegClause"/>
      </w:pPr>
      <w:r>
        <w:rPr>
          <w:b/>
        </w:rPr>
        <w:t xml:space="preserve">(b)  </w:t>
      </w:r>
      <w:r>
        <w:t>Agreements shall not condition Federal scientific decisions on local political favoritism.</w:t>
      </w:r>
    </w:p>
    <w:p>
      <w:pPr>
        <w:pStyle w:val="LegSection"/>
      </w:pPr>
      <w:r>
        <w:t>SEC. 509. DEFERRED MAINTENANCE TRANSPARENCY.</w:t>
      </w:r>
    </w:p>
    <w:p>
      <w:pPr>
        <w:pStyle w:val="LegClause"/>
      </w:pPr>
      <w:r>
        <w:rPr>
          <w:b/>
        </w:rPr>
        <w:t xml:space="preserve">(a)  </w:t>
      </w:r>
      <w:r>
        <w:t>Covered institutions shall report deferred maintenance by mission criticality, estimated cost, asset condition, and expected risk.</w:t>
      </w:r>
    </w:p>
    <w:p>
      <w:pPr>
        <w:pStyle w:val="LegClause"/>
      </w:pPr>
      <w:r>
        <w:rPr>
          <w:b/>
        </w:rPr>
        <w:t xml:space="preserve">(b)  </w:t>
      </w:r>
      <w:r>
        <w:t>Annual recapitalization plans shall be based on lifecycle need rather than arbitrary spending percentages.</w:t>
      </w:r>
    </w:p>
    <w:p>
      <w:pPr>
        <w:pStyle w:val="LegSection"/>
      </w:pPr>
      <w:r>
        <w:t>SEC. 510. CONSTRUCTION CLASS AND INDEPENDENT ESTIMATING.</w:t>
      </w:r>
    </w:p>
    <w:p>
      <w:pPr>
        <w:pStyle w:val="LegClause"/>
      </w:pPr>
      <w:r>
        <w:rPr>
          <w:b/>
        </w:rPr>
        <w:t xml:space="preserve">(a)  </w:t>
      </w:r>
      <w:r>
        <w:t>Projects with estimated lifecycle costs of $250,000,000 or more shall receive an independent schedule and cost-risk estimate before the Government commits to a baseline.</w:t>
      </w:r>
    </w:p>
    <w:p>
      <w:pPr>
        <w:pStyle w:val="LegClause"/>
      </w:pPr>
      <w:r>
        <w:rPr>
          <w:b/>
        </w:rPr>
        <w:t xml:space="preserve">(b)  </w:t>
      </w:r>
      <w:r>
        <w:t>Projects above $2,000,000,000 shall undergo a preconstruction readiness hearing involving the agency Chief Engineer, Chief Financial Officer, and an independent technical review panel.</w:t>
      </w:r>
    </w:p>
    <w:p>
      <w:pPr>
        <w:pStyle w:val="LegClause"/>
      </w:pPr>
      <w:r>
        <w:rPr>
          <w:b/>
        </w:rPr>
        <w:t xml:space="preserve">(c)  </w:t>
      </w:r>
      <w:r>
        <w:t>Cost models shall include power, water, traffic, information systems, access roads, security, land, decommissioning, instrument installation, and the first ten years of operation.</w:t>
      </w:r>
    </w:p>
    <w:p>
      <w:pPr>
        <w:pStyle w:val="LegSection"/>
      </w:pPr>
      <w:r>
        <w:t>SEC. 511. SCIENCE PROPERTY ENERGY AND WATER RESILIENCE.</w:t>
      </w:r>
    </w:p>
    <w:p>
      <w:pPr>
        <w:pStyle w:val="LegClause"/>
      </w:pPr>
      <w:r>
        <w:rPr>
          <w:b/>
        </w:rPr>
        <w:t xml:space="preserve">(a)  </w:t>
      </w:r>
      <w:r>
        <w:t>Each major campus charter shall calculate required grid capacity, backup power, thermal loads, water use, telecommunications redundancy, emergency access, and science-critical environmental conditions.</w:t>
      </w:r>
    </w:p>
    <w:p>
      <w:pPr>
        <w:pStyle w:val="LegClause"/>
      </w:pPr>
      <w:r>
        <w:rPr>
          <w:b/>
        </w:rPr>
        <w:t xml:space="preserve">(b)  </w:t>
      </w:r>
      <w:r>
        <w:t>Facility designs shall favor low total lifecycle cost, resilience, and maintainability, without prescribing a particular energy technology or diminishing applicable environmental safeguards.</w:t>
      </w:r>
    </w:p>
    <w:p>
      <w:pPr>
        <w:pStyle w:val="LegClause"/>
      </w:pPr>
      <w:r>
        <w:rPr>
          <w:b/>
        </w:rPr>
        <w:t xml:space="preserve">(c)  </w:t>
      </w:r>
      <w:r>
        <w:t>Power and water demand shall be coordinated with host utilities and local governments before construction contracts for permanently occupied campuses are finalized.</w:t>
      </w:r>
    </w:p>
    <w:p>
      <w:pPr>
        <w:pStyle w:val="LegSection"/>
      </w:pPr>
      <w:r>
        <w:t>SEC. 512. MODERNIZATION BEFORE NEW CONSTRUCTION.</w:t>
      </w:r>
    </w:p>
    <w:p>
      <w:pPr>
        <w:pStyle w:val="LegClause"/>
      </w:pPr>
      <w:r>
        <w:rPr>
          <w:b/>
        </w:rPr>
        <w:t xml:space="preserve">(a)  </w:t>
      </w:r>
      <w:r>
        <w:t>Before approving a new laboratory or test facility, the Authority shall examine whether rehabilitation, co-location, instrument expansion, shared use, or distributed operation could meet the same scientific need.</w:t>
      </w:r>
    </w:p>
    <w:p>
      <w:pPr>
        <w:pStyle w:val="LegClause"/>
      </w:pPr>
      <w:r>
        <w:rPr>
          <w:b/>
        </w:rPr>
        <w:t xml:space="preserve">(b)  </w:t>
      </w:r>
      <w:r>
        <w:t>A new facility may be preferred when safety, technical function, operating efficiency, geographic resilience, or lifecycle cost materially favors construction.</w:t>
      </w:r>
    </w:p>
    <w:p>
      <w:pPr>
        <w:pStyle w:val="LegClause"/>
      </w:pPr>
      <w:r>
        <w:rPr>
          <w:b/>
        </w:rPr>
        <w:t xml:space="preserve">(c)  </w:t>
      </w:r>
      <w:r>
        <w:t>Decisions shall preserve future expansion space and avoid stranding existing instruments without a transition plan.</w:t>
      </w:r>
    </w:p>
    <w:p>
      <w:pPr>
        <w:pStyle w:val="LegSection"/>
      </w:pPr>
      <w:r>
        <w:t>SEC. 513. SCIENTIFIC EQUIPMENT RENEWAL PROGRAM.</w:t>
      </w:r>
    </w:p>
    <w:p>
      <w:pPr>
        <w:pStyle w:val="LegClause"/>
      </w:pPr>
      <w:r>
        <w:rPr>
          <w:b/>
        </w:rPr>
        <w:t xml:space="preserve">(a)  </w:t>
      </w:r>
      <w:r>
        <w:t>Major instruments shall receive renewal plans for calibration, spares, precision components, software, security updates, metrology, repair, and end-of-service disposal.</w:t>
      </w:r>
    </w:p>
    <w:p>
      <w:pPr>
        <w:pStyle w:val="LegClause"/>
      </w:pPr>
      <w:r>
        <w:rPr>
          <w:b/>
        </w:rPr>
        <w:t xml:space="preserve">(b)  </w:t>
      </w:r>
      <w:r>
        <w:t>A deferred replacement shall identify the effect on scientific validity, test capacity, safety, and supply resilience.</w:t>
      </w:r>
    </w:p>
    <w:p>
      <w:pPr>
        <w:pStyle w:val="LegClause"/>
      </w:pPr>
      <w:r>
        <w:rPr>
          <w:b/>
        </w:rPr>
        <w:t xml:space="preserve">(c)  </w:t>
      </w:r>
      <w:r>
        <w:t>Shared replacement inventories may be established where common instruments can reduce downtime across Federal laboratories.</w:t>
      </w:r>
    </w:p>
    <w:p>
      <w:pPr>
        <w:pStyle w:val="LegSection"/>
      </w:pPr>
      <w:r>
        <w:t>SEC. 514. SECURE YET OPEN RESEARCH ENVIRONMENTS.</w:t>
      </w:r>
    </w:p>
    <w:p>
      <w:pPr>
        <w:pStyle w:val="LegClause"/>
      </w:pPr>
      <w:r>
        <w:rPr>
          <w:b/>
        </w:rPr>
        <w:t xml:space="preserve">(a)  </w:t>
      </w:r>
      <w:r>
        <w:t>Capital designs shall distinguish open scientific zones, restricted technology areas, classified facilities, and public education spaces according to demonstrated legal and security needs.</w:t>
      </w:r>
    </w:p>
    <w:p>
      <w:pPr>
        <w:pStyle w:val="LegClause"/>
      </w:pPr>
      <w:r>
        <w:rPr>
          <w:b/>
        </w:rPr>
        <w:t xml:space="preserve">(b)  </w:t>
      </w:r>
      <w:r>
        <w:t>A blanket classified-campus designation shall not be used to impose military-level restrictions on ordinary civilian research.</w:t>
      </w:r>
    </w:p>
    <w:p>
      <w:pPr>
        <w:pStyle w:val="LegClause"/>
      </w:pPr>
      <w:r>
        <w:rPr>
          <w:b/>
        </w:rPr>
        <w:t xml:space="preserve">(c)  </w:t>
      </w:r>
      <w:r>
        <w:t>User-facility agreements shall specify access, intellectual property, personal data, safety training, and cybersecurity obligations in clear terms.</w:t>
      </w:r>
    </w:p>
    <w:p>
      <w:pPr>
        <w:pStyle w:val="LegTitle"/>
      </w:pPr>
      <w:r>
        <w:t>TITLE VI — NASA CAPACITY, SCIENCE, EXPLORATION, AND AERONAUTICS</w:t>
      </w:r>
    </w:p>
    <w:p>
      <w:pPr>
        <w:pStyle w:val="LegSection"/>
      </w:pPr>
      <w:r>
        <w:t>SEC. 601. BALANCED NASA PORTFOLIO.</w:t>
      </w:r>
    </w:p>
    <w:p>
      <w:pPr>
        <w:pStyle w:val="LegClause"/>
      </w:pPr>
      <w:r>
        <w:rPr>
          <w:b/>
        </w:rPr>
        <w:t xml:space="preserve">(a)  </w:t>
      </w:r>
      <w:r>
        <w:t>NASA shall maintain balanced portfolios in Earth science, planetary science, astrophysics, heliophysics, biological and physical sciences, aeronautics, space technology, human exploration, operations, planetary defense, and advanced concepts.</w:t>
      </w:r>
    </w:p>
    <w:p>
      <w:pPr>
        <w:pStyle w:val="LegClause"/>
      </w:pPr>
      <w:r>
        <w:rPr>
          <w:b/>
        </w:rPr>
        <w:t xml:space="preserve">(b)  </w:t>
      </w:r>
      <w:r>
        <w:t>No single human-exploration architecture may consume more than 35 percent of NASA annual authority without specific congressional approval.</w:t>
      </w:r>
    </w:p>
    <w:p>
      <w:pPr>
        <w:pStyle w:val="LegClause"/>
      </w:pPr>
      <w:r>
        <w:rPr>
          <w:b/>
        </w:rPr>
        <w:t xml:space="preserve">(c)  </w:t>
      </w:r>
      <w:r>
        <w:t>NASA shall maintain opportunities at small, medium, flagship, suborbital, airborne, hosted-payload, and technology-demonstration scales.</w:t>
      </w:r>
    </w:p>
    <w:p>
      <w:pPr>
        <w:pStyle w:val="LegClause"/>
      </w:pPr>
      <w:r>
        <w:rPr>
          <w:b/>
        </w:rPr>
        <w:t xml:space="preserve">(d)  </w:t>
      </w:r>
      <w:r>
        <w:t>NASA shall publish a portfolio balance showing both mission operations and forward-looking research; no long-term science account shall be silently redirected to a single human-exploration architecture without law.</w:t>
      </w:r>
    </w:p>
    <w:p>
      <w:pPr>
        <w:pStyle w:val="LegSection"/>
      </w:pPr>
      <w:r>
        <w:t>SEC. 602. NASA WORKFORCE RESTORATION AND GROWTH.</w:t>
      </w:r>
    </w:p>
    <w:p>
      <w:pPr>
        <w:pStyle w:val="LegClause"/>
      </w:pPr>
      <w:r>
        <w:rPr>
          <w:b/>
        </w:rPr>
        <w:t xml:space="preserve">(a)  </w:t>
      </w:r>
      <w:r>
        <w:t>NASA shall prepare a five-year workforce plan to restore critical skills and scale staffing for the statutory funding environment.</w:t>
      </w:r>
    </w:p>
    <w:p>
      <w:pPr>
        <w:pStyle w:val="LegClause"/>
      </w:pPr>
      <w:r>
        <w:rPr>
          <w:b/>
        </w:rPr>
        <w:t xml:space="preserve">(b)  </w:t>
      </w:r>
      <w:r>
        <w:t>Priority shall include systems engineering, project management, software, cybersecurity, mission assurance, science, procurement, facilities, launch operations, flight operations, and technical trades.</w:t>
      </w:r>
    </w:p>
    <w:p>
      <w:pPr>
        <w:pStyle w:val="LegClause"/>
      </w:pPr>
      <w:r>
        <w:rPr>
          <w:b/>
        </w:rPr>
        <w:t xml:space="preserve">(c)  </w:t>
      </w:r>
      <w:r>
        <w:t>NASA shall report contractor and civil-service dependency risks and identify functions for which Government technical competence must be retained.</w:t>
      </w:r>
    </w:p>
    <w:p>
      <w:pPr>
        <w:pStyle w:val="LegSection"/>
      </w:pPr>
      <w:r>
        <w:t>SEC. 603. NASA INFRASTRUCTURE RECOVERY.</w:t>
      </w:r>
    </w:p>
    <w:p>
      <w:pPr>
        <w:pStyle w:val="LegClause"/>
      </w:pPr>
      <w:r>
        <w:rPr>
          <w:b/>
        </w:rPr>
        <w:t xml:space="preserve">(a)  </w:t>
      </w:r>
      <w:r>
        <w:t>NASA shall execute a ten-year mission-critical deferred-maintenance elimination plan.</w:t>
      </w:r>
    </w:p>
    <w:p>
      <w:pPr>
        <w:pStyle w:val="LegClause"/>
      </w:pPr>
      <w:r>
        <w:rPr>
          <w:b/>
        </w:rPr>
        <w:t xml:space="preserve">(b)  </w:t>
      </w:r>
      <w:r>
        <w:t>Kennedy, Wallops, major test centers, deep-space communications, laboratories, ranges, and common-use utilities shall receive capacity plans tied to projected Government and commercial demand.</w:t>
      </w:r>
    </w:p>
    <w:p>
      <w:pPr>
        <w:pStyle w:val="LegClause"/>
      </w:pPr>
      <w:r>
        <w:rPr>
          <w:b/>
        </w:rPr>
        <w:t xml:space="preserve">(c)  </w:t>
      </w:r>
      <w:r>
        <w:t>Commercial users may pay equitable common-use infrastructure charges while scientific and small public-interest missions may receive reduced fees.</w:t>
      </w:r>
    </w:p>
    <w:p>
      <w:pPr>
        <w:pStyle w:val="LegSection"/>
      </w:pPr>
      <w:r>
        <w:t>SEC. 604. SCIENCE MISSION CADENCE.</w:t>
      </w:r>
    </w:p>
    <w:p>
      <w:pPr>
        <w:pStyle w:val="LegClause"/>
      </w:pPr>
      <w:r>
        <w:rPr>
          <w:b/>
        </w:rPr>
        <w:t xml:space="preserve">(a)  </w:t>
      </w:r>
      <w:r>
        <w:t>NASA shall maintain rolling ten-year mission opportunity calendars by major science division.</w:t>
      </w:r>
    </w:p>
    <w:p>
      <w:pPr>
        <w:pStyle w:val="LegClause"/>
      </w:pPr>
      <w:r>
        <w:rPr>
          <w:b/>
        </w:rPr>
        <w:t xml:space="preserve">(b)  </w:t>
      </w:r>
      <w:r>
        <w:t>At least every five years NASA shall provide open on-ramps for scientific questions that emerged after the most recent decadal or strategic review.</w:t>
      </w:r>
    </w:p>
    <w:p>
      <w:pPr>
        <w:pStyle w:val="LegSection"/>
      </w:pPr>
      <w:r>
        <w:t>SEC. 605. EXPLORATION ARCHITECTURE PRINCIPLES.</w:t>
      </w:r>
    </w:p>
    <w:p>
      <w:pPr>
        <w:pStyle w:val="LegClause"/>
      </w:pPr>
      <w:r>
        <w:rPr>
          <w:b/>
        </w:rPr>
        <w:t xml:space="preserve">(a)  </w:t>
      </w:r>
      <w:r>
        <w:t>Exploration systems shall be modular, interoperable, evolvable, and assessed for lifecycle logistics rather than launch-only cost.</w:t>
      </w:r>
    </w:p>
    <w:p>
      <w:pPr>
        <w:pStyle w:val="LegClause"/>
      </w:pPr>
      <w:r>
        <w:rPr>
          <w:b/>
        </w:rPr>
        <w:t xml:space="preserve">(b)  </w:t>
      </w:r>
      <w:r>
        <w:t>NASA may reorder, replace, or terminate obsolete architectures based on safety, readiness, scientific value, cost, or international opportunity.</w:t>
      </w:r>
    </w:p>
    <w:p>
      <w:pPr>
        <w:pStyle w:val="LegClause"/>
      </w:pPr>
      <w:r>
        <w:rPr>
          <w:b/>
        </w:rPr>
        <w:t xml:space="preserve">(c)  </w:t>
      </w:r>
      <w:r>
        <w:t>Sunk cost alone is not a statutory reason to continue a technically inferior architecture.</w:t>
      </w:r>
    </w:p>
    <w:p>
      <w:pPr>
        <w:pStyle w:val="LegSection"/>
      </w:pPr>
      <w:r>
        <w:t>SEC. 606. INDEPENDENT COST AND SCHEDULE AUTHORITY.</w:t>
      </w:r>
    </w:p>
    <w:p>
      <w:pPr>
        <w:pStyle w:val="LegClause"/>
      </w:pPr>
      <w:r>
        <w:rPr>
          <w:b/>
        </w:rPr>
        <w:t xml:space="preserve">(a)  </w:t>
      </w:r>
      <w:r>
        <w:t>NASA shall maintain independent cost, schedule, and technical-readiness assessment functions for major projects.</w:t>
      </w:r>
    </w:p>
    <w:p>
      <w:pPr>
        <w:pStyle w:val="LegClause"/>
      </w:pPr>
      <w:r>
        <w:rPr>
          <w:b/>
        </w:rPr>
        <w:t xml:space="preserve">(b)  </w:t>
      </w:r>
      <w:r>
        <w:t>For projects above $1,000,000,000 lifecycle cost, independent estimates shall be refreshed at major design and commitment points.</w:t>
      </w:r>
    </w:p>
    <w:p>
      <w:pPr>
        <w:pStyle w:val="LegSection"/>
      </w:pPr>
      <w:r>
        <w:t>SEC. 607. ADVANCED CONCEPTS OFFICE.</w:t>
      </w:r>
    </w:p>
    <w:p>
      <w:pPr>
        <w:pStyle w:val="LegClause"/>
      </w:pPr>
      <w:r>
        <w:rPr>
          <w:b/>
        </w:rPr>
        <w:t xml:space="preserve">(a)  </w:t>
      </w:r>
      <w:r>
        <w:t>NASA shall maintain an Advanced Concepts Office capable of funding highly speculative mission and technology studies at low initial cost.</w:t>
      </w:r>
    </w:p>
    <w:p>
      <w:pPr>
        <w:pStyle w:val="LegClause"/>
      </w:pPr>
      <w:r>
        <w:rPr>
          <w:b/>
        </w:rPr>
        <w:t xml:space="preserve">(b)  </w:t>
      </w:r>
      <w:r>
        <w:t>Selection shall focus on testable assumptions, scientific plausibility, and learning value rather than near-term commercialization.</w:t>
      </w:r>
    </w:p>
    <w:p>
      <w:pPr>
        <w:pStyle w:val="LegSection"/>
      </w:pPr>
      <w:r>
        <w:t>SEC. 608. COMMERCIAL AND INTERNATIONAL PARTNERSHIPS.</w:t>
      </w:r>
    </w:p>
    <w:p>
      <w:pPr>
        <w:pStyle w:val="LegClause"/>
      </w:pPr>
      <w:r>
        <w:rPr>
          <w:b/>
        </w:rPr>
        <w:t xml:space="preserve">(a)  </w:t>
      </w:r>
      <w:r>
        <w:t>NASA may use service contracts, fixed-price development, milestone agreements, hosted payloads, shared missions, and international contributions where those models allocate risk rationally.</w:t>
      </w:r>
    </w:p>
    <w:p>
      <w:pPr>
        <w:pStyle w:val="LegClause"/>
      </w:pPr>
      <w:r>
        <w:rPr>
          <w:b/>
        </w:rPr>
        <w:t xml:space="preserve">(b)  </w:t>
      </w:r>
      <w:r>
        <w:t>NASA shall preserve enough internal capability to remain an intelligent buyer, integrator, and safety authority.</w:t>
      </w:r>
    </w:p>
    <w:p>
      <w:pPr>
        <w:pStyle w:val="LegSection"/>
      </w:pPr>
      <w:r>
        <w:t>SEC. 609. NASA CENTER TRANSFORMATION PLANS.</w:t>
      </w:r>
    </w:p>
    <w:p>
      <w:pPr>
        <w:pStyle w:val="LegClause"/>
      </w:pPr>
      <w:r>
        <w:rPr>
          <w:b/>
        </w:rPr>
        <w:t xml:space="preserve">(a)  </w:t>
      </w:r>
      <w:r>
        <w:t>Each NASA center shall publish a ten-year capability map identifying its principal unique laboratories, flight systems, scientific skills, support infrastructure, obsolete assets, and cross-center opportunities.</w:t>
      </w:r>
    </w:p>
    <w:p>
      <w:pPr>
        <w:pStyle w:val="LegClause"/>
      </w:pPr>
      <w:r>
        <w:rPr>
          <w:b/>
        </w:rPr>
        <w:t xml:space="preserve">(b)  </w:t>
      </w:r>
      <w:r>
        <w:t>Plans shall explain how the center will deliver the statutory NASA account without duplicating research facilities that could be shared with DOE, NSF, NIST, or commercial facilities.</w:t>
      </w:r>
    </w:p>
    <w:p>
      <w:pPr>
        <w:pStyle w:val="LegClause"/>
      </w:pPr>
      <w:r>
        <w:rPr>
          <w:b/>
        </w:rPr>
        <w:t xml:space="preserve">(c)  </w:t>
      </w:r>
      <w:r>
        <w:t>Major center mission changes shall be subjected to science, engineering, workforce, and regional impact review before implementation.</w:t>
      </w:r>
    </w:p>
    <w:p>
      <w:pPr>
        <w:pStyle w:val="LegSection"/>
      </w:pPr>
      <w:r>
        <w:t>SEC. 610. INDEPENDENT MISSION CONCEPT SELECTION.</w:t>
      </w:r>
    </w:p>
    <w:p>
      <w:pPr>
        <w:pStyle w:val="LegClause"/>
      </w:pPr>
      <w:r>
        <w:rPr>
          <w:b/>
        </w:rPr>
        <w:t xml:space="preserve">(a)  </w:t>
      </w:r>
      <w:r>
        <w:t>NASA shall maintain independent competitions for lower-cost missions, technology demonstrators, and investigator-led exploration proposals alongside flagship and agency-directed projects.</w:t>
      </w:r>
    </w:p>
    <w:p>
      <w:pPr>
        <w:pStyle w:val="LegClause"/>
      </w:pPr>
      <w:r>
        <w:rPr>
          <w:b/>
        </w:rPr>
        <w:t xml:space="preserve">(b)  </w:t>
      </w:r>
      <w:r>
        <w:t>Technical selection records shall distinguish scientific merit, cost credibility, mission risk, readiness, and strategic value; policy overrides shall be written and reviewable.</w:t>
      </w:r>
    </w:p>
    <w:p>
      <w:pPr>
        <w:pStyle w:val="LegClause"/>
      </w:pPr>
      <w:r>
        <w:rPr>
          <w:b/>
        </w:rPr>
        <w:t xml:space="preserve">(c)  </w:t>
      </w:r>
      <w:r>
        <w:t>No single prime contractor may control all competing systems within an architecture without a documented competition or interoperability justification.</w:t>
      </w:r>
    </w:p>
    <w:p>
      <w:pPr>
        <w:pStyle w:val="LegSection"/>
      </w:pPr>
      <w:r>
        <w:t>SEC. 611. EXPLORATION LOGISTICS RESERVE AND LAUNCH RELIABILITY.</w:t>
      </w:r>
    </w:p>
    <w:p>
      <w:pPr>
        <w:pStyle w:val="LegClause"/>
      </w:pPr>
      <w:r>
        <w:rPr>
          <w:b/>
        </w:rPr>
        <w:t xml:space="preserve">(a)  </w:t>
      </w:r>
      <w:r>
        <w:t>NASA shall maintain logistics and spares models for mission architectures dependent on multiple launches, orbital refueling, long-duration systems, and critical planetary communications.</w:t>
      </w:r>
    </w:p>
    <w:p>
      <w:pPr>
        <w:pStyle w:val="LegClause"/>
      </w:pPr>
      <w:r>
        <w:rPr>
          <w:b/>
        </w:rPr>
        <w:t xml:space="preserve">(b)  </w:t>
      </w:r>
      <w:r>
        <w:t>Independent mission assurance shall evaluate coupling risks created by shared engines, fuels, launch providers, software libraries, ground infrastructure, or single-source components.</w:t>
      </w:r>
    </w:p>
    <w:p>
      <w:pPr>
        <w:pStyle w:val="LegClause"/>
      </w:pPr>
      <w:r>
        <w:rPr>
          <w:b/>
        </w:rPr>
        <w:t xml:space="preserve">(c)  </w:t>
      </w:r>
      <w:r>
        <w:t>NASA may acquire reserve mission capacity or redundant pathways when expected mission-loss risk justifies their lifecycle cost.</w:t>
      </w:r>
    </w:p>
    <w:p>
      <w:pPr>
        <w:pStyle w:val="LegSection"/>
      </w:pPr>
      <w:r>
        <w:t>SEC. 612. SPACE SCIENCE MISSION BALANCE AND INDEPENDENT DECADAL INPUT.</w:t>
      </w:r>
    </w:p>
    <w:p>
      <w:pPr>
        <w:pStyle w:val="LegClause"/>
      </w:pPr>
      <w:r>
        <w:rPr>
          <w:b/>
        </w:rPr>
        <w:t xml:space="preserve">(a)  </w:t>
      </w:r>
      <w:r>
        <w:t>NASA shall evaluate major science allocations against independent scientific priority assessments, scientific opportunity, mission cost, instrument readiness, and discipline continuity.</w:t>
      </w:r>
    </w:p>
    <w:p>
      <w:pPr>
        <w:pStyle w:val="LegClause"/>
      </w:pPr>
      <w:r>
        <w:rPr>
          <w:b/>
        </w:rPr>
        <w:t xml:space="preserve">(b)  </w:t>
      </w:r>
      <w:r>
        <w:t>The Administrator may depart from a decadal recommendation for stated technical or public-policy reasons but shall transmit a written explanation to Congress before committing a major substitute mission.</w:t>
      </w:r>
    </w:p>
    <w:p>
      <w:pPr>
        <w:pStyle w:val="LegClause"/>
      </w:pPr>
      <w:r>
        <w:rPr>
          <w:b/>
        </w:rPr>
        <w:t xml:space="preserve">(c)  </w:t>
      </w:r>
      <w:r>
        <w:t>Mission selection shall preserve opportunities for new fields and early-career researchers, and shall not lock all available launch or instrument capacity into one existing architecture.</w:t>
      </w:r>
    </w:p>
    <w:p>
      <w:pPr>
        <w:pStyle w:val="LegTitle"/>
      </w:pPr>
      <w:r>
        <w:t>TITLE VII — DARPA CAPACITY AND HIGH-RISK RESEARCH</w:t>
      </w:r>
    </w:p>
    <w:p>
      <w:pPr>
        <w:pStyle w:val="LegSection"/>
      </w:pPr>
      <w:r>
        <w:t>SEC. 701. DARPA SCALING DOCTRINE.</w:t>
      </w:r>
    </w:p>
    <w:p>
      <w:pPr>
        <w:pStyle w:val="LegClause"/>
      </w:pPr>
      <w:r>
        <w:rPr>
          <w:b/>
        </w:rPr>
        <w:t xml:space="preserve">(a)  </w:t>
      </w:r>
      <w:r>
        <w:t>Increased resources shall primarily expand ambitious technical portfolios, program-manager capacity, performer diversity, test and validation, transition, and technical support rather than layers of approval.</w:t>
      </w:r>
    </w:p>
    <w:p>
      <w:pPr>
        <w:pStyle w:val="LegClause"/>
      </w:pPr>
      <w:r>
        <w:rPr>
          <w:b/>
        </w:rPr>
        <w:t xml:space="preserve">(b)  </w:t>
      </w:r>
      <w:r>
        <w:t>DARPA shall preserve compact decision chains and direct access between program managers and senior leadership.</w:t>
      </w:r>
    </w:p>
    <w:p>
      <w:pPr>
        <w:pStyle w:val="LegClause"/>
      </w:pPr>
      <w:r>
        <w:rPr>
          <w:b/>
        </w:rPr>
        <w:t xml:space="preserve">(c)  </w:t>
      </w:r>
      <w:r>
        <w:t>The DARPA Director shall provide annual evidence that the share of research technical effort and speed of program initiation have not deteriorated as total appropriations expand.</w:t>
      </w:r>
    </w:p>
    <w:p>
      <w:pPr>
        <w:pStyle w:val="LegSection"/>
      </w:pPr>
      <w:r>
        <w:t>SEC. 702. PROGRAM MANAGER PRIMACY.</w:t>
      </w:r>
    </w:p>
    <w:p>
      <w:pPr>
        <w:pStyle w:val="LegClause"/>
      </w:pPr>
      <w:r>
        <w:rPr>
          <w:b/>
        </w:rPr>
        <w:t xml:space="preserve">(a)  </w:t>
      </w:r>
      <w:r>
        <w:t>Program managers may propose programs, define technical milestones, recommend performers, allocate resources within delegated limits, terminate approaches, and redirect portfolios.</w:t>
      </w:r>
    </w:p>
    <w:p>
      <w:pPr>
        <w:pStyle w:val="LegClause"/>
      </w:pPr>
      <w:r>
        <w:rPr>
          <w:b/>
        </w:rPr>
        <w:t xml:space="preserve">(b)  </w:t>
      </w:r>
      <w:r>
        <w:t>Program managers shall receive contracting, legal, security, test, transition, and financial support sufficient to keep technical leadership focused on outcomes.</w:t>
      </w:r>
    </w:p>
    <w:p>
      <w:pPr>
        <w:pStyle w:val="LegSection"/>
      </w:pPr>
      <w:r>
        <w:t>SEC. 703. TERM-LIMITED RENEWAL.</w:t>
      </w:r>
    </w:p>
    <w:p>
      <w:pPr>
        <w:pStyle w:val="LegClause"/>
      </w:pPr>
      <w:r>
        <w:rPr>
          <w:b/>
        </w:rPr>
        <w:t xml:space="preserve">(a)  </w:t>
      </w:r>
      <w:r>
        <w:t>A substantial majority of DARPA program managers shall serve fixed appointments ordinarily not exceeding four years, with limited extensions for exceptional continuity.</w:t>
      </w:r>
    </w:p>
    <w:p>
      <w:pPr>
        <w:pStyle w:val="LegClause"/>
      </w:pPr>
      <w:r>
        <w:rPr>
          <w:b/>
        </w:rPr>
        <w:t xml:space="preserve">(b)  </w:t>
      </w:r>
      <w:r>
        <w:t>DARPA shall actively recruit from academia, industry, government laboratories, startups, and technical operations communities.</w:t>
      </w:r>
    </w:p>
    <w:p>
      <w:pPr>
        <w:pStyle w:val="LegSection"/>
      </w:pPr>
      <w:r>
        <w:t>SEC. 704. RAPID EXPLORATORY PROGRAMS.</w:t>
      </w:r>
    </w:p>
    <w:p>
      <w:pPr>
        <w:pStyle w:val="LegClause"/>
      </w:pPr>
      <w:r>
        <w:rPr>
          <w:b/>
        </w:rPr>
        <w:t xml:space="preserve">(a)  </w:t>
      </w:r>
      <w:r>
        <w:t>Each technical office shall maintain a rapid seed fund for experiments capable of resolving a material technical uncertainty within 18 months.</w:t>
      </w:r>
    </w:p>
    <w:p>
      <w:pPr>
        <w:pStyle w:val="LegClause"/>
      </w:pPr>
      <w:r>
        <w:rPr>
          <w:b/>
        </w:rPr>
        <w:t xml:space="preserve">(b)  </w:t>
      </w:r>
      <w:r>
        <w:t>Applications may use short technical proposals and simplified cost information proportionate to award size.</w:t>
      </w:r>
    </w:p>
    <w:p>
      <w:pPr>
        <w:pStyle w:val="LegSection"/>
      </w:pPr>
      <w:r>
        <w:t>SEC. 705. FAILURE-TOLERANT PORTFOLIO OVERSIGHT.</w:t>
      </w:r>
    </w:p>
    <w:p>
      <w:pPr>
        <w:pStyle w:val="LegClause"/>
      </w:pPr>
      <w:r>
        <w:rPr>
          <w:b/>
        </w:rPr>
        <w:t xml:space="preserve">(a)  </w:t>
      </w:r>
      <w:r>
        <w:t>Technical failure alone is not waste when an authorized high-risk program was competently managed, milestones were meaningful, and learning was documented.</w:t>
      </w:r>
    </w:p>
    <w:p>
      <w:pPr>
        <w:pStyle w:val="LegClause"/>
      </w:pPr>
      <w:r>
        <w:rPr>
          <w:b/>
        </w:rPr>
        <w:t xml:space="preserve">(b)  </w:t>
      </w:r>
      <w:r>
        <w:t>Fraud, falsification, reckless safety conduct, conflicts, and persistent control failures remain fully subject to law.</w:t>
      </w:r>
    </w:p>
    <w:p>
      <w:pPr>
        <w:pStyle w:val="LegSection"/>
      </w:pPr>
      <w:r>
        <w:t>SEC. 706. INDEPENDENT VALIDATION AND RED TEAMS.</w:t>
      </w:r>
    </w:p>
    <w:p>
      <w:pPr>
        <w:pStyle w:val="LegClause"/>
      </w:pPr>
      <w:r>
        <w:rPr>
          <w:b/>
        </w:rPr>
        <w:t xml:space="preserve">(a)  </w:t>
      </w:r>
      <w:r>
        <w:t>At least 1.5 percent of DARPA program funding shall support replication, independent testing, adversarial evaluation, transition analysis, or red-team functions.</w:t>
      </w:r>
    </w:p>
    <w:p>
      <w:pPr>
        <w:pStyle w:val="LegClause"/>
      </w:pPr>
      <w:r>
        <w:rPr>
          <w:b/>
        </w:rPr>
        <w:t xml:space="preserve">(b)  </w:t>
      </w:r>
      <w:r>
        <w:t>Validation performers should be organizationally distinct from principal performers where practicable.</w:t>
      </w:r>
    </w:p>
    <w:p>
      <w:pPr>
        <w:pStyle w:val="LegSection"/>
      </w:pPr>
      <w:r>
        <w:t>SEC. 707. TRANSITION WITHOUT INCUMBENT VETO.</w:t>
      </w:r>
    </w:p>
    <w:p>
      <w:pPr>
        <w:pStyle w:val="LegClause"/>
      </w:pPr>
      <w:r>
        <w:rPr>
          <w:b/>
        </w:rPr>
        <w:t xml:space="preserve">(a)  </w:t>
      </w:r>
      <w:r>
        <w:t>A military service or intended recipient may decline transition, but DARPA may pursue alternative lawful Federal, commercial, standards, open-source, or allied transition paths.</w:t>
      </w:r>
    </w:p>
    <w:p>
      <w:pPr>
        <w:pStyle w:val="LegClause"/>
      </w:pPr>
      <w:r>
        <w:rPr>
          <w:b/>
        </w:rPr>
        <w:t xml:space="preserve">(b)  </w:t>
      </w:r>
      <w:r>
        <w:t>DARPA agreements shall preserve sufficient Government data and intellectual-property rights to prevent avoidable post-success lock-in.</w:t>
      </w:r>
    </w:p>
    <w:p>
      <w:pPr>
        <w:pStyle w:val="LegSection"/>
      </w:pPr>
      <w:r>
        <w:t>SEC. 708. TECHNICAL OFFICE FLEXIBILITY.</w:t>
      </w:r>
    </w:p>
    <w:p>
      <w:pPr>
        <w:pStyle w:val="LegClause"/>
      </w:pPr>
      <w:r>
        <w:rPr>
          <w:b/>
        </w:rPr>
        <w:t xml:space="preserve">(a)  </w:t>
      </w:r>
      <w:r>
        <w:t>The Director may establish, merge, rename, or sunset technical offices with 60 days notice to Congress.</w:t>
      </w:r>
    </w:p>
    <w:p>
      <w:pPr>
        <w:pStyle w:val="LegClause"/>
      </w:pPr>
      <w:r>
        <w:rPr>
          <w:b/>
        </w:rPr>
        <w:t xml:space="preserve">(b)  </w:t>
      </w:r>
      <w:r>
        <w:t>Office structure shall follow technical opportunity rather than organizational permanence.</w:t>
      </w:r>
    </w:p>
    <w:p>
      <w:pPr>
        <w:pStyle w:val="LegSection"/>
      </w:pPr>
      <w:r>
        <w:t>SEC. 709. DARPA TECHNICAL OFFICE PORTFOLIO LIMITS.</w:t>
      </w:r>
    </w:p>
    <w:p>
      <w:pPr>
        <w:pStyle w:val="LegClause"/>
      </w:pPr>
      <w:r>
        <w:rPr>
          <w:b/>
        </w:rPr>
        <w:t xml:space="preserve">(a)  </w:t>
      </w:r>
      <w:r>
        <w:t>Each DARPA technical office shall publish classified or unclassified program charters specifying technical hypotheses, measurable milestones, performer competition, estimated lifecycle cost, and transition options.</w:t>
      </w:r>
    </w:p>
    <w:p>
      <w:pPr>
        <w:pStyle w:val="LegClause"/>
      </w:pPr>
      <w:r>
        <w:rPr>
          <w:b/>
        </w:rPr>
        <w:t xml:space="preserve">(b)  </w:t>
      </w:r>
      <w:r>
        <w:t>The Director shall review concentration risk when a single program or performer dominates an office and shall consider competing technical paths.</w:t>
      </w:r>
    </w:p>
    <w:p>
      <w:pPr>
        <w:pStyle w:val="LegClause"/>
      </w:pPr>
      <w:r>
        <w:rPr>
          <w:b/>
        </w:rPr>
        <w:t xml:space="preserve">(c)  </w:t>
      </w:r>
      <w:r>
        <w:t>The office shall preserve small experiments that test alternative concepts even when a major flagship program exists.</w:t>
      </w:r>
    </w:p>
    <w:p>
      <w:pPr>
        <w:pStyle w:val="LegSection"/>
      </w:pPr>
      <w:r>
        <w:t>SEC. 710. DARPA RAPID TEST INFRASTRUCTURE.</w:t>
      </w:r>
    </w:p>
    <w:p>
      <w:pPr>
        <w:pStyle w:val="LegClause"/>
      </w:pPr>
      <w:r>
        <w:rPr>
          <w:b/>
        </w:rPr>
        <w:t xml:space="preserve">(a)  </w:t>
      </w:r>
      <w:r>
        <w:t>DARPA shall establish shared access to secure ranges, proving grounds, hardware-in-the-loop testbeds, biological containment facilities, electronic prototyping, and software validation sites appropriate to classified and open programs.</w:t>
      </w:r>
    </w:p>
    <w:p>
      <w:pPr>
        <w:pStyle w:val="LegClause"/>
      </w:pPr>
      <w:r>
        <w:rPr>
          <w:b/>
        </w:rPr>
        <w:t xml:space="preserve">(b)  </w:t>
      </w:r>
      <w:r>
        <w:t>Program managers may reserve test time and measurement services under simplified interagency agreements; safety and range rules remain controlling.</w:t>
      </w:r>
    </w:p>
    <w:p>
      <w:pPr>
        <w:pStyle w:val="LegClause"/>
      </w:pPr>
      <w:r>
        <w:rPr>
          <w:b/>
        </w:rPr>
        <w:t xml:space="preserve">(c)  </w:t>
      </w:r>
      <w:r>
        <w:t>Test access shall be available to small and nontraditional contractors on proportionate cost and security terms.</w:t>
      </w:r>
    </w:p>
    <w:p>
      <w:pPr>
        <w:pStyle w:val="LegSection"/>
      </w:pPr>
      <w:r>
        <w:t>SEC. 711. DARPA DATA RIGHTS AND SECURE TRANSITION.</w:t>
      </w:r>
    </w:p>
    <w:p>
      <w:pPr>
        <w:pStyle w:val="LegClause"/>
      </w:pPr>
      <w:r>
        <w:rPr>
          <w:b/>
        </w:rPr>
        <w:t xml:space="preserve">(a)  </w:t>
      </w:r>
      <w:r>
        <w:t>DARPA agreements shall identify Government rights in technical data, software, interfaces, prototype hardware, and testing information sufficient to support competition and lawful transition.</w:t>
      </w:r>
    </w:p>
    <w:p>
      <w:pPr>
        <w:pStyle w:val="LegClause"/>
      </w:pPr>
      <w:r>
        <w:rPr>
          <w:b/>
        </w:rPr>
        <w:t xml:space="preserve">(b)  </w:t>
      </w:r>
      <w:r>
        <w:t>Classified transfer procedures shall protect genuine national-security information while avoiding unnecessary exclusivity unrelated to the technical risk.</w:t>
      </w:r>
    </w:p>
    <w:p>
      <w:pPr>
        <w:pStyle w:val="LegClause"/>
      </w:pPr>
      <w:r>
        <w:rPr>
          <w:b/>
        </w:rPr>
        <w:t xml:space="preserve">(c)  </w:t>
      </w:r>
      <w:r>
        <w:t>Where a defense customer declines a technology, the Director shall document whether civilian, standards, other-agency, or other lawful transition routes are available.</w:t>
      </w:r>
    </w:p>
    <w:p>
      <w:pPr>
        <w:pStyle w:val="LegTitle"/>
      </w:pPr>
      <w:r>
        <w:t>TITLE VIII — FEDERAL FRONTIER SCIENCE NETWORK</w:t>
      </w:r>
    </w:p>
    <w:p>
      <w:pPr>
        <w:pStyle w:val="LegSection"/>
      </w:pPr>
      <w:r>
        <w:t>SEC. 801. ESTABLISHMENT.</w:t>
      </w:r>
    </w:p>
    <w:p>
      <w:pPr>
        <w:pStyle w:val="LegClause"/>
      </w:pPr>
      <w:r>
        <w:rPr>
          <w:b/>
        </w:rPr>
        <w:t xml:space="preserve">(a)  </w:t>
      </w:r>
      <w:r>
        <w:t>The Frontier Science Network is established as a federated coordination framework and not a new super-agency.</w:t>
      </w:r>
    </w:p>
    <w:p>
      <w:pPr>
        <w:pStyle w:val="LegClause"/>
      </w:pPr>
      <w:r>
        <w:rPr>
          <w:b/>
        </w:rPr>
        <w:t xml:space="preserve">(b)  </w:t>
      </w:r>
      <w:r>
        <w:t>Participating institutions retain mission, personnel, property, grant, and security authorities except as expressly shared.</w:t>
      </w:r>
    </w:p>
    <w:p>
      <w:pPr>
        <w:pStyle w:val="LegClause"/>
      </w:pPr>
      <w:r>
        <w:rPr>
          <w:b/>
        </w:rPr>
        <w:t xml:space="preserve">(c)  </w:t>
      </w:r>
      <w:r>
        <w:t>Participation in the Network does not transfer appropriations to a coordinator or create authority to override a participating agency organic statute.</w:t>
      </w:r>
    </w:p>
    <w:p>
      <w:pPr>
        <w:pStyle w:val="LegSection"/>
      </w:pPr>
      <w:r>
        <w:t>SEC. 802. NETWORK COUNCIL.</w:t>
      </w:r>
    </w:p>
    <w:p>
      <w:pPr>
        <w:pStyle w:val="LegClause"/>
      </w:pPr>
      <w:r>
        <w:rPr>
          <w:b/>
        </w:rPr>
        <w:t xml:space="preserve">(a)  </w:t>
      </w:r>
      <w:r>
        <w:t>The Council shall include NASA, DARPA, NSF, DOE, NIST, NOAA, NIH, USGS, OSTP, and other participating institutions.</w:t>
      </w:r>
    </w:p>
    <w:p>
      <w:pPr>
        <w:pStyle w:val="LegClause"/>
      </w:pPr>
      <w:r>
        <w:rPr>
          <w:b/>
        </w:rPr>
        <w:t xml:space="preserve">(b)  </w:t>
      </w:r>
      <w:r>
        <w:t>The Council shall coordinate shared facilities, scientific software, standards, compute, workforce, major instruments, and cross-agency moonshots.</w:t>
      </w:r>
    </w:p>
    <w:p>
      <w:pPr>
        <w:pStyle w:val="LegClause"/>
      </w:pPr>
      <w:r>
        <w:rPr>
          <w:b/>
        </w:rPr>
        <w:t xml:space="preserve">(c)  </w:t>
      </w:r>
      <w:r>
        <w:t>The Council may not rank individual investigator grants or override lawful peer review.</w:t>
      </w:r>
    </w:p>
    <w:p>
      <w:pPr>
        <w:pStyle w:val="LegSection"/>
      </w:pPr>
      <w:r>
        <w:t>SEC. 803. SHARED SCIENTIFIC SERVICES.</w:t>
      </w:r>
    </w:p>
    <w:p>
      <w:pPr>
        <w:pStyle w:val="LegClause"/>
      </w:pPr>
      <w:r>
        <w:rPr>
          <w:b/>
        </w:rPr>
        <w:t xml:space="preserve">(a)  </w:t>
      </w:r>
      <w:r>
        <w:t>The Network may establish common legal templates, security reviews, data repositories, instrument scheduling, scientific cloud services, procurement catalogs, and technical staff pools.</w:t>
      </w:r>
    </w:p>
    <w:p>
      <w:pPr>
        <w:pStyle w:val="LegClause"/>
      </w:pPr>
      <w:r>
        <w:rPr>
          <w:b/>
        </w:rPr>
        <w:t xml:space="preserve">(b)  </w:t>
      </w:r>
      <w:r>
        <w:t>Common services remain optional where agency-specific systems are materially better suited to mission.</w:t>
      </w:r>
    </w:p>
    <w:p>
      <w:pPr>
        <w:pStyle w:val="LegSection"/>
      </w:pPr>
      <w:r>
        <w:t>SEC. 804. NATIONAL LABORATORY INTEROPERABILITY.</w:t>
      </w:r>
    </w:p>
    <w:p>
      <w:pPr>
        <w:pStyle w:val="LegClause"/>
      </w:pPr>
      <w:r>
        <w:rPr>
          <w:b/>
        </w:rPr>
        <w:t xml:space="preserve">(a)  </w:t>
      </w:r>
      <w:r>
        <w:t>DOE national laboratories, NASA centers, DoD laboratories, NIST, NOAA laboratories, FFRDCs, and participating universities may enter reciprocal user and staff agreements.</w:t>
      </w:r>
    </w:p>
    <w:p>
      <w:pPr>
        <w:pStyle w:val="LegClause"/>
      </w:pPr>
      <w:r>
        <w:rPr>
          <w:b/>
        </w:rPr>
        <w:t xml:space="preserve">(b)  </w:t>
      </w:r>
      <w:r>
        <w:t>Standardized interagency agreements shall reduce duplicative negotiation without erasing different security or mission requirements.</w:t>
      </w:r>
    </w:p>
    <w:p>
      <w:pPr>
        <w:pStyle w:val="LegSection"/>
      </w:pPr>
      <w:r>
        <w:t>SEC. 805. FEDERAL METROLOGY AND STANDARDS CAPACITY.</w:t>
      </w:r>
    </w:p>
    <w:p>
      <w:pPr>
        <w:pStyle w:val="LegClause"/>
      </w:pPr>
      <w:r>
        <w:rPr>
          <w:b/>
        </w:rPr>
        <w:t xml:space="preserve">(a)  </w:t>
      </w:r>
      <w:r>
        <w:t>NIST shall receive dedicated resources for metrology, reference materials, test methods, measurement science, interoperability standards, and validation needed for frontier technologies.</w:t>
      </w:r>
    </w:p>
    <w:p>
      <w:pPr>
        <w:pStyle w:val="LegClause"/>
      </w:pPr>
      <w:r>
        <w:rPr>
          <w:b/>
        </w:rPr>
        <w:t xml:space="preserve">(b)  </w:t>
      </w:r>
      <w:r>
        <w:t>Standards work shall remain open, consensus-oriented, and internationally compatible where security and mission permit.</w:t>
      </w:r>
    </w:p>
    <w:p>
      <w:pPr>
        <w:pStyle w:val="LegSection"/>
      </w:pPr>
      <w:r>
        <w:t>SEC. 806. SCIENTIFIC SOFTWARE AS INFRASTRUCTURE.</w:t>
      </w:r>
    </w:p>
    <w:p>
      <w:pPr>
        <w:pStyle w:val="LegClause"/>
      </w:pPr>
      <w:r>
        <w:rPr>
          <w:b/>
        </w:rPr>
        <w:t xml:space="preserve">(a)  </w:t>
      </w:r>
      <w:r>
        <w:t>The Network shall maintain a program for long-lived scientific software, workflow engines, simulation codes, repositories, and open standards.</w:t>
      </w:r>
    </w:p>
    <w:p>
      <w:pPr>
        <w:pStyle w:val="LegClause"/>
      </w:pPr>
      <w:r>
        <w:rPr>
          <w:b/>
        </w:rPr>
        <w:t xml:space="preserve">(b)  </w:t>
      </w:r>
      <w:r>
        <w:t>Maintenance funding may be awarded without requiring artificial novelty when continued operation produces clear scientific value.</w:t>
      </w:r>
    </w:p>
    <w:p>
      <w:pPr>
        <w:pStyle w:val="LegSection"/>
      </w:pPr>
      <w:r>
        <w:t>SEC. 807. CROSS-AGENCY CAPABILITY MAP.</w:t>
      </w:r>
    </w:p>
    <w:p>
      <w:pPr>
        <w:pStyle w:val="LegClause"/>
      </w:pPr>
      <w:r>
        <w:rPr>
          <w:b/>
        </w:rPr>
        <w:t xml:space="preserve">(a)  </w:t>
      </w:r>
      <w:r>
        <w:t>Every two years the Council shall publish a map of major facilities, instrument capacity, test ranges, compute, data assets, and known bottlenecks.</w:t>
      </w:r>
    </w:p>
    <w:p>
      <w:pPr>
        <w:pStyle w:val="LegClause"/>
      </w:pPr>
      <w:r>
        <w:rPr>
          <w:b/>
        </w:rPr>
        <w:t xml:space="preserve">(b)  </w:t>
      </w:r>
      <w:r>
        <w:t>Classified assets shall be addressed in a separate classified annex.</w:t>
      </w:r>
    </w:p>
    <w:p>
      <w:pPr>
        <w:pStyle w:val="LegSection"/>
      </w:pPr>
      <w:r>
        <w:t>SEC. 808. INDEPENDENT BASIC-SCIENCE CONTINUITY RULE.</w:t>
      </w:r>
    </w:p>
    <w:p>
      <w:pPr>
        <w:pStyle w:val="LegClause"/>
      </w:pPr>
      <w:r>
        <w:rPr>
          <w:b/>
        </w:rPr>
        <w:t xml:space="preserve">(a)  </w:t>
      </w:r>
      <w:r>
        <w:t>Participating agencies shall maintain peer-reviewed investigator-initiated award windows regardless of fluctuations in mission-directed or Grand Challenge program demand.</w:t>
      </w:r>
    </w:p>
    <w:p>
      <w:pPr>
        <w:pStyle w:val="LegClause"/>
      </w:pPr>
      <w:r>
        <w:rPr>
          <w:b/>
        </w:rPr>
        <w:t xml:space="preserve">(b)  </w:t>
      </w:r>
      <w:r>
        <w:t>Network coordination may reduce duplicative administration but shall not consolidate all scientific peer review under one politically directed office.</w:t>
      </w:r>
    </w:p>
    <w:p>
      <w:pPr>
        <w:pStyle w:val="LegClause"/>
      </w:pPr>
      <w:r>
        <w:rPr>
          <w:b/>
        </w:rPr>
        <w:t xml:space="preserve">(c)  </w:t>
      </w:r>
      <w:r>
        <w:t>The Network shall publish average proposal-to-award times and reviewer workload while protecting confidential review records.</w:t>
      </w:r>
    </w:p>
    <w:p>
      <w:pPr>
        <w:pStyle w:val="LegSection"/>
      </w:pPr>
      <w:r>
        <w:t>SEC. 809. NATIONAL SCIENCE CAPACITY SHARING AGREEMENT.</w:t>
      </w:r>
    </w:p>
    <w:p>
      <w:pPr>
        <w:pStyle w:val="LegClause"/>
      </w:pPr>
      <w:r>
        <w:rPr>
          <w:b/>
        </w:rPr>
        <w:t xml:space="preserve">(a)  </w:t>
      </w:r>
      <w:r>
        <w:t>Participating institutions may share facility slots, instrument repairs, scientific software licenses, computing allocations, and specialized staff pursuant to standardized agreements.</w:t>
      </w:r>
    </w:p>
    <w:p>
      <w:pPr>
        <w:pStyle w:val="LegClause"/>
      </w:pPr>
      <w:r>
        <w:rPr>
          <w:b/>
        </w:rPr>
        <w:t xml:space="preserve">(b)  </w:t>
      </w:r>
      <w:r>
        <w:t>Agreements shall assign responsibility for safety, security, cost, insurance, intellectual property, publication, and incident response.</w:t>
      </w:r>
    </w:p>
    <w:p>
      <w:pPr>
        <w:pStyle w:val="LegClause"/>
      </w:pPr>
      <w:r>
        <w:rPr>
          <w:b/>
        </w:rPr>
        <w:t xml:space="preserve">(c)  </w:t>
      </w:r>
      <w:r>
        <w:t>Fees shall be published and equitable; first-time and small research teams may receive access support when scientific merit justifies assistance.</w:t>
      </w:r>
    </w:p>
    <w:p>
      <w:pPr>
        <w:pStyle w:val="LegSection"/>
      </w:pPr>
      <w:r>
        <w:t>SEC. 810. RESEARCH-SECURITY PROPORTIONALITY AND PORTABILITY.</w:t>
      </w:r>
    </w:p>
    <w:p>
      <w:pPr>
        <w:pStyle w:val="LegClause"/>
      </w:pPr>
      <w:r>
        <w:rPr>
          <w:b/>
        </w:rPr>
        <w:t xml:space="preserve">(a)  </w:t>
      </w:r>
      <w:r>
        <w:t>When two participating agencies recognize equivalent security qualifications, they shall not impose redundant background screening without an articulated access-specific reason.</w:t>
      </w:r>
    </w:p>
    <w:p>
      <w:pPr>
        <w:pStyle w:val="LegClause"/>
      </w:pPr>
      <w:r>
        <w:rPr>
          <w:b/>
        </w:rPr>
        <w:t xml:space="preserve">(b)  </w:t>
      </w:r>
      <w:r>
        <w:t>Research-security determinations shall be based on access and credible risk rather than institution prestige or nationality proxies.</w:t>
      </w:r>
    </w:p>
    <w:p>
      <w:pPr>
        <w:pStyle w:val="LegClause"/>
      </w:pPr>
      <w:r>
        <w:rPr>
          <w:b/>
        </w:rPr>
        <w:t xml:space="preserve">(c)  </w:t>
      </w:r>
      <w:r>
        <w:t>Reviewers shall record the impact of restrictive measures on open research, international cooperation, and scientific delay.</w:t>
      </w:r>
    </w:p>
    <w:p>
      <w:pPr>
        <w:pStyle w:val="LegTitle"/>
      </w:pPr>
      <w:r>
        <w:t>TITLE IX — FUNDAMENTAL SCIENCE, GRAND INSTRUMENTS, AND DISCOVERY</w:t>
      </w:r>
    </w:p>
    <w:p>
      <w:pPr>
        <w:pStyle w:val="LegSection"/>
      </w:pPr>
      <w:r>
        <w:t>SEC. 901. BASIC RESEARCH FLOOR.</w:t>
      </w:r>
    </w:p>
    <w:p>
      <w:pPr>
        <w:pStyle w:val="LegClause"/>
      </w:pPr>
      <w:r>
        <w:rPr>
          <w:b/>
        </w:rPr>
        <w:t xml:space="preserve">(a)  </w:t>
      </w:r>
      <w:r>
        <w:t>Not less than 20 percent of non-NASA, non-DARPA Frontier Science Network program funding shall support investigator-led or institution-led basic research.</w:t>
      </w:r>
    </w:p>
    <w:p>
      <w:pPr>
        <w:pStyle w:val="LegClause"/>
      </w:pPr>
      <w:r>
        <w:rPr>
          <w:b/>
        </w:rPr>
        <w:t xml:space="preserve">(b)  </w:t>
      </w:r>
      <w:r>
        <w:t>The requirement may not be satisfied by relabeling near-term product development as basic research.</w:t>
      </w:r>
    </w:p>
    <w:p>
      <w:pPr>
        <w:pStyle w:val="LegClause"/>
      </w:pPr>
      <w:r>
        <w:rPr>
          <w:b/>
        </w:rPr>
        <w:t xml:space="preserve">(c)  </w:t>
      </w:r>
      <w:r>
        <w:t>Basic-research commitments shall have assessment periods long enough to respect scientific uncertainty, including support for high-risk work that cannot reasonably produce industrial output within three years.</w:t>
      </w:r>
    </w:p>
    <w:p>
      <w:pPr>
        <w:pStyle w:val="LegSection"/>
      </w:pPr>
      <w:r>
        <w:t>SEC. 902. GRAND INSTRUMENT PROGRAM.</w:t>
      </w:r>
    </w:p>
    <w:p>
      <w:pPr>
        <w:pStyle w:val="LegClause"/>
      </w:pPr>
      <w:r>
        <w:rPr>
          <w:b/>
        </w:rPr>
        <w:t xml:space="preserve">(a)  </w:t>
      </w:r>
      <w:r>
        <w:t>A Grand Instrument Program shall support observatories, detectors, accelerators, experimental facilities, telescopes, research vessels, field networks, and instruments beyond ordinary grant scale.</w:t>
      </w:r>
    </w:p>
    <w:p>
      <w:pPr>
        <w:pStyle w:val="LegClause"/>
      </w:pPr>
      <w:r>
        <w:rPr>
          <w:b/>
        </w:rPr>
        <w:t xml:space="preserve">(b)  </w:t>
      </w:r>
      <w:r>
        <w:t>Project approval requires an independent science case, engineering assessment, lifecycle cost estimate, operating plan, data plan, workforce plan, and decommissioning strategy.</w:t>
      </w:r>
    </w:p>
    <w:p>
      <w:pPr>
        <w:pStyle w:val="LegSection"/>
      </w:pPr>
      <w:r>
        <w:t>SEC. 903. REPLICATION AND VERIFICATION FUND.</w:t>
      </w:r>
    </w:p>
    <w:p>
      <w:pPr>
        <w:pStyle w:val="LegClause"/>
      </w:pPr>
      <w:r>
        <w:rPr>
          <w:b/>
        </w:rPr>
        <w:t xml:space="preserve">(a)  </w:t>
      </w:r>
      <w:r>
        <w:t>Participating civilian agencies shall reserve a combined amount of not less than 2 percent of applicable research funding for replication, benchmark development, negative-result validation, and scientific quality infrastructure.</w:t>
      </w:r>
    </w:p>
    <w:p>
      <w:pPr>
        <w:pStyle w:val="LegClause"/>
      </w:pPr>
      <w:r>
        <w:rPr>
          <w:b/>
        </w:rPr>
        <w:t xml:space="preserve">(b)  </w:t>
      </w:r>
      <w:r>
        <w:t>Replication awards shall not be treated as lower-status science for career or grant evaluation.</w:t>
      </w:r>
    </w:p>
    <w:p>
      <w:pPr>
        <w:pStyle w:val="LegSection"/>
      </w:pPr>
      <w:r>
        <w:t>SEC. 904. HIGH-RISK BASIC RESEARCH.</w:t>
      </w:r>
    </w:p>
    <w:p>
      <w:pPr>
        <w:pStyle w:val="LegClause"/>
      </w:pPr>
      <w:r>
        <w:rPr>
          <w:b/>
        </w:rPr>
        <w:t xml:space="preserve">(a)  </w:t>
      </w:r>
      <w:r>
        <w:t>Agencies may support scientifically plausible hypotheses that lack near-term application or have low expected success probability.</w:t>
      </w:r>
    </w:p>
    <w:p>
      <w:pPr>
        <w:pStyle w:val="LegClause"/>
      </w:pPr>
      <w:r>
        <w:rPr>
          <w:b/>
        </w:rPr>
        <w:t xml:space="preserve">(b)  </w:t>
      </w:r>
      <w:r>
        <w:t>Review shall emphasize whether the question is important, the experiment is informative, and failure will still produce useful knowledge.</w:t>
      </w:r>
    </w:p>
    <w:p>
      <w:pPr>
        <w:pStyle w:val="LegSection"/>
      </w:pPr>
      <w:r>
        <w:t>SEC. 905. LONG-DURATION OBSERVATIONS.</w:t>
      </w:r>
    </w:p>
    <w:p>
      <w:pPr>
        <w:pStyle w:val="LegClause"/>
      </w:pPr>
      <w:r>
        <w:rPr>
          <w:b/>
        </w:rPr>
        <w:t xml:space="preserve">(a)  </w:t>
      </w:r>
      <w:r>
        <w:t>The Fund may support scientific observations and archives whose value increases through decades of continuity.</w:t>
      </w:r>
    </w:p>
    <w:p>
      <w:pPr>
        <w:pStyle w:val="LegClause"/>
      </w:pPr>
      <w:r>
        <w:rPr>
          <w:b/>
        </w:rPr>
        <w:t xml:space="preserve">(b)  </w:t>
      </w:r>
      <w:r>
        <w:t>Termination of an irreplaceable long-duration dataset requires a continuity and archival assessment.</w:t>
      </w:r>
    </w:p>
    <w:p>
      <w:pPr>
        <w:pStyle w:val="LegSection"/>
      </w:pPr>
      <w:r>
        <w:t>SEC. 906. SCIENTIFIC FIELD RENEWAL.</w:t>
      </w:r>
    </w:p>
    <w:p>
      <w:pPr>
        <w:pStyle w:val="LegClause"/>
      </w:pPr>
      <w:r>
        <w:rPr>
          <w:b/>
        </w:rPr>
        <w:t xml:space="preserve">(a)  </w:t>
      </w:r>
      <w:r>
        <w:t>NSF and participating agencies shall identify important fields suffering from fragile workforce, facility, instrument, or training pipelines.</w:t>
      </w:r>
    </w:p>
    <w:p>
      <w:pPr>
        <w:pStyle w:val="LegClause"/>
      </w:pPr>
      <w:r>
        <w:rPr>
          <w:b/>
        </w:rPr>
        <w:t xml:space="preserve">(b)  </w:t>
      </w:r>
      <w:r>
        <w:t>Temporary capacity grants may restore a field without dictating its scientific conclusions.</w:t>
      </w:r>
    </w:p>
    <w:p>
      <w:pPr>
        <w:pStyle w:val="LegSection"/>
      </w:pPr>
      <w:r>
        <w:t>SEC. 907. GRAND INSTRUMENT INDEPENDENT OPERATIONS BOARD.</w:t>
      </w:r>
    </w:p>
    <w:p>
      <w:pPr>
        <w:pStyle w:val="LegClause"/>
      </w:pPr>
      <w:r>
        <w:rPr>
          <w:b/>
        </w:rPr>
        <w:t xml:space="preserve">(a)  </w:t>
      </w:r>
      <w:r>
        <w:t>Each instrument with total expected lifecycle cost above $1,000,000,000 shall maintain an independent operations advisory board separate from its construction manager.</w:t>
      </w:r>
    </w:p>
    <w:p>
      <w:pPr>
        <w:pStyle w:val="LegClause"/>
      </w:pPr>
      <w:r>
        <w:rPr>
          <w:b/>
        </w:rPr>
        <w:t xml:space="preserve">(b)  </w:t>
      </w:r>
      <w:r>
        <w:t>The board shall review scientific access, instrument upgrades, data plans, calibration, cost, downtime, workforce continuity, and decommissioning.</w:t>
      </w:r>
    </w:p>
    <w:p>
      <w:pPr>
        <w:pStyle w:val="LegClause"/>
      </w:pPr>
      <w:r>
        <w:rPr>
          <w:b/>
        </w:rPr>
        <w:t xml:space="preserve">(c)  </w:t>
      </w:r>
      <w:r>
        <w:t>A facility may be reoriented or closed following evidence-based review and a plan for preserving valuable datasets and unique capabilities.</w:t>
      </w:r>
    </w:p>
    <w:p>
      <w:pPr>
        <w:pStyle w:val="LegSection"/>
      </w:pPr>
      <w:r>
        <w:t>SEC. 908. REPRODUCIBILITY AND NEGATIVE-RESULTS FELLOWSHIPS.</w:t>
      </w:r>
    </w:p>
    <w:p>
      <w:pPr>
        <w:pStyle w:val="LegClause"/>
      </w:pPr>
      <w:r>
        <w:rPr>
          <w:b/>
        </w:rPr>
        <w:t xml:space="preserve">(a)  </w:t>
      </w:r>
      <w:r>
        <w:t>Agencies may fund scientists and engineers devoted to independent replication, computational reproducibility, instrument calibration, and rigorous publication of informative null results.</w:t>
      </w:r>
    </w:p>
    <w:p>
      <w:pPr>
        <w:pStyle w:val="LegClause"/>
      </w:pPr>
      <w:r>
        <w:rPr>
          <w:b/>
        </w:rPr>
        <w:t xml:space="preserve">(b)  </w:t>
      </w:r>
      <w:r>
        <w:t>Awards shall be reviewed using methodological quality and evidence utility rather than novelty or citation count alone.</w:t>
      </w:r>
    </w:p>
    <w:p>
      <w:pPr>
        <w:pStyle w:val="LegClause"/>
      </w:pPr>
      <w:r>
        <w:rPr>
          <w:b/>
        </w:rPr>
        <w:t xml:space="preserve">(c)  </w:t>
      </w:r>
      <w:r>
        <w:t>Repositories may accept data and test protocols from unsuccessful Federal prototypes when lawfully releasable.</w:t>
      </w:r>
    </w:p>
    <w:p>
      <w:pPr>
        <w:pStyle w:val="LegTitle"/>
      </w:pPr>
      <w:r>
        <w:t>TITLE X — GRAND CHALLENGES, MOONSHOTS, AND FAR-HORIZON RESEARCH</w:t>
      </w:r>
    </w:p>
    <w:p>
      <w:pPr>
        <w:pStyle w:val="LegSection"/>
      </w:pPr>
      <w:r>
        <w:t>SEC. 1001. NATIONAL GRAND CHALLENGES BOARD.</w:t>
      </w:r>
    </w:p>
    <w:p>
      <w:pPr>
        <w:pStyle w:val="LegClause"/>
      </w:pPr>
      <w:r>
        <w:rPr>
          <w:b/>
        </w:rPr>
        <w:t xml:space="preserve">(a)  </w:t>
      </w:r>
      <w:r>
        <w:t>A National Grand Challenges Board shall recommend a rotating portfolio of ambitious, measurable challenges spanning civilian and defense research.</w:t>
      </w:r>
    </w:p>
    <w:p>
      <w:pPr>
        <w:pStyle w:val="LegClause"/>
      </w:pPr>
      <w:r>
        <w:rPr>
          <w:b/>
        </w:rPr>
        <w:t xml:space="preserve">(b)  </w:t>
      </w:r>
      <w:r>
        <w:t>The Board shall include scientists, engineers, technicians, entrepreneurs, ethicists, public administrators, and major-facility operators.</w:t>
      </w:r>
    </w:p>
    <w:p>
      <w:pPr>
        <w:pStyle w:val="LegClause"/>
      </w:pPr>
      <w:r>
        <w:rPr>
          <w:b/>
        </w:rPr>
        <w:t xml:space="preserve">(c)  </w:t>
      </w:r>
      <w:r>
        <w:t>Congress or responsible agencies shall approve funding; Board recommendations are not self-executing.</w:t>
      </w:r>
    </w:p>
    <w:p>
      <w:pPr>
        <w:pStyle w:val="LegSection"/>
      </w:pPr>
      <w:r>
        <w:t>SEC. 1002. MOONSHOT PROGRAM CRITERIA.</w:t>
      </w:r>
    </w:p>
    <w:p>
      <w:pPr>
        <w:pStyle w:val="LegClause"/>
      </w:pPr>
      <w:r>
        <w:rPr>
          <w:b/>
        </w:rPr>
        <w:t xml:space="preserve">(a)  </w:t>
      </w:r>
      <w:r>
        <w:t>A moonshot shall state a concrete capability target, why ordinary programs are inadequate, intermediate milestones, failure criteria, independent validation, safety constraints, and transition options.</w:t>
      </w:r>
    </w:p>
    <w:p>
      <w:pPr>
        <w:pStyle w:val="LegClause"/>
      </w:pPr>
      <w:r>
        <w:rPr>
          <w:b/>
        </w:rPr>
        <w:t xml:space="preserve">(b)  </w:t>
      </w:r>
      <w:r>
        <w:t>Moonshots may pursue outcomes previously considered impractical but may not assume violation of established physical law without testable evidence.</w:t>
      </w:r>
    </w:p>
    <w:p>
      <w:pPr>
        <w:pStyle w:val="LegSection"/>
      </w:pPr>
      <w:r>
        <w:t>SEC. 1003. FAR-HORIZON RESEARCH ACCOUNT.</w:t>
      </w:r>
    </w:p>
    <w:p>
      <w:pPr>
        <w:pStyle w:val="LegClause"/>
      </w:pPr>
      <w:r>
        <w:rPr>
          <w:b/>
        </w:rPr>
        <w:t xml:space="preserve">(a)  </w:t>
      </w:r>
      <w:r>
        <w:t>Not less than $5,000,000,000 annually in FY2025 real dollars from the Grand Challenges account shall support work with expected utility horizons longer than 20 years or applications that cannot yet be specified.</w:t>
      </w:r>
    </w:p>
    <w:p>
      <w:pPr>
        <w:pStyle w:val="LegClause"/>
      </w:pPr>
      <w:r>
        <w:rPr>
          <w:b/>
        </w:rPr>
        <w:t xml:space="preserve">(b)  </w:t>
      </w:r>
      <w:r>
        <w:t>Projects may include fundamental physics, new computation paradigms, radically new materials, advanced life support, extreme-environment systems, novel propulsion physics, and other lawful fields selected competitively.</w:t>
      </w:r>
    </w:p>
    <w:p>
      <w:pPr>
        <w:pStyle w:val="LegClause"/>
      </w:pPr>
      <w:r>
        <w:rPr>
          <w:b/>
        </w:rPr>
        <w:t xml:space="preserve">(c)  </w:t>
      </w:r>
      <w:r>
        <w:t>The Far-Horizon Research Account shall publish a portfolio of falsifiable scientific questions, exploratory instruments, validation pathways, and long-term capability options, but no statutory reward for grandiose claims shall replace methodological credibility.</w:t>
      </w:r>
    </w:p>
    <w:p>
      <w:pPr>
        <w:pStyle w:val="LegSection"/>
      </w:pPr>
      <w:r>
        <w:t>SEC. 1004. FRONTIER CONCEPT GRANTS.</w:t>
      </w:r>
    </w:p>
    <w:p>
      <w:pPr>
        <w:pStyle w:val="LegClause"/>
      </w:pPr>
      <w:r>
        <w:rPr>
          <w:b/>
        </w:rPr>
        <w:t xml:space="preserve">(a)  </w:t>
      </w:r>
      <w:r>
        <w:t>Individuals, small teams, nonprofits, universities, laboratories, and companies may receive concept grants up to $5,000,000 for 24 months to test high-leverage assumptions.</w:t>
      </w:r>
    </w:p>
    <w:p>
      <w:pPr>
        <w:pStyle w:val="LegClause"/>
      </w:pPr>
      <w:r>
        <w:rPr>
          <w:b/>
        </w:rPr>
        <w:t xml:space="preserve">(b)  </w:t>
      </w:r>
      <w:r>
        <w:t>Concept grants shall use short applications, milestone review, and fast termination when the core hypothesis fails.</w:t>
      </w:r>
    </w:p>
    <w:p>
      <w:pPr>
        <w:pStyle w:val="LegSection"/>
      </w:pPr>
      <w:r>
        <w:t>SEC. 1005. CHALLENGE PRIZES.</w:t>
      </w:r>
    </w:p>
    <w:p>
      <w:pPr>
        <w:pStyle w:val="LegClause"/>
      </w:pPr>
      <w:r>
        <w:rPr>
          <w:b/>
        </w:rPr>
        <w:t xml:space="preserve">(a)  </w:t>
      </w:r>
      <w:r>
        <w:t>Agencies may offer large outcome-based prizes where performance can be objectively measured and multiple approaches should compete.</w:t>
      </w:r>
    </w:p>
    <w:p>
      <w:pPr>
        <w:pStyle w:val="LegClause"/>
      </w:pPr>
      <w:r>
        <w:rPr>
          <w:b/>
        </w:rPr>
        <w:t xml:space="preserve">(b)  </w:t>
      </w:r>
      <w:r>
        <w:t>Prize rules shall identify testing, safety, intellectual-property, dispute, and anti-collusion requirements before competition.</w:t>
      </w:r>
    </w:p>
    <w:p>
      <w:pPr>
        <w:pStyle w:val="LegSection"/>
      </w:pPr>
      <w:r>
        <w:t>SEC. 1006. FAILED MOONSHOT ARCHIVE.</w:t>
      </w:r>
    </w:p>
    <w:p>
      <w:pPr>
        <w:pStyle w:val="LegClause"/>
      </w:pPr>
      <w:r>
        <w:rPr>
          <w:b/>
        </w:rPr>
        <w:t xml:space="preserve">(a)  </w:t>
      </w:r>
      <w:r>
        <w:t>Terminated moonshots shall produce technical failure reports, preserved data, and lessons learned to the maximum extent consistent with law.</w:t>
      </w:r>
    </w:p>
    <w:p>
      <w:pPr>
        <w:pStyle w:val="LegClause"/>
      </w:pPr>
      <w:r>
        <w:rPr>
          <w:b/>
        </w:rPr>
        <w:t xml:space="preserve">(b)  </w:t>
      </w:r>
      <w:r>
        <w:t>The purpose is to reduce future repetition of expensive dead ends.</w:t>
      </w:r>
    </w:p>
    <w:p>
      <w:pPr>
        <w:pStyle w:val="LegSection"/>
      </w:pPr>
      <w:r>
        <w:t>SEC. 1007. WILD-CARD RESEARCH RESERVE.</w:t>
      </w:r>
    </w:p>
    <w:p>
      <w:pPr>
        <w:pStyle w:val="LegClause"/>
      </w:pPr>
      <w:r>
        <w:rPr>
          <w:b/>
        </w:rPr>
        <w:t xml:space="preserve">(a)  </w:t>
      </w:r>
      <w:r>
        <w:t>Up to 5 percent of Grand Challenges funding may support opportunities that emerge too quickly for the ordinary annual planning cycle.</w:t>
      </w:r>
    </w:p>
    <w:p>
      <w:pPr>
        <w:pStyle w:val="LegClause"/>
      </w:pPr>
      <w:r>
        <w:rPr>
          <w:b/>
        </w:rPr>
        <w:t xml:space="preserve">(b)  </w:t>
      </w:r>
      <w:r>
        <w:t>Wild-card awards require a written scientific rationale, conflict review, milestone plan, and public summary unless classified.</w:t>
      </w:r>
    </w:p>
    <w:p>
      <w:pPr>
        <w:pStyle w:val="LegSection"/>
      </w:pPr>
      <w:r>
        <w:t>SEC. 1008. MOONSHOT SEED-TO-SCALE PHASES.</w:t>
      </w:r>
    </w:p>
    <w:p>
      <w:pPr>
        <w:pStyle w:val="LegClause"/>
      </w:pPr>
      <w:r>
        <w:rPr>
          <w:b/>
        </w:rPr>
        <w:t xml:space="preserve">(a)  </w:t>
      </w:r>
      <w:r>
        <w:t>Every Grand Challenge shall include a hypothesis or concept phase, reproducible proof phase, integrated prototype phase, independent validation phase, and transition or termination decision, with phase boundaries tailored to the technology.</w:t>
      </w:r>
    </w:p>
    <w:p>
      <w:pPr>
        <w:pStyle w:val="LegClause"/>
      </w:pPr>
      <w:r>
        <w:rPr>
          <w:b/>
        </w:rPr>
        <w:t xml:space="preserve">(b)  </w:t>
      </w:r>
      <w:r>
        <w:t>No program shall receive its full anticipated scale-up allocation solely because its concept phase was funded; a written next-phase assessment is required.</w:t>
      </w:r>
    </w:p>
    <w:p>
      <w:pPr>
        <w:pStyle w:val="LegClause"/>
      </w:pPr>
      <w:r>
        <w:rPr>
          <w:b/>
        </w:rPr>
        <w:t xml:space="preserve">(c)  </w:t>
      </w:r>
      <w:r>
        <w:t>The Board shall fund more competing early approaches than late-stage demonstrations and shall explain any decision to move an immature technology into large capital expenditure.</w:t>
      </w:r>
    </w:p>
    <w:p>
      <w:pPr>
        <w:pStyle w:val="LegSection"/>
      </w:pPr>
      <w:r>
        <w:t>SEC. 1009. PORTFOLIO-LEVEL EXPECTED VALUE AND PUBLIC BENEFIT.</w:t>
      </w:r>
    </w:p>
    <w:p>
      <w:pPr>
        <w:pStyle w:val="LegClause"/>
      </w:pPr>
      <w:r>
        <w:rPr>
          <w:b/>
        </w:rPr>
        <w:t xml:space="preserve">(a)  </w:t>
      </w:r>
      <w:r>
        <w:t>Grand Challenge decisions may evaluate expected learning, national capability, risk reduction, and spillovers across a portfolio rather than requiring every experiment to produce a deployable product.</w:t>
      </w:r>
    </w:p>
    <w:p>
      <w:pPr>
        <w:pStyle w:val="LegClause"/>
      </w:pPr>
      <w:r>
        <w:rPr>
          <w:b/>
        </w:rPr>
        <w:t xml:space="preserve">(b)  </w:t>
      </w:r>
      <w:r>
        <w:t>Portfolio review shall still identify duplicative bets, unsafe risks, politically directed awards, and projects unlikely to generate informative results.</w:t>
      </w:r>
    </w:p>
    <w:p>
      <w:pPr>
        <w:pStyle w:val="LegClause"/>
      </w:pPr>
      <w:r>
        <w:rPr>
          <w:b/>
        </w:rPr>
        <w:t xml:space="preserve">(c)  </w:t>
      </w:r>
      <w:r>
        <w:t>Program managers shall issue a public uncertainty statement distinguishing established science from assumptions on which the program depends.</w:t>
      </w:r>
    </w:p>
    <w:p>
      <w:pPr>
        <w:pStyle w:val="LegTitle"/>
      </w:pPr>
      <w:r>
        <w:t>TITLE XI — CISLUNAR, LUNAR, MARS, AND DEEP-SPACE SYSTEMS</w:t>
      </w:r>
    </w:p>
    <w:p>
      <w:pPr>
        <w:pStyle w:val="LegSection"/>
      </w:pPr>
      <w:r>
        <w:t>SEC. 1101. CISLUNAR INFRASTRUCTURE.</w:t>
      </w:r>
    </w:p>
    <w:p>
      <w:pPr>
        <w:pStyle w:val="LegClause"/>
      </w:pPr>
      <w:r>
        <w:rPr>
          <w:b/>
        </w:rPr>
        <w:t xml:space="preserve">(a)  </w:t>
      </w:r>
      <w:r>
        <w:t>NASA shall support interoperable communications, navigation, timing, power, logistics, debris monitoring, science, and emergency-support systems in cislunar space.</w:t>
      </w:r>
    </w:p>
    <w:p>
      <w:pPr>
        <w:pStyle w:val="LegClause"/>
      </w:pPr>
      <w:r>
        <w:rPr>
          <w:b/>
        </w:rPr>
        <w:t xml:space="preserve">(b)  </w:t>
      </w:r>
      <w:r>
        <w:t>Open interfaces and multi-vendor interoperability shall be preferred where feasible.</w:t>
      </w:r>
    </w:p>
    <w:p>
      <w:pPr>
        <w:pStyle w:val="LegSection"/>
      </w:pPr>
      <w:r>
        <w:t>SEC. 1102. SUSTAINED LUNAR SCIENCE AND OPERATIONS.</w:t>
      </w:r>
    </w:p>
    <w:p>
      <w:pPr>
        <w:pStyle w:val="LegClause"/>
      </w:pPr>
      <w:r>
        <w:rPr>
          <w:b/>
        </w:rPr>
        <w:t xml:space="preserve">(a)  </w:t>
      </w:r>
      <w:r>
        <w:t>NASA may develop surface power, mobility, communications, laboratories, resource characterization, construction demonstrations, radiation monitoring, habitation research, and logistics required for sustained lunar science.</w:t>
      </w:r>
    </w:p>
    <w:p>
      <w:pPr>
        <w:pStyle w:val="LegClause"/>
      </w:pPr>
      <w:r>
        <w:rPr>
          <w:b/>
        </w:rPr>
        <w:t xml:space="preserve">(b)  </w:t>
      </w:r>
      <w:r>
        <w:t>Resource-utilization experiments shall comply with applicable international obligations and avoid unnecessary harmful contamination.</w:t>
      </w:r>
    </w:p>
    <w:p>
      <w:pPr>
        <w:pStyle w:val="LegSection"/>
      </w:pPr>
      <w:r>
        <w:t>SEC. 1103. MARS ARCHITECTURE.</w:t>
      </w:r>
    </w:p>
    <w:p>
      <w:pPr>
        <w:pStyle w:val="LegClause"/>
      </w:pPr>
      <w:r>
        <w:rPr>
          <w:b/>
        </w:rPr>
        <w:t xml:space="preserve">(a)  </w:t>
      </w:r>
      <w:r>
        <w:t>NASA shall maintain an evolvable Mars architecture emphasizing precursor robotics, closed-loop life support, radiation protection, entry-descent-landing, power, surface mobility, communications, autonomy, logistics, return capability, and scientific integrity.</w:t>
      </w:r>
    </w:p>
    <w:p>
      <w:pPr>
        <w:pStyle w:val="LegClause"/>
      </w:pPr>
      <w:r>
        <w:rPr>
          <w:b/>
        </w:rPr>
        <w:t xml:space="preserve">(b)  </w:t>
      </w:r>
      <w:r>
        <w:t>No crewed Mars launch shall occur without an independent safety and mission-readiness review transmitted to Congress.</w:t>
      </w:r>
    </w:p>
    <w:p>
      <w:pPr>
        <w:pStyle w:val="LegSection"/>
      </w:pPr>
      <w:r>
        <w:t>SEC. 1104. DEEP-SPACE COMMUNICATIONS AND NAVIGATION.</w:t>
      </w:r>
    </w:p>
    <w:p>
      <w:pPr>
        <w:pStyle w:val="LegClause"/>
      </w:pPr>
      <w:r>
        <w:rPr>
          <w:b/>
        </w:rPr>
        <w:t xml:space="preserve">(a)  </w:t>
      </w:r>
      <w:r>
        <w:t>NASA shall modernize deep-space communications using optical, radio, autonomous routing, navigation, and distributed ground assets.</w:t>
      </w:r>
    </w:p>
    <w:p>
      <w:pPr>
        <w:pStyle w:val="LegClause"/>
      </w:pPr>
      <w:r>
        <w:rPr>
          <w:b/>
        </w:rPr>
        <w:t xml:space="preserve">(b)  </w:t>
      </w:r>
      <w:r>
        <w:t>The network shall maintain redundancy against single-point geographic, cyber, and provider failures.</w:t>
      </w:r>
    </w:p>
    <w:p>
      <w:pPr>
        <w:pStyle w:val="LegSection"/>
      </w:pPr>
      <w:r>
        <w:t>SEC. 1105. SPACE INFRASTRUCTURE COMMONS.</w:t>
      </w:r>
    </w:p>
    <w:p>
      <w:pPr>
        <w:pStyle w:val="LegClause"/>
      </w:pPr>
      <w:r>
        <w:rPr>
          <w:b/>
        </w:rPr>
        <w:t xml:space="preserve">(a)  </w:t>
      </w:r>
      <w:r>
        <w:t>NASA may provide shared orbital servicing, refueling demonstrations, communications, navigation, power, payload hosting, and logistics as public or mixed-use infrastructure.</w:t>
      </w:r>
    </w:p>
    <w:p>
      <w:pPr>
        <w:pStyle w:val="LegClause"/>
      </w:pPr>
      <w:r>
        <w:rPr>
          <w:b/>
        </w:rPr>
        <w:t xml:space="preserve">(b)  </w:t>
      </w:r>
      <w:r>
        <w:t>Commercial users may pay cost-based fees; scientific and public-interest missions may receive reduced fees.</w:t>
      </w:r>
    </w:p>
    <w:p>
      <w:pPr>
        <w:pStyle w:val="LegSection"/>
      </w:pPr>
      <w:r>
        <w:t>SEC. 1106. PLANETARY PROTECTION.</w:t>
      </w:r>
    </w:p>
    <w:p>
      <w:pPr>
        <w:pStyle w:val="LegClause"/>
      </w:pPr>
      <w:r>
        <w:rPr>
          <w:b/>
        </w:rPr>
        <w:t xml:space="preserve">(a)  </w:t>
      </w:r>
      <w:r>
        <w:t>NASA shall maintain risk-tiered planetary-protection protocols for forward and backward contamination.</w:t>
      </w:r>
    </w:p>
    <w:p>
      <w:pPr>
        <w:pStyle w:val="LegClause"/>
      </w:pPr>
      <w:r>
        <w:rPr>
          <w:b/>
        </w:rPr>
        <w:t xml:space="preserve">(b)  </w:t>
      </w:r>
      <w:r>
        <w:t>Sample-return missions with plausible biological risk require independent containment and emergency plans.</w:t>
      </w:r>
    </w:p>
    <w:p>
      <w:pPr>
        <w:pStyle w:val="LegClause"/>
      </w:pPr>
      <w:r>
        <w:rPr>
          <w:b/>
        </w:rPr>
        <w:t xml:space="preserve">(c)  </w:t>
      </w:r>
      <w:r>
        <w:t>Programs shall coordinate applicable international planetary-protection practices and shall document contamination controls before launch and before sample-receiving operations.</w:t>
      </w:r>
    </w:p>
    <w:p>
      <w:pPr>
        <w:pStyle w:val="LegSection"/>
      </w:pPr>
      <w:r>
        <w:t>SEC. 1107. DEEP-SPACE LOGISTICS STANDARDS.</w:t>
      </w:r>
    </w:p>
    <w:p>
      <w:pPr>
        <w:pStyle w:val="LegClause"/>
      </w:pPr>
      <w:r>
        <w:rPr>
          <w:b/>
        </w:rPr>
        <w:t xml:space="preserve">(a)  </w:t>
      </w:r>
      <w:r>
        <w:t>NASA shall develop interoperable standards for docking, power, communications, cargo interfaces, propellant transfer, emergency support, and robotic servicing where common standards improve resilience.</w:t>
      </w:r>
    </w:p>
    <w:p>
      <w:pPr>
        <w:pStyle w:val="LegSection"/>
      </w:pPr>
      <w:r>
        <w:t>SEC. 1108. SURFACE INFRASTRUCTURE LIFECYCLE.</w:t>
      </w:r>
    </w:p>
    <w:p>
      <w:pPr>
        <w:pStyle w:val="LegClause"/>
      </w:pPr>
      <w:r>
        <w:rPr>
          <w:b/>
        </w:rPr>
        <w:t xml:space="preserve">(a)  </w:t>
      </w:r>
      <w:r>
        <w:t>Long-lived lunar or planetary assets shall include plans for repair, replacement, waste, power, communications, environmental effects, and end-of-life disposition.</w:t>
      </w:r>
    </w:p>
    <w:p>
      <w:pPr>
        <w:pStyle w:val="LegSection"/>
      </w:pPr>
      <w:r>
        <w:t>SEC. 1109. EXPLORATION ARCHITECTURE RESERVE STANDARDS.</w:t>
      </w:r>
    </w:p>
    <w:p>
      <w:pPr>
        <w:pStyle w:val="LegClause"/>
      </w:pPr>
      <w:r>
        <w:rPr>
          <w:b/>
        </w:rPr>
        <w:t xml:space="preserve">(a)  </w:t>
      </w:r>
      <w:r>
        <w:t>Human exploration systems shall have defined reserves for mass, power, communications, supplies, life support, radiation, abort opportunities, logistics, and independent verification appropriate to mission phase.</w:t>
      </w:r>
    </w:p>
    <w:p>
      <w:pPr>
        <w:pStyle w:val="LegClause"/>
      </w:pPr>
      <w:r>
        <w:rPr>
          <w:b/>
        </w:rPr>
        <w:t xml:space="preserve">(b)  </w:t>
      </w:r>
      <w:r>
        <w:t>The agency shall disclose departures from approved reserves and a mitigation plan to its independent safety authority before major flight milestones.</w:t>
      </w:r>
    </w:p>
    <w:p>
      <w:pPr>
        <w:pStyle w:val="LegClause"/>
      </w:pPr>
      <w:r>
        <w:rPr>
          <w:b/>
        </w:rPr>
        <w:t xml:space="preserve">(c)  </w:t>
      </w:r>
      <w:r>
        <w:t>An architecture shall not rely on an unproven technology becoming available by a fixed date without a funded contingency alternative.</w:t>
      </w:r>
    </w:p>
    <w:p>
      <w:pPr>
        <w:pStyle w:val="LegTitle"/>
      </w:pPr>
      <w:r>
        <w:t>TITLE XII — ASTRONOMY, ASTROPHYSICS, HELIOPHYSICS, AND PLANETARY SCIENCE</w:t>
      </w:r>
    </w:p>
    <w:p>
      <w:pPr>
        <w:pStyle w:val="LegSection"/>
      </w:pPr>
      <w:r>
        <w:t>SEC. 1201. GREAT OBSERVATORIES CONTINUITY.</w:t>
      </w:r>
    </w:p>
    <w:p>
      <w:pPr>
        <w:pStyle w:val="LegClause"/>
      </w:pPr>
      <w:r>
        <w:rPr>
          <w:b/>
        </w:rPr>
        <w:t xml:space="preserve">(a)  </w:t>
      </w:r>
      <w:r>
        <w:t>NASA and NSF shall maintain a pipeline of major space- and ground-based observatories without waiting until the previous generation is near retirement before beginning successor planning.</w:t>
      </w:r>
    </w:p>
    <w:p>
      <w:pPr>
        <w:pStyle w:val="LegClause"/>
      </w:pPr>
      <w:r>
        <w:rPr>
          <w:b/>
        </w:rPr>
        <w:t xml:space="preserve">(b)  </w:t>
      </w:r>
      <w:r>
        <w:t>Planning shall include servicing, modularity, technology maturation, data infrastructure, and international participation.</w:t>
      </w:r>
    </w:p>
    <w:p>
      <w:pPr>
        <w:pStyle w:val="LegSection"/>
      </w:pPr>
      <w:r>
        <w:t>SEC. 1202. MULTI-MESSENGER ASTRONOMY.</w:t>
      </w:r>
    </w:p>
    <w:p>
      <w:pPr>
        <w:pStyle w:val="LegClause"/>
      </w:pPr>
      <w:r>
        <w:rPr>
          <w:b/>
        </w:rPr>
        <w:t xml:space="preserve">(a)  </w:t>
      </w:r>
      <w:r>
        <w:t>Federal agencies may coordinate electromagnetic, gravitational-wave, neutrino, cosmic-ray, and other messenger observatories.</w:t>
      </w:r>
    </w:p>
    <w:p>
      <w:pPr>
        <w:pStyle w:val="LegClause"/>
      </w:pPr>
      <w:r>
        <w:rPr>
          <w:b/>
        </w:rPr>
        <w:t xml:space="preserve">(b)  </w:t>
      </w:r>
      <w:r>
        <w:t>Time-domain alerts and nonproprietary event data should be rapidly interoperable.</w:t>
      </w:r>
    </w:p>
    <w:p>
      <w:pPr>
        <w:pStyle w:val="LegSection"/>
      </w:pPr>
      <w:r>
        <w:t>SEC. 1203. SOLAR AND SPACE-WEATHER SCIENCE.</w:t>
      </w:r>
    </w:p>
    <w:p>
      <w:pPr>
        <w:pStyle w:val="LegClause"/>
      </w:pPr>
      <w:r>
        <w:rPr>
          <w:b/>
        </w:rPr>
        <w:t xml:space="preserve">(a)  </w:t>
      </w:r>
      <w:r>
        <w:t>NASA, NOAA, NSF, and DoD shall maintain coordinated research from fundamental solar physics through operational space-weather forecasting.</w:t>
      </w:r>
    </w:p>
    <w:p>
      <w:pPr>
        <w:pStyle w:val="LegClause"/>
      </w:pPr>
      <w:r>
        <w:rPr>
          <w:b/>
        </w:rPr>
        <w:t xml:space="preserve">(b)  </w:t>
      </w:r>
      <w:r>
        <w:t>Operational forecasting shall remain sufficiently distinct from research to preserve scientific experimentation while enabling transition.</w:t>
      </w:r>
    </w:p>
    <w:p>
      <w:pPr>
        <w:pStyle w:val="LegSection"/>
      </w:pPr>
      <w:r>
        <w:t>SEC. 1204. PLANETARY SCIENCE MISSION LINES.</w:t>
      </w:r>
    </w:p>
    <w:p>
      <w:pPr>
        <w:pStyle w:val="LegClause"/>
      </w:pPr>
      <w:r>
        <w:rPr>
          <w:b/>
        </w:rPr>
        <w:t xml:space="preserve">(a)  </w:t>
      </w:r>
      <w:r>
        <w:t>NASA shall maintain recurring competed mission lines at multiple cost classes.</w:t>
      </w:r>
    </w:p>
    <w:p>
      <w:pPr>
        <w:pStyle w:val="LegClause"/>
      </w:pPr>
      <w:r>
        <w:rPr>
          <w:b/>
        </w:rPr>
        <w:t xml:space="preserve">(b)  </w:t>
      </w:r>
      <w:r>
        <w:t>Mission opportunities shall address terrestrial planets, giant planets, small bodies, ocean worlds, primitive bodies, and planetary systems beyond the solar system according to scientific review.</w:t>
      </w:r>
    </w:p>
    <w:p>
      <w:pPr>
        <w:pStyle w:val="LegSection"/>
      </w:pPr>
      <w:r>
        <w:t>SEC. 1205. SEARCH FOR LIFE AND BIOSIGNATURES.</w:t>
      </w:r>
    </w:p>
    <w:p>
      <w:pPr>
        <w:pStyle w:val="LegClause"/>
      </w:pPr>
      <w:r>
        <w:rPr>
          <w:b/>
        </w:rPr>
        <w:t xml:space="preserve">(a)  </w:t>
      </w:r>
      <w:r>
        <w:t>NASA and participating agencies may support life-detection science, biosignature measurement, origin-of-life research, and technosignature research using scientifically reviewable methods.</w:t>
      </w:r>
    </w:p>
    <w:p>
      <w:pPr>
        <w:pStyle w:val="LegClause"/>
      </w:pPr>
      <w:r>
        <w:rPr>
          <w:b/>
        </w:rPr>
        <w:t xml:space="preserve">(b)  </w:t>
      </w:r>
      <w:r>
        <w:t>No scientific conclusion regarding life beyond Earth shall be prescribed by statute.</w:t>
      </w:r>
    </w:p>
    <w:p>
      <w:pPr>
        <w:pStyle w:val="LegSection"/>
      </w:pPr>
      <w:r>
        <w:t>SEC. 1206. LUNAR AND SPACE-BASED OBSERVATORIES.</w:t>
      </w:r>
    </w:p>
    <w:p>
      <w:pPr>
        <w:pStyle w:val="LegClause"/>
      </w:pPr>
      <w:r>
        <w:rPr>
          <w:b/>
        </w:rPr>
        <w:t xml:space="preserve">(a)  </w:t>
      </w:r>
      <w:r>
        <w:t>NASA and NSF may study or construct observatories in space, on the Moon, or at other scientifically advantageous locations when environmental, radio-frequency, thermal, or geometric conditions justify the site.</w:t>
      </w:r>
    </w:p>
    <w:p>
      <w:pPr>
        <w:pStyle w:val="LegSection"/>
      </w:pPr>
      <w:r>
        <w:t>SEC. 1207. DATA LONGEVITY FOR FLAGSHIP MISSIONS.</w:t>
      </w:r>
    </w:p>
    <w:p>
      <w:pPr>
        <w:pStyle w:val="LegClause"/>
      </w:pPr>
      <w:r>
        <w:rPr>
          <w:b/>
        </w:rPr>
        <w:t xml:space="preserve">(a)  </w:t>
      </w:r>
      <w:r>
        <w:t>Flagship missions shall budget for archives, calibration products, software, documentation, and long-term public usability of scientific data.</w:t>
      </w:r>
    </w:p>
    <w:p>
      <w:pPr>
        <w:pStyle w:val="LegSection"/>
      </w:pPr>
      <w:r>
        <w:t>SEC. 1208. SCIENTIFIC INSTRUMENT ACCESS FAIRNESS.</w:t>
      </w:r>
    </w:p>
    <w:p>
      <w:pPr>
        <w:pStyle w:val="LegClause"/>
      </w:pPr>
      <w:r>
        <w:rPr>
          <w:b/>
        </w:rPr>
        <w:t xml:space="preserve">(a)  </w:t>
      </w:r>
      <w:r>
        <w:t>Major astronomy and planetary facilities shall publish science-time allocation rules, appeal procedures, remote-access opportunities, and data exclusivity periods where permitted.</w:t>
      </w:r>
    </w:p>
    <w:p>
      <w:pPr>
        <w:pStyle w:val="LegClause"/>
      </w:pPr>
      <w:r>
        <w:rPr>
          <w:b/>
        </w:rPr>
        <w:t xml:space="preserve">(b)  </w:t>
      </w:r>
      <w:r>
        <w:t>Time may be reserved for calibration, engineering, urgent transient events, safety, and public education as the facility mission requires.</w:t>
      </w:r>
    </w:p>
    <w:p>
      <w:pPr>
        <w:pStyle w:val="LegClause"/>
      </w:pPr>
      <w:r>
        <w:rPr>
          <w:b/>
        </w:rPr>
        <w:t xml:space="preserve">(c)  </w:t>
      </w:r>
      <w:r>
        <w:t>Access decisions shall be based on scientific merit and facility purpose, with protections against undisclosed institutional favoritism.</w:t>
      </w:r>
    </w:p>
    <w:p>
      <w:pPr>
        <w:pStyle w:val="LegTitle"/>
      </w:pPr>
      <w:r>
        <w:t>TITLE XIII — AERONAUTICS, ADVANCED MOBILITY, AND TRANSPORT</w:t>
      </w:r>
    </w:p>
    <w:p>
      <w:pPr>
        <w:pStyle w:val="LegSection"/>
      </w:pPr>
      <w:r>
        <w:t>SEC. 1301. AERONAUTICS MOONSHOTS.</w:t>
      </w:r>
    </w:p>
    <w:p>
      <w:pPr>
        <w:pStyle w:val="LegClause"/>
      </w:pPr>
      <w:r>
        <w:rPr>
          <w:b/>
        </w:rPr>
        <w:t xml:space="preserve">(a)  </w:t>
      </w:r>
      <w:r>
        <w:t>NASA shall maintain high-risk aeronautics programs in low-emission flight, quiet high-speed flight, vertical lift, advanced propulsion, autonomy, airspace integration, extreme efficiency, and novel aircraft structures.</w:t>
      </w:r>
    </w:p>
    <w:p>
      <w:pPr>
        <w:pStyle w:val="LegClause"/>
      </w:pPr>
      <w:r>
        <w:rPr>
          <w:b/>
        </w:rPr>
        <w:t xml:space="preserve">(b)  </w:t>
      </w:r>
      <w:r>
        <w:t>Full-scale demonstrators may be built where simulation cannot resolve system-level uncertainty.</w:t>
      </w:r>
    </w:p>
    <w:p>
      <w:pPr>
        <w:pStyle w:val="LegSection"/>
      </w:pPr>
      <w:r>
        <w:t>SEC. 1302. HIGH-SPEED CIVIL RESEARCH.</w:t>
      </w:r>
    </w:p>
    <w:p>
      <w:pPr>
        <w:pStyle w:val="LegClause"/>
      </w:pPr>
      <w:r>
        <w:rPr>
          <w:b/>
        </w:rPr>
        <w:t xml:space="preserve">(a)  </w:t>
      </w:r>
      <w:r>
        <w:t>Civilian research may support thermal management, materials, propulsion, acoustics, atmospheric effects, safety, and air-traffic integration for high-speed and hypersonic flight.</w:t>
      </w:r>
    </w:p>
    <w:p>
      <w:pPr>
        <w:pStyle w:val="LegClause"/>
      </w:pPr>
      <w:r>
        <w:rPr>
          <w:b/>
        </w:rPr>
        <w:t xml:space="preserve">(b)  </w:t>
      </w:r>
      <w:r>
        <w:t>Civilian funds may not be used as a disguised substitute for classified weapons development.</w:t>
      </w:r>
    </w:p>
    <w:p>
      <w:pPr>
        <w:pStyle w:val="LegSection"/>
      </w:pPr>
      <w:r>
        <w:t>SEC. 1303. ADVANCED AIR MOBILITY TEST CORRIDORS.</w:t>
      </w:r>
    </w:p>
    <w:p>
      <w:pPr>
        <w:pStyle w:val="LegClause"/>
      </w:pPr>
      <w:r>
        <w:rPr>
          <w:b/>
        </w:rPr>
        <w:t xml:space="preserve">(a)  </w:t>
      </w:r>
      <w:r>
        <w:t>FAA, NASA, State, tribal, territorial, and local partners may establish controlled test corridors for autonomous and advanced aircraft.</w:t>
      </w:r>
    </w:p>
    <w:p>
      <w:pPr>
        <w:pStyle w:val="LegClause"/>
      </w:pPr>
      <w:r>
        <w:rPr>
          <w:b/>
        </w:rPr>
        <w:t xml:space="preserve">(b)  </w:t>
      </w:r>
      <w:r>
        <w:t>Testing shall protect uninvolved persons, privacy, noise standards, and existing airspace users.</w:t>
      </w:r>
    </w:p>
    <w:p>
      <w:pPr>
        <w:pStyle w:val="LegSection"/>
      </w:pPr>
      <w:r>
        <w:t>SEC. 1304. SUSTAINABLE AVIATION SCIENCE.</w:t>
      </w:r>
    </w:p>
    <w:p>
      <w:pPr>
        <w:pStyle w:val="LegClause"/>
      </w:pPr>
      <w:r>
        <w:rPr>
          <w:b/>
        </w:rPr>
        <w:t xml:space="preserve">(a)  </w:t>
      </w:r>
      <w:r>
        <w:t>Programs may include propulsion efficiency, electric and hybrid systems, hydrogen, sustainable fuels, contrail science, lightweight structures, and operations optimization.</w:t>
      </w:r>
    </w:p>
    <w:p>
      <w:pPr>
        <w:pStyle w:val="LegSection"/>
      </w:pPr>
      <w:r>
        <w:t>SEC. 1305. FLIGHT RESEARCH FLEET.</w:t>
      </w:r>
    </w:p>
    <w:p>
      <w:pPr>
        <w:pStyle w:val="LegClause"/>
      </w:pPr>
      <w:r>
        <w:rPr>
          <w:b/>
        </w:rPr>
        <w:t xml:space="preserve">(a)  </w:t>
      </w:r>
      <w:r>
        <w:t>NASA may maintain, modify, or acquire research aircraft and remotely piloted systems needed to test advanced concepts in realistic environments.</w:t>
      </w:r>
    </w:p>
    <w:p>
      <w:pPr>
        <w:pStyle w:val="LegClause"/>
      </w:pPr>
      <w:r>
        <w:rPr>
          <w:b/>
        </w:rPr>
        <w:t xml:space="preserve">(b)  </w:t>
      </w:r>
      <w:r>
        <w:t>Research aircraft shall receive predictable maintenance and instrument-refresh funding.</w:t>
      </w:r>
    </w:p>
    <w:p>
      <w:pPr>
        <w:pStyle w:val="LegSection"/>
      </w:pPr>
      <w:r>
        <w:t>SEC. 1306. CIVIL AVIATION DATA COMMONS.</w:t>
      </w:r>
    </w:p>
    <w:p>
      <w:pPr>
        <w:pStyle w:val="LegClause"/>
      </w:pPr>
      <w:r>
        <w:rPr>
          <w:b/>
        </w:rPr>
        <w:t xml:space="preserve">(a)  </w:t>
      </w:r>
      <w:r>
        <w:t>FAA and NASA may establish deidentified datasets and simulation environments for air-traffic, safety, weather, autonomy, and human-factors research, subject to privacy and security rules.</w:t>
      </w:r>
    </w:p>
    <w:p>
      <w:pPr>
        <w:pStyle w:val="LegSection"/>
      </w:pPr>
      <w:r>
        <w:t>SEC. 1307. AVIATION SAFETY AND INDEPENDENT VALIDATION.</w:t>
      </w:r>
    </w:p>
    <w:p>
      <w:pPr>
        <w:pStyle w:val="LegClause"/>
      </w:pPr>
      <w:r>
        <w:rPr>
          <w:b/>
        </w:rPr>
        <w:t xml:space="preserve">(a)  </w:t>
      </w:r>
      <w:r>
        <w:t>Flight demonstrators shall receive a flight-test safety case addressing airworthiness, human factors, operational limits, emergency procedures, and third-party exposure.</w:t>
      </w:r>
    </w:p>
    <w:p>
      <w:pPr>
        <w:pStyle w:val="LegClause"/>
      </w:pPr>
      <w:r>
        <w:rPr>
          <w:b/>
        </w:rPr>
        <w:t xml:space="preserve">(b)  </w:t>
      </w:r>
      <w:r>
        <w:t>Research personnel shall not exercise the regulatory authority of the Federal Aviation Administration by virtue of receiving SPACE funding.</w:t>
      </w:r>
    </w:p>
    <w:p>
      <w:pPr>
        <w:pStyle w:val="LegClause"/>
      </w:pPr>
      <w:r>
        <w:rPr>
          <w:b/>
        </w:rPr>
        <w:t xml:space="preserve">(c)  </w:t>
      </w:r>
      <w:r>
        <w:t>Human-subject and passenger research shall receive appropriate consent and safety review.</w:t>
      </w:r>
    </w:p>
    <w:p>
      <w:pPr>
        <w:pStyle w:val="LegTitle"/>
      </w:pPr>
      <w:r>
        <w:t>TITLE XIV — COMPUTING, ARTIFICIAL INTELLIGENCE, QUANTUM, ROBOTICS, AND CYBER-PHYSICAL SYSTEMS</w:t>
      </w:r>
    </w:p>
    <w:p>
      <w:pPr>
        <w:pStyle w:val="LegSection"/>
      </w:pPr>
      <w:r>
        <w:t>SEC. 1401. NATIONAL FRONTIER COMPUTE RESERVE.</w:t>
      </w:r>
    </w:p>
    <w:p>
      <w:pPr>
        <w:pStyle w:val="LegClause"/>
      </w:pPr>
      <w:r>
        <w:rPr>
          <w:b/>
        </w:rPr>
        <w:t xml:space="preserve">(a)  </w:t>
      </w:r>
      <w:r>
        <w:t>DOE, NSF, NASA, DARPA, and NIST shall establish a distributed reserve of advanced computing for scientific simulation, AI training and inference, validation, and data analysis.</w:t>
      </w:r>
    </w:p>
    <w:p>
      <w:pPr>
        <w:pStyle w:val="LegClause"/>
      </w:pPr>
      <w:r>
        <w:rPr>
          <w:b/>
        </w:rPr>
        <w:t xml:space="preserve">(b)  </w:t>
      </w:r>
      <w:r>
        <w:t>Capacity may include conventional HPC, specialized accelerators, neuromorphic systems, quantum testbeds, secure enclaves, and future architectures.</w:t>
      </w:r>
    </w:p>
    <w:p>
      <w:pPr>
        <w:pStyle w:val="LegClause"/>
      </w:pPr>
      <w:r>
        <w:rPr>
          <w:b/>
        </w:rPr>
        <w:t xml:space="preserve">(c)  </w:t>
      </w:r>
      <w:r>
        <w:t>Allocation shall consider scientific merit, urgency, reproducibility, national need, and absence of practical alternatives.</w:t>
      </w:r>
    </w:p>
    <w:p>
      <w:pPr>
        <w:pStyle w:val="LegSection"/>
      </w:pPr>
      <w:r>
        <w:t>SEC. 1402. AI FOR SCIENCE.</w:t>
      </w:r>
    </w:p>
    <w:p>
      <w:pPr>
        <w:pStyle w:val="LegClause"/>
      </w:pPr>
      <w:r>
        <w:rPr>
          <w:b/>
        </w:rPr>
        <w:t xml:space="preserve">(a)  </w:t>
      </w:r>
      <w:r>
        <w:t>Agencies may support AI systems for scientific inference, experiment control, theorem discovery, materials and drug discovery, simulation acceleration, autonomous laboratories, and data analysis.</w:t>
      </w:r>
    </w:p>
    <w:p>
      <w:pPr>
        <w:pStyle w:val="LegClause"/>
      </w:pPr>
      <w:r>
        <w:rPr>
          <w:b/>
        </w:rPr>
        <w:t xml:space="preserve">(b)  </w:t>
      </w:r>
      <w:r>
        <w:t>Results with material scientific consequences shall retain traceability to data, assumptions, code, models, and validation sufficient for appropriate review.</w:t>
      </w:r>
    </w:p>
    <w:p>
      <w:pPr>
        <w:pStyle w:val="LegSection"/>
      </w:pPr>
      <w:r>
        <w:t>SEC. 1403. SCIENCE OF AI.</w:t>
      </w:r>
    </w:p>
    <w:p>
      <w:pPr>
        <w:pStyle w:val="LegClause"/>
      </w:pPr>
      <w:r>
        <w:rPr>
          <w:b/>
        </w:rPr>
        <w:t xml:space="preserve">(a)  </w:t>
      </w:r>
      <w:r>
        <w:t>The Fund may support foundational work in interpretability, robustness, alignment, efficiency, verification, security, agent behavior, human-AI interaction, and evaluation science.</w:t>
      </w:r>
    </w:p>
    <w:p>
      <w:pPr>
        <w:pStyle w:val="LegClause"/>
      </w:pPr>
      <w:r>
        <w:rPr>
          <w:b/>
        </w:rPr>
        <w:t xml:space="preserve">(b)  </w:t>
      </w:r>
      <w:r>
        <w:t>High-capability systems used in safety-critical settings shall undergo independent evaluation proportionate to risk.</w:t>
      </w:r>
    </w:p>
    <w:p>
      <w:pPr>
        <w:pStyle w:val="LegClause"/>
      </w:pPr>
      <w:r>
        <w:rPr>
          <w:b/>
        </w:rPr>
        <w:t xml:space="preserve">(c)  </w:t>
      </w:r>
      <w:r>
        <w:t>High-capability systems financed by the Act shall have documented evaluation protocols and incident-response pathways proportionate to their intended use, without imposing secret deployment standards on ordinary public academic inquiry.</w:t>
      </w:r>
    </w:p>
    <w:p>
      <w:pPr>
        <w:pStyle w:val="LegSection"/>
      </w:pPr>
      <w:r>
        <w:t>SEC. 1404. QUANTUM SYSTEMS.</w:t>
      </w:r>
    </w:p>
    <w:p>
      <w:pPr>
        <w:pStyle w:val="LegClause"/>
      </w:pPr>
      <w:r>
        <w:rPr>
          <w:b/>
        </w:rPr>
        <w:t xml:space="preserve">(a)  </w:t>
      </w:r>
      <w:r>
        <w:t>Programs may support quantum sensing, communications, computing, simulation, networking, materials, control, error correction, and benchmarking.</w:t>
      </w:r>
    </w:p>
    <w:p>
      <w:pPr>
        <w:pStyle w:val="LegClause"/>
      </w:pPr>
      <w:r>
        <w:rPr>
          <w:b/>
        </w:rPr>
        <w:t xml:space="preserve">(b)  </w:t>
      </w:r>
      <w:r>
        <w:t>Claims of quantum advantage shall be tested against strong classical baselines and independently reproducible methods.</w:t>
      </w:r>
    </w:p>
    <w:p>
      <w:pPr>
        <w:pStyle w:val="LegSection"/>
      </w:pPr>
      <w:r>
        <w:t>SEC. 1405. ROBOTICS AND AUTONOMOUS SYSTEMS.</w:t>
      </w:r>
    </w:p>
    <w:p>
      <w:pPr>
        <w:pStyle w:val="LegClause"/>
      </w:pPr>
      <w:r>
        <w:rPr>
          <w:b/>
        </w:rPr>
        <w:t xml:space="preserve">(a)  </w:t>
      </w:r>
      <w:r>
        <w:t>Programs may support robots for space, ocean, disaster response, manufacturing, science, medicine, agriculture, infrastructure, and hazardous environments.</w:t>
      </w:r>
    </w:p>
    <w:p>
      <w:pPr>
        <w:pStyle w:val="LegClause"/>
      </w:pPr>
      <w:r>
        <w:rPr>
          <w:b/>
        </w:rPr>
        <w:t xml:space="preserve">(b)  </w:t>
      </w:r>
      <w:r>
        <w:t>Systems making consequential decisions affecting persons shall include human oversight, testability, fail-safe behavior, and auditability appropriate to context.</w:t>
      </w:r>
    </w:p>
    <w:p>
      <w:pPr>
        <w:pStyle w:val="LegSection"/>
      </w:pPr>
      <w:r>
        <w:t>SEC. 1406. SCIENTIFIC CYBERINFRASTRUCTURE.</w:t>
      </w:r>
    </w:p>
    <w:p>
      <w:pPr>
        <w:pStyle w:val="LegClause"/>
      </w:pPr>
      <w:r>
        <w:rPr>
          <w:b/>
        </w:rPr>
        <w:t xml:space="preserve">(a)  </w:t>
      </w:r>
      <w:r>
        <w:t>Agencies shall maintain secure identity, data-transfer, computing, storage, software-supply-chain, and incident-response systems proportionate to scientific use.</w:t>
      </w:r>
    </w:p>
    <w:p>
      <w:pPr>
        <w:pStyle w:val="LegClause"/>
      </w:pPr>
      <w:r>
        <w:rPr>
          <w:b/>
        </w:rPr>
        <w:t xml:space="preserve">(b)  </w:t>
      </w:r>
      <w:r>
        <w:t>Cybersecurity controls shall be tailored to data sensitivity rather than imposed uniformly on open fundamental research.</w:t>
      </w:r>
    </w:p>
    <w:p>
      <w:pPr>
        <w:pStyle w:val="LegSection"/>
      </w:pPr>
      <w:r>
        <w:t>SEC. 1407. AUTONOMOUS LABORATORIES.</w:t>
      </w:r>
    </w:p>
    <w:p>
      <w:pPr>
        <w:pStyle w:val="LegClause"/>
      </w:pPr>
      <w:r>
        <w:rPr>
          <w:b/>
        </w:rPr>
        <w:t xml:space="preserve">(a)  </w:t>
      </w:r>
      <w:r>
        <w:t>The Network may support laboratories in which robotics, AI, simulation, and automated instrumentation accelerate experimental cycles.</w:t>
      </w:r>
    </w:p>
    <w:p>
      <w:pPr>
        <w:pStyle w:val="LegClause"/>
      </w:pPr>
      <w:r>
        <w:rPr>
          <w:b/>
        </w:rPr>
        <w:t xml:space="preserve">(b)  </w:t>
      </w:r>
      <w:r>
        <w:t>Autonomous experimentation shall preserve human responsibility for safety, research integrity, and consequential deployment decisions.</w:t>
      </w:r>
    </w:p>
    <w:p>
      <w:pPr>
        <w:pStyle w:val="LegSection"/>
      </w:pPr>
      <w:r>
        <w:t>SEC. 1408. COMPUTE EFFICIENCY AND ENERGY.</w:t>
      </w:r>
    </w:p>
    <w:p>
      <w:pPr>
        <w:pStyle w:val="LegClause"/>
      </w:pPr>
      <w:r>
        <w:rPr>
          <w:b/>
        </w:rPr>
        <w:t xml:space="preserve">(a)  </w:t>
      </w:r>
      <w:r>
        <w:t>Frontier compute programs shall track energy, water, cooling, utilization, hardware lifespan, and scientific output to reduce waste without imposing a fixed technological architecture.</w:t>
      </w:r>
    </w:p>
    <w:p>
      <w:pPr>
        <w:pStyle w:val="LegSection"/>
      </w:pPr>
      <w:r>
        <w:t>SEC. 1409. COMPUTE ACCESS AND QUEUE TRANSPARENCY.</w:t>
      </w:r>
    </w:p>
    <w:p>
      <w:pPr>
        <w:pStyle w:val="LegClause"/>
      </w:pPr>
      <w:r>
        <w:rPr>
          <w:b/>
        </w:rPr>
        <w:t xml:space="preserve">(a)  </w:t>
      </w:r>
      <w:r>
        <w:t>The National Frontier Compute Reserve shall publish eligible application categories, capacity allocated, wait times, utilization, operating costs, and scientific demand unmet, with classified results reported separately.</w:t>
      </w:r>
    </w:p>
    <w:p>
      <w:pPr>
        <w:pStyle w:val="LegClause"/>
      </w:pPr>
      <w:r>
        <w:rPr>
          <w:b/>
        </w:rPr>
        <w:t xml:space="preserve">(b)  </w:t>
      </w:r>
      <w:r>
        <w:t>The reserve shall hold capacity for small research teams, time-critical experiments, and software validation to prevent domination by a handful of large training workloads.</w:t>
      </w:r>
    </w:p>
    <w:p>
      <w:pPr>
        <w:pStyle w:val="LegClause"/>
      </w:pPr>
      <w:r>
        <w:rPr>
          <w:b/>
        </w:rPr>
        <w:t xml:space="preserve">(c)  </w:t>
      </w:r>
      <w:r>
        <w:t>Allocation decisions shall include reasonable appeal procedures and anti-conflict rules.</w:t>
      </w:r>
    </w:p>
    <w:p>
      <w:pPr>
        <w:pStyle w:val="LegSection"/>
      </w:pPr>
      <w:r>
        <w:t>SEC. 1410. COMPUTE LIFECYCLE AND MODEL-REPRODUCIBILITY STANDARDS.</w:t>
      </w:r>
    </w:p>
    <w:p>
      <w:pPr>
        <w:pStyle w:val="LegClause"/>
      </w:pPr>
      <w:r>
        <w:rPr>
          <w:b/>
        </w:rPr>
        <w:t xml:space="preserve">(a)  </w:t>
      </w:r>
      <w:r>
        <w:t>Major federally financed compute sites shall plan electricity supply, cooling, hardware replacement, recycling, cybersecurity, maintenance, and life-cycle cost before procurement.</w:t>
      </w:r>
    </w:p>
    <w:p>
      <w:pPr>
        <w:pStyle w:val="LegClause"/>
      </w:pPr>
      <w:r>
        <w:rPr>
          <w:b/>
        </w:rPr>
        <w:t xml:space="preserve">(b)  </w:t>
      </w:r>
      <w:r>
        <w:t>Scientific models shall preserve documented training and evaluation data provenance, version identification, performance limitations, and reproducibility mechanisms appropriate to release risk.</w:t>
      </w:r>
    </w:p>
    <w:p>
      <w:pPr>
        <w:pStyle w:val="LegClause"/>
      </w:pPr>
      <w:r>
        <w:rPr>
          <w:b/>
        </w:rPr>
        <w:t xml:space="preserve">(c)  </w:t>
      </w:r>
      <w:r>
        <w:t>Unclassified research methods shall not be restricted merely to protect a contractor from legitimate scientific criticism.</w:t>
      </w:r>
    </w:p>
    <w:p>
      <w:pPr>
        <w:pStyle w:val="LegSection"/>
      </w:pPr>
      <w:r>
        <w:t>SEC. 1411. ARTIFICIAL INTELLIGENCE INDEPENDENT SAFETY EVALUATIONS.</w:t>
      </w:r>
    </w:p>
    <w:p>
      <w:pPr>
        <w:pStyle w:val="LegClause"/>
      </w:pPr>
      <w:r>
        <w:rPr>
          <w:b/>
        </w:rPr>
        <w:t xml:space="preserve">(a)  </w:t>
      </w:r>
      <w:r>
        <w:t>A safety-critical AI system funded under this Act shall undergo testing by evaluators sufficiently independent from its developer to identify material reliability, misuse, privacy, and security risks.</w:t>
      </w:r>
    </w:p>
    <w:p>
      <w:pPr>
        <w:pStyle w:val="LegClause"/>
      </w:pPr>
      <w:r>
        <w:rPr>
          <w:b/>
        </w:rPr>
        <w:t xml:space="preserve">(b)  </w:t>
      </w:r>
      <w:r>
        <w:t>Deployment authority remains with the agency legally responsible for the affected service; research funding alone authorizes no high-stakes automated government decision.</w:t>
      </w:r>
    </w:p>
    <w:p>
      <w:pPr>
        <w:pStyle w:val="LegClause"/>
      </w:pPr>
      <w:r>
        <w:rPr>
          <w:b/>
        </w:rPr>
        <w:t xml:space="preserve">(c)  </w:t>
      </w:r>
      <w:r>
        <w:t>Material incidents shall produce findings, mitigations, and lessons learned, with lawful redactions for sensitive information.</w:t>
      </w:r>
    </w:p>
    <w:p>
      <w:pPr>
        <w:pStyle w:val="LegTitle"/>
      </w:pPr>
      <w:r>
        <w:t>TITLE XV — ENERGY, MATERIALS, MICROELECTRONICS, AND ADVANCED MANUFACTURING</w:t>
      </w:r>
    </w:p>
    <w:p>
      <w:pPr>
        <w:pStyle w:val="LegSection"/>
      </w:pPr>
      <w:r>
        <w:t>SEC. 1501. FRONTIER ENERGY PORTFOLIO.</w:t>
      </w:r>
    </w:p>
    <w:p>
      <w:pPr>
        <w:pStyle w:val="LegClause"/>
      </w:pPr>
      <w:r>
        <w:rPr>
          <w:b/>
        </w:rPr>
        <w:t xml:space="preserve">(a)  </w:t>
      </w:r>
      <w:r>
        <w:t>DOE and participating institutions may support fusion, advanced fission, geothermal, solar, storage, grid systems, power electronics, fuels, heat systems, and novel energy conversion.</w:t>
      </w:r>
    </w:p>
    <w:p>
      <w:pPr>
        <w:pStyle w:val="LegClause"/>
      </w:pPr>
      <w:r>
        <w:rPr>
          <w:b/>
        </w:rPr>
        <w:t xml:space="preserve">(b)  </w:t>
      </w:r>
      <w:r>
        <w:t>The portfolio shall include high-risk concepts and practical demonstration pathways without prescribing a single national energy technology.</w:t>
      </w:r>
    </w:p>
    <w:p>
      <w:pPr>
        <w:pStyle w:val="LegSection"/>
      </w:pPr>
      <w:r>
        <w:t>SEC. 1502. FUSION SCIENCE AND ENGINEERING.</w:t>
      </w:r>
    </w:p>
    <w:p>
      <w:pPr>
        <w:pStyle w:val="LegClause"/>
      </w:pPr>
      <w:r>
        <w:rPr>
          <w:b/>
        </w:rPr>
        <w:t xml:space="preserve">(a)  </w:t>
      </w:r>
      <w:r>
        <w:t>The program may support magnetic, inertial, magneto-inertial, alternative confinement, materials, tritium, blankets, power conversion, controls, and enabling technologies.</w:t>
      </w:r>
    </w:p>
    <w:p>
      <w:pPr>
        <w:pStyle w:val="LegClause"/>
      </w:pPr>
      <w:r>
        <w:rPr>
          <w:b/>
        </w:rPr>
        <w:t xml:space="preserve">(b)  </w:t>
      </w:r>
      <w:r>
        <w:t>Milestones shall distinguish scientific gain, engineering gain, plant feasibility, and commercial economics.</w:t>
      </w:r>
    </w:p>
    <w:p>
      <w:pPr>
        <w:pStyle w:val="LegSection"/>
      </w:pPr>
      <w:r>
        <w:t>SEC. 1503. ADVANCED MATERIALS.</w:t>
      </w:r>
    </w:p>
    <w:p>
      <w:pPr>
        <w:pStyle w:val="LegClause"/>
      </w:pPr>
      <w:r>
        <w:rPr>
          <w:b/>
        </w:rPr>
        <w:t xml:space="preserve">(a)  </w:t>
      </w:r>
      <w:r>
        <w:t>Programs may support discovery, synthesis, characterization, scale-up, joining, repair, recycling, and qualification of structural, electronic, optical, quantum, biological, and extreme-environment materials.</w:t>
      </w:r>
    </w:p>
    <w:p>
      <w:pPr>
        <w:pStyle w:val="LegSection"/>
      </w:pPr>
      <w:r>
        <w:t>SEC. 1504. MICROELECTRONICS AND PHOTONICS.</w:t>
      </w:r>
    </w:p>
    <w:p>
      <w:pPr>
        <w:pStyle w:val="LegClause"/>
      </w:pPr>
      <w:r>
        <w:rPr>
          <w:b/>
        </w:rPr>
        <w:t xml:space="preserve">(a)  </w:t>
      </w:r>
      <w:r>
        <w:t>NIST, NSF, DOE, DARPA, and Commerce may support semiconductor process research, advanced packaging, photonics, chiplets, design tools, metrology, testbeds, and pilot manufacturing.</w:t>
      </w:r>
    </w:p>
    <w:p>
      <w:pPr>
        <w:pStyle w:val="LegClause"/>
      </w:pPr>
      <w:r>
        <w:rPr>
          <w:b/>
        </w:rPr>
        <w:t xml:space="preserve">(b)  </w:t>
      </w:r>
      <w:r>
        <w:t>Public facilities should support precompetitive capability and smaller entrants where private access barriers are high.</w:t>
      </w:r>
    </w:p>
    <w:p>
      <w:pPr>
        <w:pStyle w:val="LegSection"/>
      </w:pPr>
      <w:r>
        <w:t>SEC. 1505. ADVANCED MANUFACTURING NETWORK.</w:t>
      </w:r>
    </w:p>
    <w:p>
      <w:pPr>
        <w:pStyle w:val="LegClause"/>
      </w:pPr>
      <w:r>
        <w:rPr>
          <w:b/>
        </w:rPr>
        <w:t xml:space="preserve">(a)  </w:t>
      </w:r>
      <w:r>
        <w:t>The Infrastructure Authority may establish shared pilot lines for additive, subtractive, continuous, biological, microelectronic, photonic, composite, and extreme-precision manufacturing.</w:t>
      </w:r>
    </w:p>
    <w:p>
      <w:pPr>
        <w:pStyle w:val="LegClause"/>
      </w:pPr>
      <w:r>
        <w:rPr>
          <w:b/>
        </w:rPr>
        <w:t xml:space="preserve">(b)  </w:t>
      </w:r>
      <w:r>
        <w:t>Pilot facilities shall bridge laboratory proof and manufacturable process without guaranteeing any private company's market success.</w:t>
      </w:r>
    </w:p>
    <w:p>
      <w:pPr>
        <w:pStyle w:val="LegSection"/>
      </w:pPr>
      <w:r>
        <w:t>SEC. 1506. CRITICAL MATERIALS RESILIENCE.</w:t>
      </w:r>
    </w:p>
    <w:p>
      <w:pPr>
        <w:pStyle w:val="LegClause"/>
      </w:pPr>
      <w:r>
        <w:rPr>
          <w:b/>
        </w:rPr>
        <w:t xml:space="preserve">(a)  </w:t>
      </w:r>
      <w:r>
        <w:t>Research may support substitution, extraction science, processing, recycling, stockpile analytics, and material-efficient design for strategically important inputs.</w:t>
      </w:r>
    </w:p>
    <w:p>
      <w:pPr>
        <w:pStyle w:val="LegSection"/>
      </w:pPr>
      <w:r>
        <w:t>SEC. 1507. SCIENTIFIC INSTRUMENTATION MANUFACTURING.</w:t>
      </w:r>
    </w:p>
    <w:p>
      <w:pPr>
        <w:pStyle w:val="LegClause"/>
      </w:pPr>
      <w:r>
        <w:rPr>
          <w:b/>
        </w:rPr>
        <w:t xml:space="preserve">(a)  </w:t>
      </w:r>
      <w:r>
        <w:t>The Fund may support domestic and allied capacity for detectors, optics, cryogenics, vacuum systems, sensors, magnets, scientific electronics, and specialized components when fragile supply creates research bottlenecks.</w:t>
      </w:r>
    </w:p>
    <w:p>
      <w:pPr>
        <w:pStyle w:val="LegSection"/>
      </w:pPr>
      <w:r>
        <w:t>SEC. 1508. TEST-BEFORE-SCALE PRINCIPLE.</w:t>
      </w:r>
    </w:p>
    <w:p>
      <w:pPr>
        <w:pStyle w:val="LegClause"/>
      </w:pPr>
      <w:r>
        <w:rPr>
          <w:b/>
        </w:rPr>
        <w:t xml:space="preserve">(a)  </w:t>
      </w:r>
      <w:r>
        <w:t>Large demonstration funding shall ordinarily follow independent evidence that the key scientific and engineering uncertainties have been reduced enough to justify scale.</w:t>
      </w:r>
    </w:p>
    <w:p>
      <w:pPr>
        <w:pStyle w:val="LegSection"/>
      </w:pPr>
      <w:r>
        <w:t>SEC. 1509. ADVANCED MATERIALS VALIDATION COMMONS.</w:t>
      </w:r>
    </w:p>
    <w:p>
      <w:pPr>
        <w:pStyle w:val="LegClause"/>
      </w:pPr>
      <w:r>
        <w:rPr>
          <w:b/>
        </w:rPr>
        <w:t xml:space="preserve">(a)  </w:t>
      </w:r>
      <w:r>
        <w:t>NIST and partner facilities shall maintain reference measurements and independent tests for federally supported materials claims, including fatigue, radiation, thermal stress, reliability, recyclability, and manufacturability.</w:t>
      </w:r>
    </w:p>
    <w:p>
      <w:pPr>
        <w:pStyle w:val="LegClause"/>
      </w:pPr>
      <w:r>
        <w:rPr>
          <w:b/>
        </w:rPr>
        <w:t xml:space="preserve">(b)  </w:t>
      </w:r>
      <w:r>
        <w:t>Material performance claims forming the basis of a major public procurement shall be independently evaluated at relevant scale.</w:t>
      </w:r>
    </w:p>
    <w:p>
      <w:pPr>
        <w:pStyle w:val="LegClause"/>
      </w:pPr>
      <w:r>
        <w:rPr>
          <w:b/>
        </w:rPr>
        <w:t xml:space="preserve">(c)  </w:t>
      </w:r>
      <w:r>
        <w:t>Testing methods shall be published when not restricted by law or legitimate proprietary protections.</w:t>
      </w:r>
    </w:p>
    <w:p>
      <w:pPr>
        <w:pStyle w:val="LegTitle"/>
      </w:pPr>
      <w:r>
        <w:t>TITLE XVI — BIOLOGY, BIOTECHNOLOGY, HUMAN PERFORMANCE, AND CLOSED-LOOP LIFE SUPPORT</w:t>
      </w:r>
    </w:p>
    <w:p>
      <w:pPr>
        <w:pStyle w:val="LegSection"/>
      </w:pPr>
      <w:r>
        <w:t>SEC. 1601. FRONTIER BIOLOGY.</w:t>
      </w:r>
    </w:p>
    <w:p>
      <w:pPr>
        <w:pStyle w:val="LegClause"/>
      </w:pPr>
      <w:r>
        <w:rPr>
          <w:b/>
        </w:rPr>
        <w:t xml:space="preserve">(a)  </w:t>
      </w:r>
      <w:r>
        <w:t>Programs may support synthetic biology, systems biology, biofabrication, biomaterials, computational biology, neurotechnology, diagnostics, regenerative science, and biological manufacturing consistent with applicable law.</w:t>
      </w:r>
    </w:p>
    <w:p>
      <w:pPr>
        <w:pStyle w:val="LegSection"/>
      </w:pPr>
      <w:r>
        <w:t>SEC. 1602. SPACE AND EXTREME-ENVIRONMENT MEDICINE.</w:t>
      </w:r>
    </w:p>
    <w:p>
      <w:pPr>
        <w:pStyle w:val="LegClause"/>
      </w:pPr>
      <w:r>
        <w:rPr>
          <w:b/>
        </w:rPr>
        <w:t xml:space="preserve">(a)  </w:t>
      </w:r>
      <w:r>
        <w:t>NASA and partners may research radiation, bone and muscle loss, immune change, behavioral health, circadian disruption, isolation, artificial gravity, emergency care, and autonomous medicine for remote missions.</w:t>
      </w:r>
    </w:p>
    <w:p>
      <w:pPr>
        <w:pStyle w:val="LegClause"/>
      </w:pPr>
      <w:r>
        <w:rPr>
          <w:b/>
        </w:rPr>
        <w:t xml:space="preserve">(b)  </w:t>
      </w:r>
      <w:r>
        <w:t>Human-subject research remains subject to informed consent and applicable protections.</w:t>
      </w:r>
    </w:p>
    <w:p>
      <w:pPr>
        <w:pStyle w:val="LegSection"/>
      </w:pPr>
      <w:r>
        <w:t>SEC. 1603. CLOSED-LOOP LIFE SUPPORT.</w:t>
      </w:r>
    </w:p>
    <w:p>
      <w:pPr>
        <w:pStyle w:val="LegClause"/>
      </w:pPr>
      <w:r>
        <w:rPr>
          <w:b/>
        </w:rPr>
        <w:t xml:space="preserve">(a)  </w:t>
      </w:r>
      <w:r>
        <w:t>Programs may support air, water, food, waste, microbial, agricultural, recycling, and ecosystem technologies for remote, disaster, ocean, polar, lunar, and planetary environments.</w:t>
      </w:r>
    </w:p>
    <w:p>
      <w:pPr>
        <w:pStyle w:val="LegSection"/>
      </w:pPr>
      <w:r>
        <w:t>SEC. 1604. BIOSECURITY RISK TIERS.</w:t>
      </w:r>
    </w:p>
    <w:p>
      <w:pPr>
        <w:pStyle w:val="LegClause"/>
      </w:pPr>
      <w:r>
        <w:rPr>
          <w:b/>
        </w:rPr>
        <w:t xml:space="preserve">(a)  </w:t>
      </w:r>
      <w:r>
        <w:t>Biological work shall be assigned risk tiers based on pathogenicity, transmissibility, environmental release, host range, scale, dual-use capability, and reversibility.</w:t>
      </w:r>
    </w:p>
    <w:p>
      <w:pPr>
        <w:pStyle w:val="LegClause"/>
      </w:pPr>
      <w:r>
        <w:rPr>
          <w:b/>
        </w:rPr>
        <w:t xml:space="preserve">(b)  </w:t>
      </w:r>
      <w:r>
        <w:t>Higher tiers require independent biosafety, biosecurity, ethics, and legal review before funding and before material capability changes.</w:t>
      </w:r>
    </w:p>
    <w:p>
      <w:pPr>
        <w:pStyle w:val="LegSection"/>
      </w:pPr>
      <w:r>
        <w:t>SEC. 1605. HUMAN ENHANCEMENT AND NEUROTECHNOLOGY SAFEGUARDS.</w:t>
      </w:r>
    </w:p>
    <w:p>
      <w:pPr>
        <w:pStyle w:val="LegClause"/>
      </w:pPr>
      <w:r>
        <w:rPr>
          <w:b/>
        </w:rPr>
        <w:t xml:space="preserve">(a)  </w:t>
      </w:r>
      <w:r>
        <w:t>Research involving invasive enhancement, neural data, brain-computer interfaces, or irreversible intervention shall use enhanced consent, privacy, security, and independent ethics controls.</w:t>
      </w:r>
    </w:p>
    <w:p>
      <w:pPr>
        <w:pStyle w:val="LegClause"/>
      </w:pPr>
      <w:r>
        <w:rPr>
          <w:b/>
        </w:rPr>
        <w:t xml:space="preserve">(b)  </w:t>
      </w:r>
      <w:r>
        <w:t>No authority in this Act permits coercive human experimentation or nonconsensual enhancement.</w:t>
      </w:r>
    </w:p>
    <w:p>
      <w:pPr>
        <w:pStyle w:val="LegSection"/>
      </w:pPr>
      <w:r>
        <w:t>SEC. 1606. BIOMANUFACTURING INFRASTRUCTURE.</w:t>
      </w:r>
    </w:p>
    <w:p>
      <w:pPr>
        <w:pStyle w:val="LegClause"/>
      </w:pPr>
      <w:r>
        <w:rPr>
          <w:b/>
        </w:rPr>
        <w:t xml:space="preserve">(a)  </w:t>
      </w:r>
      <w:r>
        <w:t>The Infrastructure Authority may support shared fermentation, cell-culture, purification, biofabrication, analytical, and contained pilot facilities for lawful research and scale-up.</w:t>
      </w:r>
    </w:p>
    <w:p>
      <w:pPr>
        <w:pStyle w:val="LegClause"/>
      </w:pPr>
      <w:r>
        <w:rPr>
          <w:b/>
        </w:rPr>
        <w:t xml:space="preserve">(b)  </w:t>
      </w:r>
      <w:r>
        <w:t>Facilities shall use risk-appropriate physical and cyber safeguards.</w:t>
      </w:r>
    </w:p>
    <w:p>
      <w:pPr>
        <w:pStyle w:val="LegSection"/>
      </w:pPr>
      <w:r>
        <w:t>SEC. 1607. EXTREME-ENVIRONMENT ECOLOGY.</w:t>
      </w:r>
    </w:p>
    <w:p>
      <w:pPr>
        <w:pStyle w:val="LegClause"/>
      </w:pPr>
      <w:r>
        <w:rPr>
          <w:b/>
        </w:rPr>
        <w:t xml:space="preserve">(a)  </w:t>
      </w:r>
      <w:r>
        <w:t>Programs may study microbial, plant, animal, and ecosystem function in extreme environments to improve understanding of life, resilience, agriculture, and planetary habitability.</w:t>
      </w:r>
    </w:p>
    <w:p>
      <w:pPr>
        <w:pStyle w:val="LegSection"/>
      </w:pPr>
      <w:r>
        <w:t>SEC. 1608. BIOTECHNOLOGY CAPABILITY REVIEW AND RELEASE CONTROLS.</w:t>
      </w:r>
    </w:p>
    <w:p>
      <w:pPr>
        <w:pStyle w:val="LegClause"/>
      </w:pPr>
      <w:r>
        <w:rPr>
          <w:b/>
        </w:rPr>
        <w:t xml:space="preserve">(a)  </w:t>
      </w:r>
      <w:r>
        <w:t>A research sponsor shall review proposed capabilities capable of increasing biological hazard before scale-up or environmental release.</w:t>
      </w:r>
    </w:p>
    <w:p>
      <w:pPr>
        <w:pStyle w:val="LegClause"/>
      </w:pPr>
      <w:r>
        <w:rPr>
          <w:b/>
        </w:rPr>
        <w:t xml:space="preserve">(b)  </w:t>
      </w:r>
      <w:r>
        <w:t>Research security rules shall be specific to plausible misuse pathways and shall not presume that an entire scientific field is unlawful or unsafe.</w:t>
      </w:r>
    </w:p>
    <w:p>
      <w:pPr>
        <w:pStyle w:val="LegClause"/>
      </w:pPr>
      <w:r>
        <w:rPr>
          <w:b/>
        </w:rPr>
        <w:t xml:space="preserve">(c)  </w:t>
      </w:r>
      <w:r>
        <w:t>Funded biological research shall comply with existing human-subject, animal-welfare, agricultural, environmental, and containment law.</w:t>
      </w:r>
    </w:p>
    <w:p>
      <w:pPr>
        <w:pStyle w:val="LegTitle"/>
      </w:pPr>
      <w:r>
        <w:t>TITLE XVII — EARTH, OCEAN, ATMOSPHERIC, POLAR, AND ENVIRONMENTAL SCIENCE</w:t>
      </w:r>
    </w:p>
    <w:p>
      <w:pPr>
        <w:pStyle w:val="LegSection"/>
      </w:pPr>
      <w:r>
        <w:t>SEC. 1701. EARTH OBSERVING CONTINUITY.</w:t>
      </w:r>
    </w:p>
    <w:p>
      <w:pPr>
        <w:pStyle w:val="LegClause"/>
      </w:pPr>
      <w:r>
        <w:rPr>
          <w:b/>
        </w:rPr>
        <w:t xml:space="preserve">(a)  </w:t>
      </w:r>
      <w:r>
        <w:t>NASA, NOAA, USGS, NSF, and partner agencies shall maintain interoperable long-duration observations of atmosphere, oceans, land, ice, hydrology, ecosystems, geology, and natural hazards.</w:t>
      </w:r>
    </w:p>
    <w:p>
      <w:pPr>
        <w:pStyle w:val="LegClause"/>
      </w:pPr>
      <w:r>
        <w:rPr>
          <w:b/>
        </w:rPr>
        <w:t xml:space="preserve">(b)  </w:t>
      </w:r>
      <w:r>
        <w:t>Continuity plans shall address calibration overlap and archival preservation when time series cannot be recreated.</w:t>
      </w:r>
    </w:p>
    <w:p>
      <w:pPr>
        <w:pStyle w:val="LegSection"/>
      </w:pPr>
      <w:r>
        <w:t>SEC. 1702. OCEAN EXPLORATION.</w:t>
      </w:r>
    </w:p>
    <w:p>
      <w:pPr>
        <w:pStyle w:val="LegClause"/>
      </w:pPr>
      <w:r>
        <w:rPr>
          <w:b/>
        </w:rPr>
        <w:t xml:space="preserve">(a)  </w:t>
      </w:r>
      <w:r>
        <w:t>NOAA, NSF, Navy research organizations, universities, and partners may expand deep-ocean mapping, autonomous observation, biology, chemistry, geology, acoustics, and extreme-environment engineering.</w:t>
      </w:r>
    </w:p>
    <w:p>
      <w:pPr>
        <w:pStyle w:val="LegClause"/>
      </w:pPr>
      <w:r>
        <w:rPr>
          <w:b/>
        </w:rPr>
        <w:t xml:space="preserve">(b)  </w:t>
      </w:r>
      <w:r>
        <w:t>Civil scientific data shall be open to the maximum extent consistent with law.</w:t>
      </w:r>
    </w:p>
    <w:p>
      <w:pPr>
        <w:pStyle w:val="LegSection"/>
      </w:pPr>
      <w:r>
        <w:t>SEC. 1703. POLAR SCIENCE.</w:t>
      </w:r>
    </w:p>
    <w:p>
      <w:pPr>
        <w:pStyle w:val="LegClause"/>
      </w:pPr>
      <w:r>
        <w:rPr>
          <w:b/>
        </w:rPr>
        <w:t xml:space="preserve">(a)  </w:t>
      </w:r>
      <w:r>
        <w:t>NSF and partner agencies shall maintain long-term Antarctic and Arctic research logistics, stations, vessels, aircraft, communications, energy systems, and environmental protection.</w:t>
      </w:r>
    </w:p>
    <w:p>
      <w:pPr>
        <w:pStyle w:val="LegClause"/>
      </w:pPr>
      <w:r>
        <w:rPr>
          <w:b/>
        </w:rPr>
        <w:t xml:space="preserve">(b)  </w:t>
      </w:r>
      <w:r>
        <w:t>Major polar infrastructure shall include lifecycle and emergency-support plans suited to extreme remoteness.</w:t>
      </w:r>
    </w:p>
    <w:p>
      <w:pPr>
        <w:pStyle w:val="LegSection"/>
      </w:pPr>
      <w:r>
        <w:t>SEC. 1704. CLIMATE AND EARTH-SYSTEM MODELING.</w:t>
      </w:r>
    </w:p>
    <w:p>
      <w:pPr>
        <w:pStyle w:val="LegClause"/>
      </w:pPr>
      <w:r>
        <w:rPr>
          <w:b/>
        </w:rPr>
        <w:t xml:space="preserve">(a)  </w:t>
      </w:r>
      <w:r>
        <w:t>The Network may support high-resolution Earth-system models, attribution science, paleoclimate, impacts research, uncertainty quantification, and data assimilation.</w:t>
      </w:r>
    </w:p>
    <w:p>
      <w:pPr>
        <w:pStyle w:val="LegClause"/>
      </w:pPr>
      <w:r>
        <w:rPr>
          <w:b/>
        </w:rPr>
        <w:t xml:space="preserve">(b)  </w:t>
      </w:r>
      <w:r>
        <w:t>Scientific modeling shall not be altered to reach a predetermined policy conclusion.</w:t>
      </w:r>
    </w:p>
    <w:p>
      <w:pPr>
        <w:pStyle w:val="LegSection"/>
      </w:pPr>
      <w:r>
        <w:t>SEC. 1705. NATURAL HAZARD SCIENCE.</w:t>
      </w:r>
    </w:p>
    <w:p>
      <w:pPr>
        <w:pStyle w:val="LegClause"/>
      </w:pPr>
      <w:r>
        <w:rPr>
          <w:b/>
        </w:rPr>
        <w:t xml:space="preserve">(a)  </w:t>
      </w:r>
      <w:r>
        <w:t>Programs may support earthquake, volcano, tsunami, wildfire, severe weather, flood, drought, landslide, geomagnetic, and compound-hazard science.</w:t>
      </w:r>
    </w:p>
    <w:p>
      <w:pPr>
        <w:pStyle w:val="LegClause"/>
      </w:pPr>
      <w:r>
        <w:rPr>
          <w:b/>
        </w:rPr>
        <w:t xml:space="preserve">(b)  </w:t>
      </w:r>
      <w:r>
        <w:t>Research outputs should feed operational warning agencies through validated transition pathways.</w:t>
      </w:r>
    </w:p>
    <w:p>
      <w:pPr>
        <w:pStyle w:val="LegSection"/>
      </w:pPr>
      <w:r>
        <w:t>SEC. 1706. GLOBAL ENVIRONMENTAL OBSERVATION COMMONS.</w:t>
      </w:r>
    </w:p>
    <w:p>
      <w:pPr>
        <w:pStyle w:val="LegClause"/>
      </w:pPr>
      <w:r>
        <w:rPr>
          <w:b/>
        </w:rPr>
        <w:t xml:space="preserve">(a)  </w:t>
      </w:r>
      <w:r>
        <w:t>The United States may participate in interoperable international observing networks, open calibration standards, shared satellite data, ocean buoys, geodetic networks, and other peaceful global scientific systems.</w:t>
      </w:r>
    </w:p>
    <w:p>
      <w:pPr>
        <w:pStyle w:val="LegClause"/>
      </w:pPr>
      <w:r>
        <w:rPr>
          <w:b/>
        </w:rPr>
        <w:t xml:space="preserve">(b)  </w:t>
      </w:r>
      <w:r>
        <w:t>Participation shall preserve applicable security, privacy, and treaty obligations.</w:t>
      </w:r>
    </w:p>
    <w:p>
      <w:pPr>
        <w:pStyle w:val="LegSection"/>
      </w:pPr>
      <w:r>
        <w:t>SEC. 1707. FIELD-STATION RENEWAL.</w:t>
      </w:r>
    </w:p>
    <w:p>
      <w:pPr>
        <w:pStyle w:val="LegClause"/>
      </w:pPr>
      <w:r>
        <w:rPr>
          <w:b/>
        </w:rPr>
        <w:t xml:space="preserve">(a)  </w:t>
      </w:r>
      <w:r>
        <w:t>The Infrastructure Authority may recapitalize ecological, geological, atmospheric, oceanic, agricultural, and remote field stations whose long-term records or geography provide unique scientific value.</w:t>
      </w:r>
    </w:p>
    <w:p>
      <w:pPr>
        <w:pStyle w:val="LegSection"/>
      </w:pPr>
      <w:r>
        <w:t>SEC. 1708. LONGITUDINAL EARTH SCIENCE DATA CONTINUITY.</w:t>
      </w:r>
    </w:p>
    <w:p>
      <w:pPr>
        <w:pStyle w:val="LegClause"/>
      </w:pPr>
      <w:r>
        <w:rPr>
          <w:b/>
        </w:rPr>
        <w:t xml:space="preserve">(a)  </w:t>
      </w:r>
      <w:r>
        <w:t>Long-duration Earth and ocean observing programs shall publish data continuity plans, calibration overlaps, backup observing methods, and preservation responsibilities before a network is retired.</w:t>
      </w:r>
    </w:p>
    <w:p>
      <w:pPr>
        <w:pStyle w:val="LegClause"/>
      </w:pPr>
      <w:r>
        <w:rPr>
          <w:b/>
        </w:rPr>
        <w:t xml:space="preserve">(b)  </w:t>
      </w:r>
      <w:r>
        <w:t>Where a gap would permanently erase an irreplaceable observation series, the responsible agency shall provide a written science-value and fiscal review.</w:t>
      </w:r>
    </w:p>
    <w:p>
      <w:pPr>
        <w:pStyle w:val="LegClause"/>
      </w:pPr>
      <w:r>
        <w:rPr>
          <w:b/>
        </w:rPr>
        <w:t xml:space="preserve">(c)  </w:t>
      </w:r>
      <w:r>
        <w:t>Crisis response observations may take priority without extinguishing ordinary long-term scientific monitoring.</w:t>
      </w:r>
    </w:p>
    <w:p>
      <w:pPr>
        <w:pStyle w:val="LegTitle"/>
      </w:pPr>
      <w:r>
        <w:t>TITLE XVIII — PLANETARY DEFENSE, SPACE WEATHER, AND CATASTROPHIC-RISK SCIENCE</w:t>
      </w:r>
    </w:p>
    <w:p>
      <w:pPr>
        <w:pStyle w:val="LegSection"/>
      </w:pPr>
      <w:r>
        <w:t>SEC. 1801. PLANETARY DEFENSE.</w:t>
      </w:r>
    </w:p>
    <w:p>
      <w:pPr>
        <w:pStyle w:val="LegClause"/>
      </w:pPr>
      <w:r>
        <w:rPr>
          <w:b/>
        </w:rPr>
        <w:t xml:space="preserve">(a)  </w:t>
      </w:r>
      <w:r>
        <w:t>NASA shall maintain capabilities to detect, characterize, track, and assess near-Earth objects and other natural impact hazards.</w:t>
      </w:r>
    </w:p>
    <w:p>
      <w:pPr>
        <w:pStyle w:val="LegClause"/>
      </w:pPr>
      <w:r>
        <w:rPr>
          <w:b/>
        </w:rPr>
        <w:t xml:space="preserve">(b)  </w:t>
      </w:r>
      <w:r>
        <w:t>NASA and partners may conduct safe mitigation demonstrations with international notification and independent safety review.</w:t>
      </w:r>
    </w:p>
    <w:p>
      <w:pPr>
        <w:pStyle w:val="LegSection"/>
      </w:pPr>
      <w:r>
        <w:t>SEC. 1802. SPACE-WEATHER RESILIENCE.</w:t>
      </w:r>
    </w:p>
    <w:p>
      <w:pPr>
        <w:pStyle w:val="LegClause"/>
      </w:pPr>
      <w:r>
        <w:rPr>
          <w:b/>
        </w:rPr>
        <w:t xml:space="preserve">(a)  </w:t>
      </w:r>
      <w:r>
        <w:t>NASA, NOAA, NSF, DOE, DoD, and infrastructure regulators shall coordinate research and operational preparedness for severe solar and geomagnetic events.</w:t>
      </w:r>
    </w:p>
    <w:p>
      <w:pPr>
        <w:pStyle w:val="LegClause"/>
      </w:pPr>
      <w:r>
        <w:rPr>
          <w:b/>
        </w:rPr>
        <w:t xml:space="preserve">(b)  </w:t>
      </w:r>
      <w:r>
        <w:t>Research shall include forecasting, satellite resilience, grid effects, communications, navigation, aviation, and radiation exposure.</w:t>
      </w:r>
    </w:p>
    <w:p>
      <w:pPr>
        <w:pStyle w:val="LegSection"/>
      </w:pPr>
      <w:r>
        <w:t>SEC. 1803. GLOBAL CATASTROPHIC-RISK RESEARCH.</w:t>
      </w:r>
    </w:p>
    <w:p>
      <w:pPr>
        <w:pStyle w:val="LegClause"/>
      </w:pPr>
      <w:r>
        <w:rPr>
          <w:b/>
        </w:rPr>
        <w:t xml:space="preserve">(a)  </w:t>
      </w:r>
      <w:r>
        <w:t>A cross-agency program may support scientific analysis of low-probability, high-consequence natural and technological risks, including impact events, extreme solar storms, pandemics, supervolcanic events, and critical infrastructure cascades.</w:t>
      </w:r>
    </w:p>
    <w:p>
      <w:pPr>
        <w:pStyle w:val="LegClause"/>
      </w:pPr>
      <w:r>
        <w:rPr>
          <w:b/>
        </w:rPr>
        <w:t xml:space="preserve">(b)  </w:t>
      </w:r>
      <w:r>
        <w:t>The program shall not be used to create generalized emergency powers.</w:t>
      </w:r>
    </w:p>
    <w:p>
      <w:pPr>
        <w:pStyle w:val="LegSection"/>
      </w:pPr>
      <w:r>
        <w:t>SEC. 1804. CONTINUITY SCIENCE RESERVE.</w:t>
      </w:r>
    </w:p>
    <w:p>
      <w:pPr>
        <w:pStyle w:val="LegClause"/>
      </w:pPr>
      <w:r>
        <w:rPr>
          <w:b/>
        </w:rPr>
        <w:t xml:space="preserve">(a)  </w:t>
      </w:r>
      <w:r>
        <w:t>The Fund may maintain emergency access to compute, communications, archives, biological repositories, instrument parts, and technical personnel needed to preserve critical research during major disruptions.</w:t>
      </w:r>
    </w:p>
    <w:p>
      <w:pPr>
        <w:pStyle w:val="LegSection"/>
      </w:pPr>
      <w:r>
        <w:t>SEC. 1805. PUBLIC WARNING SCIENCE.</w:t>
      </w:r>
    </w:p>
    <w:p>
      <w:pPr>
        <w:pStyle w:val="LegClause"/>
      </w:pPr>
      <w:r>
        <w:rPr>
          <w:b/>
        </w:rPr>
        <w:t xml:space="preserve">(a)  </w:t>
      </w:r>
      <w:r>
        <w:t>Where a scientifically validated hazard materially threatens the public, agencies shall maintain protocols for rapid, accurate, nonpartisan communication of evidence, uncertainty, and recommended protective actions within existing legal authority.</w:t>
      </w:r>
    </w:p>
    <w:p>
      <w:pPr>
        <w:pStyle w:val="LegSection"/>
      </w:pPr>
      <w:r>
        <w:t>SEC. 1806. CATASTROPHIC-RISK EXERCISES.</w:t>
      </w:r>
    </w:p>
    <w:p>
      <w:pPr>
        <w:pStyle w:val="LegClause"/>
      </w:pPr>
      <w:r>
        <w:rPr>
          <w:b/>
        </w:rPr>
        <w:t xml:space="preserve">(a)  </w:t>
      </w:r>
      <w:r>
        <w:t>At least every five years, agencies shall test scientific and technical coordination for a low-probability, high-consequence scenario.</w:t>
      </w:r>
    </w:p>
    <w:p>
      <w:pPr>
        <w:pStyle w:val="LegClause"/>
      </w:pPr>
      <w:r>
        <w:rPr>
          <w:b/>
        </w:rPr>
        <w:t xml:space="preserve">(b)  </w:t>
      </w:r>
      <w:r>
        <w:t>Exercises shall identify missing sensors, models, decision thresholds, authorities, supply chains, and international interfaces.</w:t>
      </w:r>
    </w:p>
    <w:p>
      <w:pPr>
        <w:pStyle w:val="LegSection"/>
      </w:pPr>
      <w:r>
        <w:t>SEC. 1807. RESILIENCE RESEARCH GRANTS.</w:t>
      </w:r>
    </w:p>
    <w:p>
      <w:pPr>
        <w:pStyle w:val="LegClause"/>
      </w:pPr>
      <w:r>
        <w:rPr>
          <w:b/>
        </w:rPr>
        <w:t xml:space="preserve">(a)  </w:t>
      </w:r>
      <w:r>
        <w:t>Competitive grants may support resilient communications, power, food systems, public-health science, emergency manufacturing, logistics, archives, and other capabilities whose value spans multiple severe hazards.</w:t>
      </w:r>
    </w:p>
    <w:p>
      <w:pPr>
        <w:pStyle w:val="LegSection"/>
      </w:pPr>
      <w:r>
        <w:t>SEC. 1808. HAZARD WARNING AND SCIENTIFIC INDEPENDENCE.</w:t>
      </w:r>
    </w:p>
    <w:p>
      <w:pPr>
        <w:pStyle w:val="LegClause"/>
      </w:pPr>
      <w:r>
        <w:rPr>
          <w:b/>
        </w:rPr>
        <w:t xml:space="preserve">(a)  </w:t>
      </w:r>
      <w:r>
        <w:t>When near-Earth objects, space weather, or other verified hazards create a material public-safety issue, the responsible agency shall publish evidence, uncertainty, escalation thresholds, and a point of contact under a preapproved protocol.</w:t>
      </w:r>
    </w:p>
    <w:p>
      <w:pPr>
        <w:pStyle w:val="LegClause"/>
      </w:pPr>
      <w:r>
        <w:rPr>
          <w:b/>
        </w:rPr>
        <w:t xml:space="preserve">(b)  </w:t>
      </w:r>
      <w:r>
        <w:t>Political or commercial preferences may not alter the underlying hazard measurements or delay lawful emergency notification.</w:t>
      </w:r>
    </w:p>
    <w:p>
      <w:pPr>
        <w:pStyle w:val="LegClause"/>
      </w:pPr>
      <w:r>
        <w:rPr>
          <w:b/>
        </w:rPr>
        <w:t xml:space="preserve">(c)  </w:t>
      </w:r>
      <w:r>
        <w:t>The Act does not create new emergency policing powers or authorize disclosure of sensitive personal information without law.</w:t>
      </w:r>
    </w:p>
    <w:p>
      <w:pPr>
        <w:pStyle w:val="LegTitle"/>
      </w:pPr>
      <w:r>
        <w:t>TITLE XIX — ADVANCED PROPULSION, IN-SPACE INDUSTRY, AND INTERSTELLAR PRECURSOR RESEARCH</w:t>
      </w:r>
    </w:p>
    <w:p>
      <w:pPr>
        <w:pStyle w:val="LegSection"/>
      </w:pPr>
      <w:r>
        <w:t>SEC. 1901. ADVANCED PROPULSION PORTFOLIO.</w:t>
      </w:r>
    </w:p>
    <w:p>
      <w:pPr>
        <w:pStyle w:val="LegClause"/>
      </w:pPr>
      <w:r>
        <w:rPr>
          <w:b/>
        </w:rPr>
        <w:t xml:space="preserve">(a)  </w:t>
      </w:r>
      <w:r>
        <w:t>NASA and partner agencies may support chemical, electric, nuclear thermal, nuclear electric, fusion, solar sail, beamed-energy, tether, in-space refueling, high-energy-density, and other physically plausible propulsion concepts.</w:t>
      </w:r>
    </w:p>
    <w:p>
      <w:pPr>
        <w:pStyle w:val="LegClause"/>
      </w:pPr>
      <w:r>
        <w:rPr>
          <w:b/>
        </w:rPr>
        <w:t xml:space="preserve">(b)  </w:t>
      </w:r>
      <w:r>
        <w:t>High-energy and nuclear systems require independent safety, security, and environmental review.</w:t>
      </w:r>
    </w:p>
    <w:p>
      <w:pPr>
        <w:pStyle w:val="LegSection"/>
      </w:pPr>
      <w:r>
        <w:t>SEC. 1902. IN-SPACE MANUFACTURING AND SERVICING.</w:t>
      </w:r>
    </w:p>
    <w:p>
      <w:pPr>
        <w:pStyle w:val="LegClause"/>
      </w:pPr>
      <w:r>
        <w:rPr>
          <w:b/>
        </w:rPr>
        <w:t xml:space="preserve">(a)  </w:t>
      </w:r>
      <w:r>
        <w:t>Programs may support orbital servicing, assembly, manufacturing, repair, propellant transfer, recycling, construction, and scientific production.</w:t>
      </w:r>
    </w:p>
    <w:p>
      <w:pPr>
        <w:pStyle w:val="LegClause"/>
      </w:pPr>
      <w:r>
        <w:rPr>
          <w:b/>
        </w:rPr>
        <w:t xml:space="preserve">(b)  </w:t>
      </w:r>
      <w:r>
        <w:t>Government demonstrations shall use interoperable interfaces where feasible and avoid unnecessary single-vendor dependence.</w:t>
      </w:r>
    </w:p>
    <w:p>
      <w:pPr>
        <w:pStyle w:val="LegSection"/>
      </w:pPr>
      <w:r>
        <w:t>SEC. 1903. INTERSTELLAR PRECURSOR PROGRAM.</w:t>
      </w:r>
    </w:p>
    <w:p>
      <w:pPr>
        <w:pStyle w:val="LegClause"/>
      </w:pPr>
      <w:r>
        <w:rPr>
          <w:b/>
        </w:rPr>
        <w:t xml:space="preserve">(a)  </w:t>
      </w:r>
      <w:r>
        <w:t>NASA shall maintain a long-horizon research program for probes to the outer heliosphere and interstellar medium and for enabling communications, power, propulsion, autonomy, navigation, materials, and instruments.</w:t>
      </w:r>
    </w:p>
    <w:p>
      <w:pPr>
        <w:pStyle w:val="LegClause"/>
      </w:pPr>
      <w:r>
        <w:rPr>
          <w:b/>
        </w:rPr>
        <w:t xml:space="preserve">(b)  </w:t>
      </w:r>
      <w:r>
        <w:t>The program may pursue demonstrators and precursor missions without implying a commitment to a crewed interstellar mission.</w:t>
      </w:r>
    </w:p>
    <w:p>
      <w:pPr>
        <w:pStyle w:val="LegSection"/>
      </w:pPr>
      <w:r>
        <w:t>SEC. 1904. FUNDAMENTAL PROPULSION PHYSICS.</w:t>
      </w:r>
    </w:p>
    <w:p>
      <w:pPr>
        <w:pStyle w:val="LegClause"/>
      </w:pPr>
      <w:r>
        <w:rPr>
          <w:b/>
        </w:rPr>
        <w:t xml:space="preserve">(a)  </w:t>
      </w:r>
      <w:r>
        <w:t>Agencies may fund rigorous experiments on novel propulsion or energy concepts when hypotheses are physically specified, measurable, and falsifiable.</w:t>
      </w:r>
    </w:p>
    <w:p>
      <w:pPr>
        <w:pStyle w:val="LegClause"/>
      </w:pPr>
      <w:r>
        <w:rPr>
          <w:b/>
        </w:rPr>
        <w:t xml:space="preserve">(b)  </w:t>
      </w:r>
      <w:r>
        <w:t>Extraordinary performance claims require independent replication before major scale-up.</w:t>
      </w:r>
    </w:p>
    <w:p>
      <w:pPr>
        <w:pStyle w:val="LegSection"/>
      </w:pPr>
      <w:r>
        <w:t>SEC. 1905. EXTREME-DURATION SYSTEMS.</w:t>
      </w:r>
    </w:p>
    <w:p>
      <w:pPr>
        <w:pStyle w:val="LegClause"/>
      </w:pPr>
      <w:r>
        <w:rPr>
          <w:b/>
        </w:rPr>
        <w:t xml:space="preserve">(a)  </w:t>
      </w:r>
      <w:r>
        <w:t>Research may support electronics, materials, autonomy, power, archives, repair, and communication systems intended to function for decades or centuries.</w:t>
      </w:r>
    </w:p>
    <w:p>
      <w:pPr>
        <w:pStyle w:val="LegClause"/>
      </w:pPr>
      <w:r>
        <w:rPr>
          <w:b/>
        </w:rPr>
        <w:t xml:space="preserve">(b)  </w:t>
      </w:r>
      <w:r>
        <w:t>Programs shall explicitly study degradation, maintenance, error accumulation, and long-duration knowledge transfer.</w:t>
      </w:r>
    </w:p>
    <w:p>
      <w:pPr>
        <w:pStyle w:val="LegSection"/>
      </w:pPr>
      <w:r>
        <w:t>SEC. 1906. IN-SPACE RESOURCES AND CONSTRUCTION.</w:t>
      </w:r>
    </w:p>
    <w:p>
      <w:pPr>
        <w:pStyle w:val="LegClause"/>
      </w:pPr>
      <w:r>
        <w:rPr>
          <w:b/>
        </w:rPr>
        <w:t xml:space="preserve">(a)  </w:t>
      </w:r>
      <w:r>
        <w:t>NASA may research extraction, processing, storage, and use of extraterrestrial materials for scientific and logistical purposes consistent with applicable international obligations.</w:t>
      </w:r>
    </w:p>
    <w:p>
      <w:pPr>
        <w:pStyle w:val="LegClause"/>
      </w:pPr>
      <w:r>
        <w:rPr>
          <w:b/>
        </w:rPr>
        <w:t xml:space="preserve">(b)  </w:t>
      </w:r>
      <w:r>
        <w:t>Demonstrations shall include contamination, debris, property, safety, and planetary-protection review.</w:t>
      </w:r>
    </w:p>
    <w:p>
      <w:pPr>
        <w:pStyle w:val="LegSection"/>
      </w:pPr>
      <w:r>
        <w:t>SEC. 1907. SOLAR-SYSTEM INFRASTRUCTURE STUDIES.</w:t>
      </w:r>
    </w:p>
    <w:p>
      <w:pPr>
        <w:pStyle w:val="LegClause"/>
      </w:pPr>
      <w:r>
        <w:rPr>
          <w:b/>
        </w:rPr>
        <w:t xml:space="preserve">(a)  </w:t>
      </w:r>
      <w:r>
        <w:t>NASA may study long-lived communications, power, navigation, scientific, logistics, and emergency systems beyond cislunar space, including relay networks and autonomous depots.</w:t>
      </w:r>
    </w:p>
    <w:p>
      <w:pPr>
        <w:pStyle w:val="LegSection"/>
      </w:pPr>
      <w:r>
        <w:t>SEC. 1908. GENERATION-SCALE MISSION GOVERNANCE.</w:t>
      </w:r>
    </w:p>
    <w:p>
      <w:pPr>
        <w:pStyle w:val="LegClause"/>
      </w:pPr>
      <w:r>
        <w:rPr>
          <w:b/>
        </w:rPr>
        <w:t xml:space="preserve">(a)  </w:t>
      </w:r>
      <w:r>
        <w:t>Missions expected to operate longer than 25 years shall include governance for scientific succession, hardware obsolescence, software preservation, public communication, and intergenerational mission stewardship.</w:t>
      </w:r>
    </w:p>
    <w:p>
      <w:pPr>
        <w:pStyle w:val="LegSection"/>
      </w:pPr>
      <w:r>
        <w:t>SEC. 1909. SPECULATIVE PROPULSION CLAIM VERIFICATION.</w:t>
      </w:r>
    </w:p>
    <w:p>
      <w:pPr>
        <w:pStyle w:val="LegClause"/>
      </w:pPr>
      <w:r>
        <w:rPr>
          <w:b/>
        </w:rPr>
        <w:t xml:space="preserve">(a)  </w:t>
      </w:r>
      <w:r>
        <w:t>Projects claiming extraordinary energy, thrust, or efficiency shall submit measurement designs, error budgets, independent controls, and an explicit falsification test before funding a demonstration above $25,000,000.</w:t>
      </w:r>
    </w:p>
    <w:p>
      <w:pPr>
        <w:pStyle w:val="LegClause"/>
      </w:pPr>
      <w:r>
        <w:rPr>
          <w:b/>
        </w:rPr>
        <w:t xml:space="preserve">(b)  </w:t>
      </w:r>
      <w:r>
        <w:t>Replication teams shall be organizationally independent of the original concept sponsor where practicable.</w:t>
      </w:r>
    </w:p>
    <w:p>
      <w:pPr>
        <w:pStyle w:val="LegClause"/>
      </w:pPr>
      <w:r>
        <w:rPr>
          <w:b/>
        </w:rPr>
        <w:t xml:space="preserve">(c)  </w:t>
      </w:r>
      <w:r>
        <w:t>Prior public investment, publicity, or patents shall not substitute for physical evidence of performance.</w:t>
      </w:r>
    </w:p>
    <w:p>
      <w:pPr>
        <w:pStyle w:val="LegTitle"/>
      </w:pPr>
      <w:r>
        <w:t>TITLE XX — FEDERAL FRONTIER SCIENCE WORKFORCE</w:t>
      </w:r>
    </w:p>
    <w:p>
      <w:pPr>
        <w:pStyle w:val="LegSection"/>
      </w:pPr>
      <w:r>
        <w:t>SEC. 2001. SPECIAL SCIENTIFIC PERSONNEL SYSTEM.</w:t>
      </w:r>
    </w:p>
    <w:p>
      <w:pPr>
        <w:pStyle w:val="LegClause"/>
      </w:pPr>
      <w:r>
        <w:rPr>
          <w:b/>
        </w:rPr>
        <w:t xml:space="preserve">(a)  </w:t>
      </w:r>
      <w:r>
        <w:t>OPM shall establish a governmentwide personnel system for covered frontier institutions with direct hire, term appointments, distinguished expert appointments, market-sensitive pay, retention incentives, accelerated classification, and cross-agency mobility.</w:t>
      </w:r>
    </w:p>
    <w:p>
      <w:pPr>
        <w:pStyle w:val="LegClause"/>
      </w:pPr>
      <w:r>
        <w:rPr>
          <w:b/>
        </w:rPr>
        <w:t xml:space="preserve">(b)  </w:t>
      </w:r>
      <w:r>
        <w:t>The system shall include scientists, engineers, software professionals, technicians, machinists, fabricators, operators, mission controllers, acquisition professionals, safety experts, data stewards, and scientific administrators.</w:t>
      </w:r>
    </w:p>
    <w:p>
      <w:pPr>
        <w:pStyle w:val="LegClause"/>
      </w:pPr>
      <w:r>
        <w:rPr>
          <w:b/>
        </w:rPr>
        <w:t xml:space="preserve">(c)  </w:t>
      </w:r>
      <w:r>
        <w:t>The Government shall assess workload and management capacity before hiring increases, including adequate trained supervisors, human-resources officers, laboratory safety specialists, and procurement professionals.</w:t>
      </w:r>
    </w:p>
    <w:p>
      <w:pPr>
        <w:pStyle w:val="LegSection"/>
      </w:pPr>
      <w:r>
        <w:t>SEC. 2002. MARKET-SENSITIVE COMPENSATION.</w:t>
      </w:r>
    </w:p>
    <w:p>
      <w:pPr>
        <w:pStyle w:val="LegClause"/>
      </w:pPr>
      <w:r>
        <w:rPr>
          <w:b/>
        </w:rPr>
        <w:t xml:space="preserve">(a)  </w:t>
      </w:r>
      <w:r>
        <w:t>OPM may authorize compensation above ordinary General Schedule limits for scarce technical roles, subject to aggregate public reporting, internal equity review, and conflict controls.</w:t>
      </w:r>
    </w:p>
    <w:p>
      <w:pPr>
        <w:pStyle w:val="LegClause"/>
      </w:pPr>
      <w:r>
        <w:rPr>
          <w:b/>
        </w:rPr>
        <w:t xml:space="preserve">(b)  </w:t>
      </w:r>
      <w:r>
        <w:t>Compensation authority shall not be limited to employees holding doctoral degrees.</w:t>
      </w:r>
    </w:p>
    <w:p>
      <w:pPr>
        <w:pStyle w:val="LegSection"/>
      </w:pPr>
      <w:r>
        <w:t>SEC. 2003. NO DEGREE INFLATION.</w:t>
      </w:r>
    </w:p>
    <w:p>
      <w:pPr>
        <w:pStyle w:val="LegClause"/>
      </w:pPr>
      <w:r>
        <w:rPr>
          <w:b/>
        </w:rPr>
        <w:t xml:space="preserve">(a)  </w:t>
      </w:r>
      <w:r>
        <w:t>Agencies shall not require academic degrees when validated skills, apprenticeship, licensure, portfolio evidence, examination, or experience can establish competency.</w:t>
      </w:r>
    </w:p>
    <w:p>
      <w:pPr>
        <w:pStyle w:val="LegClause"/>
      </w:pPr>
      <w:r>
        <w:rPr>
          <w:b/>
        </w:rPr>
        <w:t xml:space="preserve">(b)  </w:t>
      </w:r>
      <w:r>
        <w:t>Job qualification systems shall identify the actual competencies needed rather than using degrees as administrative proxies.</w:t>
      </w:r>
    </w:p>
    <w:p>
      <w:pPr>
        <w:pStyle w:val="LegSection"/>
      </w:pPr>
      <w:r>
        <w:t>SEC. 2004. SCIENTIFIC SABBATICALS.</w:t>
      </w:r>
    </w:p>
    <w:p>
      <w:pPr>
        <w:pStyle w:val="LegClause"/>
      </w:pPr>
      <w:r>
        <w:rPr>
          <w:b/>
        </w:rPr>
        <w:t xml:space="preserve">(a)  </w:t>
      </w:r>
      <w:r>
        <w:t>Career scientific and technical personnel may receive paid or partially paid sabbaticals for research, training, laboratory exchange, or field work when the agency determines a long-term mission benefit.</w:t>
      </w:r>
    </w:p>
    <w:p>
      <w:pPr>
        <w:pStyle w:val="LegSection"/>
      </w:pPr>
      <w:r>
        <w:t>SEC. 2005. INTERCHANGE AND RETURN RIGHTS.</w:t>
      </w:r>
    </w:p>
    <w:p>
      <w:pPr>
        <w:pStyle w:val="LegClause"/>
      </w:pPr>
      <w:r>
        <w:rPr>
          <w:b/>
        </w:rPr>
        <w:t xml:space="preserve">(a)  </w:t>
      </w:r>
      <w:r>
        <w:t>Employees may undertake temporary assignments in universities, nonprofit laboratories, allied institutions, standards organizations, and private firms under ethics safeguards.</w:t>
      </w:r>
    </w:p>
    <w:p>
      <w:pPr>
        <w:pStyle w:val="LegClause"/>
      </w:pPr>
      <w:r>
        <w:rPr>
          <w:b/>
        </w:rPr>
        <w:t xml:space="preserve">(b)  </w:t>
      </w:r>
      <w:r>
        <w:t>Term-limited program leaders may receive streamlined reentry consideration for ten years after separation.</w:t>
      </w:r>
    </w:p>
    <w:p>
      <w:pPr>
        <w:pStyle w:val="LegSection"/>
      </w:pPr>
      <w:r>
        <w:t>SEC. 2006. TECHNICAL LEADERSHIP TRACK.</w:t>
      </w:r>
    </w:p>
    <w:p>
      <w:pPr>
        <w:pStyle w:val="LegClause"/>
      </w:pPr>
      <w:r>
        <w:rPr>
          <w:b/>
        </w:rPr>
        <w:t xml:space="preserve">(a)  </w:t>
      </w:r>
      <w:r>
        <w:t>Agencies shall maintain promotion and pay tracks that permit exceptional technical experts to advance without becoming people managers.</w:t>
      </w:r>
    </w:p>
    <w:p>
      <w:pPr>
        <w:pStyle w:val="LegClause"/>
      </w:pPr>
      <w:r>
        <w:rPr>
          <w:b/>
        </w:rPr>
        <w:t xml:space="preserve">(b)  </w:t>
      </w:r>
      <w:r>
        <w:t>Technical leaders may hold authority over architecture, standards, peer review, or safety appropriate to expertise.</w:t>
      </w:r>
    </w:p>
    <w:p>
      <w:pPr>
        <w:pStyle w:val="LegSection"/>
      </w:pPr>
      <w:r>
        <w:t>SEC. 2007. FAMILY AND PLACE SUPPORTS.</w:t>
      </w:r>
    </w:p>
    <w:p>
      <w:pPr>
        <w:pStyle w:val="LegClause"/>
      </w:pPr>
      <w:r>
        <w:rPr>
          <w:b/>
        </w:rPr>
        <w:t xml:space="preserve">(a)  </w:t>
      </w:r>
      <w:r>
        <w:t>Agencies may provide childcare, dependent-care assistance, relocation, emergency housing, remote-site incentives, family travel for extended assignments, mental-health services, and transportation where justified by recruitment or mission need.</w:t>
      </w:r>
    </w:p>
    <w:p>
      <w:pPr>
        <w:pStyle w:val="LegSection"/>
      </w:pPr>
      <w:r>
        <w:t>SEC. 2008. WORKFORCE KNOWLEDGE MAP.</w:t>
      </w:r>
    </w:p>
    <w:p>
      <w:pPr>
        <w:pStyle w:val="LegClause"/>
      </w:pPr>
      <w:r>
        <w:rPr>
          <w:b/>
        </w:rPr>
        <w:t xml:space="preserve">(a)  </w:t>
      </w:r>
      <w:r>
        <w:t>Covered institutions shall maintain skill inventories and identify single-person or near-single-person dependencies in critical technical functions.</w:t>
      </w:r>
    </w:p>
    <w:p>
      <w:pPr>
        <w:pStyle w:val="LegClause"/>
      </w:pPr>
      <w:r>
        <w:rPr>
          <w:b/>
        </w:rPr>
        <w:t xml:space="preserve">(b)  </w:t>
      </w:r>
      <w:r>
        <w:t>Succession plans shall address retirement, attrition, clearance delays, and contractor concentration.</w:t>
      </w:r>
    </w:p>
    <w:p>
      <w:pPr>
        <w:pStyle w:val="LegSection"/>
      </w:pPr>
      <w:r>
        <w:t>SEC. 2009. SCIENTIFIC HIRING SERVICE STANDARDS.</w:t>
      </w:r>
    </w:p>
    <w:p>
      <w:pPr>
        <w:pStyle w:val="LegClause"/>
      </w:pPr>
      <w:r>
        <w:rPr>
          <w:b/>
        </w:rPr>
        <w:t xml:space="preserve">(a)  </w:t>
      </w:r>
      <w:r>
        <w:t>OPM and covered institutions shall establish time-to-hire targets for priority technical roles and publicly report median hiring time.</w:t>
      </w:r>
    </w:p>
    <w:p>
      <w:pPr>
        <w:pStyle w:val="LegClause"/>
      </w:pPr>
      <w:r>
        <w:rPr>
          <w:b/>
        </w:rPr>
        <w:t xml:space="preserve">(b)  </w:t>
      </w:r>
      <w:r>
        <w:t>Security or suitability requirements may extend the target when necessary, but avoidable administrative delay shall be separately identified.</w:t>
      </w:r>
    </w:p>
    <w:p>
      <w:pPr>
        <w:pStyle w:val="LegSection"/>
      </w:pPr>
      <w:r>
        <w:t>SEC. 2010. TECHNICAL SUPPORT PROFESSIONS.</w:t>
      </w:r>
    </w:p>
    <w:p>
      <w:pPr>
        <w:pStyle w:val="LegClause"/>
      </w:pPr>
      <w:r>
        <w:rPr>
          <w:b/>
        </w:rPr>
        <w:t xml:space="preserve">(a)  </w:t>
      </w:r>
      <w:r>
        <w:t>Workforce plans shall account for contracting, budget, legal, safety, logistics, facilities, IT, records, communications, and administrative professionals needed to keep scientific staff productive.</w:t>
      </w:r>
    </w:p>
    <w:p>
      <w:pPr>
        <w:pStyle w:val="LegSection"/>
      </w:pPr>
      <w:r>
        <w:t>SEC. 2011. REMOTE AND HYBRID SCIENTIFIC WORK.</w:t>
      </w:r>
    </w:p>
    <w:p>
      <w:pPr>
        <w:pStyle w:val="LegClause"/>
      </w:pPr>
      <w:r>
        <w:rPr>
          <w:b/>
        </w:rPr>
        <w:t xml:space="preserve">(a)  </w:t>
      </w:r>
      <w:r>
        <w:t>Agencies may use remote and hybrid work where compatible with laboratory, classified, operational, security, and team requirements.</w:t>
      </w:r>
    </w:p>
    <w:p>
      <w:pPr>
        <w:pStyle w:val="LegClause"/>
      </w:pPr>
      <w:r>
        <w:rPr>
          <w:b/>
        </w:rPr>
        <w:t xml:space="preserve">(b)  </w:t>
      </w:r>
      <w:r>
        <w:t>Policy shall be based on mission needs and measured performance rather than universal assumptions for all scientific roles.</w:t>
      </w:r>
    </w:p>
    <w:p>
      <w:pPr>
        <w:pStyle w:val="LegSection"/>
      </w:pPr>
      <w:r>
        <w:t>SEC. 2012. WORKFORCE HEALTH AND SUSTAINABLE PERFORMANCE.</w:t>
      </w:r>
    </w:p>
    <w:p>
      <w:pPr>
        <w:pStyle w:val="LegClause"/>
      </w:pPr>
      <w:r>
        <w:rPr>
          <w:b/>
        </w:rPr>
        <w:t xml:space="preserve">(a)  </w:t>
      </w:r>
      <w:r>
        <w:t>Covered institutions shall manage fatigue, excessive overtime, shift work, hazardous exposure, isolation, and other work conditions that can degrade safety or scientific quality.</w:t>
      </w:r>
    </w:p>
    <w:p>
      <w:pPr>
        <w:pStyle w:val="LegSection"/>
      </w:pPr>
      <w:r>
        <w:t>SEC. 2013. CIVIL-SERVICE TECHNICAL COMPETENCE PLANS.</w:t>
      </w:r>
    </w:p>
    <w:p>
      <w:pPr>
        <w:pStyle w:val="LegClause"/>
      </w:pPr>
      <w:r>
        <w:rPr>
          <w:b/>
        </w:rPr>
        <w:t xml:space="preserve">(a)  </w:t>
      </w:r>
      <w:r>
        <w:t>NASA, DARPA, and other covered institutions shall identify technical disciplines in which the Government must retain independent engineering judgment to manage vendors and assure safety.</w:t>
      </w:r>
    </w:p>
    <w:p>
      <w:pPr>
        <w:pStyle w:val="LegClause"/>
      </w:pPr>
      <w:r>
        <w:rPr>
          <w:b/>
        </w:rPr>
        <w:t xml:space="preserve">(b)  </w:t>
      </w:r>
      <w:r>
        <w:t>The plan shall compare in-house personnel with contractor support by function, cost, continuity, knowledge ownership, and mission risk.</w:t>
      </w:r>
    </w:p>
    <w:p>
      <w:pPr>
        <w:pStyle w:val="LegClause"/>
      </w:pPr>
      <w:r>
        <w:rPr>
          <w:b/>
        </w:rPr>
        <w:t xml:space="preserve">(c)  </w:t>
      </w:r>
      <w:r>
        <w:t>An agency may use contractors extensively but shall not outsource its final safety determination or its essential capacity to evaluate technical performance.</w:t>
      </w:r>
    </w:p>
    <w:p>
      <w:pPr>
        <w:pStyle w:val="LegSection"/>
      </w:pPr>
      <w:r>
        <w:t>SEC. 2014. RESEARCH WORKFORCE CAREER MOBILITY SAFEGUARDS.</w:t>
      </w:r>
    </w:p>
    <w:p>
      <w:pPr>
        <w:pStyle w:val="LegClause"/>
      </w:pPr>
      <w:r>
        <w:rPr>
          <w:b/>
        </w:rPr>
        <w:t xml:space="preserve">(a)  </w:t>
      </w:r>
      <w:r>
        <w:t>Temporary exchanges with universities, industry, and allied laboratories shall identify conflicts of interest, access rights, post-assignment restrictions, and handling of proprietary and classified information.</w:t>
      </w:r>
    </w:p>
    <w:p>
      <w:pPr>
        <w:pStyle w:val="LegClause"/>
      </w:pPr>
      <w:r>
        <w:rPr>
          <w:b/>
        </w:rPr>
        <w:t xml:space="preserve">(b)  </w:t>
      </w:r>
      <w:r>
        <w:t>An employee shall not participate in awarding Federal funds to an organization in which the employee has a disqualifying financial interest or recent management role.</w:t>
      </w:r>
    </w:p>
    <w:p>
      <w:pPr>
        <w:pStyle w:val="LegClause"/>
      </w:pPr>
      <w:r>
        <w:rPr>
          <w:b/>
        </w:rPr>
        <w:t xml:space="preserve">(c)  </w:t>
      </w:r>
      <w:r>
        <w:t>OPM shall publish aggregate mobility outcomes and the effectiveness of return-to-government programs.</w:t>
      </w:r>
    </w:p>
    <w:p>
      <w:pPr>
        <w:pStyle w:val="LegTitle"/>
      </w:pPr>
      <w:r>
        <w:t>TITLE XXI — EDUCATION, APPRENTICESHIPS, FELLOWSHIPS, AND PUBLIC SCIENCE</w:t>
      </w:r>
    </w:p>
    <w:p>
      <w:pPr>
        <w:pStyle w:val="LegSection"/>
      </w:pPr>
      <w:r>
        <w:t>SEC. 2101. SPACE SCHOLARS.</w:t>
      </w:r>
    </w:p>
    <w:p>
      <w:pPr>
        <w:pStyle w:val="LegClause"/>
      </w:pPr>
      <w:r>
        <w:rPr>
          <w:b/>
        </w:rPr>
        <w:t xml:space="preserve">(a)  </w:t>
      </w:r>
      <w:r>
        <w:t>NSF, NASA, DOE, and DoD shall establish scholarships and fellowships for undergraduate, graduate, postdoctoral, technical, and professional education in critical scientific fields.</w:t>
      </w:r>
    </w:p>
    <w:p>
      <w:pPr>
        <w:pStyle w:val="LegClause"/>
      </w:pPr>
      <w:r>
        <w:rPr>
          <w:b/>
        </w:rPr>
        <w:t xml:space="preserve">(b)  </w:t>
      </w:r>
      <w:r>
        <w:t>A service track may exchange tuition and stipend support for Federal service, with hardship waivers and proportional repayment rules.</w:t>
      </w:r>
    </w:p>
    <w:p>
      <w:pPr>
        <w:pStyle w:val="LegClause"/>
      </w:pPr>
      <w:r>
        <w:rPr>
          <w:b/>
        </w:rPr>
        <w:t xml:space="preserve">(c)  </w:t>
      </w:r>
      <w:r>
        <w:t>A non-service track shall remain available where broad ecosystem capacity is itself the public benefit.</w:t>
      </w:r>
    </w:p>
    <w:p>
      <w:pPr>
        <w:pStyle w:val="LegSection"/>
      </w:pPr>
      <w:r>
        <w:t>SEC. 2102. NATIONAL TECHNICAL APPRENTICESHIP NETWORK.</w:t>
      </w:r>
    </w:p>
    <w:p>
      <w:pPr>
        <w:pStyle w:val="LegClause"/>
      </w:pPr>
      <w:r>
        <w:rPr>
          <w:b/>
        </w:rPr>
        <w:t xml:space="preserve">(a)  </w:t>
      </w:r>
      <w:r>
        <w:t>Paid apprenticeships shall support precision machining, electronics, avionics, welding, clean-room operations, instrumentation, launch operations, laboratory safety, scientific computing, facility operations, and other critical trades.</w:t>
      </w:r>
    </w:p>
    <w:p>
      <w:pPr>
        <w:pStyle w:val="LegClause"/>
      </w:pPr>
      <w:r>
        <w:rPr>
          <w:b/>
        </w:rPr>
        <w:t xml:space="preserve">(b)  </w:t>
      </w:r>
      <w:r>
        <w:t>Credentials shall be competency-based and portable across participating institutions and contractors.</w:t>
      </w:r>
    </w:p>
    <w:p>
      <w:pPr>
        <w:pStyle w:val="LegSection"/>
      </w:pPr>
      <w:r>
        <w:t>SEC. 2103. COMMUNITY COLLEGE PARTNERSHIPS.</w:t>
      </w:r>
    </w:p>
    <w:p>
      <w:pPr>
        <w:pStyle w:val="LegClause"/>
      </w:pPr>
      <w:r>
        <w:rPr>
          <w:b/>
        </w:rPr>
        <w:t xml:space="preserve">(a)  </w:t>
      </w:r>
      <w:r>
        <w:t>Priority shall be given to community colleges and technical schools near Federal research centers, manufacturing clusters, launch sites, observatories, test ranges, and laboratories.</w:t>
      </w:r>
    </w:p>
    <w:p>
      <w:pPr>
        <w:pStyle w:val="LegClause"/>
      </w:pPr>
      <w:r>
        <w:rPr>
          <w:b/>
        </w:rPr>
        <w:t xml:space="preserve">(b)  </w:t>
      </w:r>
      <w:r>
        <w:t>Equipment and instructor grants may be paired with paid work placements.</w:t>
      </w:r>
    </w:p>
    <w:p>
      <w:pPr>
        <w:pStyle w:val="LegSection"/>
      </w:pPr>
      <w:r>
        <w:t>SEC. 2104. TEACHER FELLOWSHIPS.</w:t>
      </w:r>
    </w:p>
    <w:p>
      <w:pPr>
        <w:pStyle w:val="LegClause"/>
      </w:pPr>
      <w:r>
        <w:rPr>
          <w:b/>
        </w:rPr>
        <w:t xml:space="preserve">(a)  </w:t>
      </w:r>
      <w:r>
        <w:t>K-12 teachers may receive summer and sabbatical fellowships in Federal laboratories and scientific facilities.</w:t>
      </w:r>
    </w:p>
    <w:p>
      <w:pPr>
        <w:pStyle w:val="LegClause"/>
      </w:pPr>
      <w:r>
        <w:rPr>
          <w:b/>
        </w:rPr>
        <w:t xml:space="preserve">(b)  </w:t>
      </w:r>
      <w:r>
        <w:t>Federally developed classroom materials under this program shall be openly licensed.</w:t>
      </w:r>
    </w:p>
    <w:p>
      <w:pPr>
        <w:pStyle w:val="LegSection"/>
      </w:pPr>
      <w:r>
        <w:t>SEC. 2105. SCHOOL LABORATORY MODERNIZATION.</w:t>
      </w:r>
    </w:p>
    <w:p>
      <w:pPr>
        <w:pStyle w:val="LegClause"/>
      </w:pPr>
      <w:r>
        <w:rPr>
          <w:b/>
        </w:rPr>
        <w:t xml:space="preserve">(a)  </w:t>
      </w:r>
      <w:r>
        <w:t>Competitive grants may support safe laboratories, instrumentation, fabrication tools, computing, teacher training, and remote facility access.</w:t>
      </w:r>
    </w:p>
    <w:p>
      <w:pPr>
        <w:pStyle w:val="LegSection"/>
      </w:pPr>
      <w:r>
        <w:t>SEC. 2106. PUBLIC SCIENCE ACCESS.</w:t>
      </w:r>
    </w:p>
    <w:p>
      <w:pPr>
        <w:pStyle w:val="LegClause"/>
      </w:pPr>
      <w:r>
        <w:rPr>
          <w:b/>
        </w:rPr>
        <w:t xml:space="preserve">(a)  </w:t>
      </w:r>
      <w:r>
        <w:t>Federal laboratories may support public lectures, citizen science, museum partnerships, open days, educational media, and remote instrument access where compatible with security and mission.</w:t>
      </w:r>
    </w:p>
    <w:p>
      <w:pPr>
        <w:pStyle w:val="LegSection"/>
      </w:pPr>
      <w:r>
        <w:t>SEC. 2107. MENTORSHIP AND CAREER ACCOUNTABILITY.</w:t>
      </w:r>
    </w:p>
    <w:p>
      <w:pPr>
        <w:pStyle w:val="LegClause"/>
      </w:pPr>
      <w:r>
        <w:rPr>
          <w:b/>
        </w:rPr>
        <w:t xml:space="preserve">(a)  </w:t>
      </w:r>
      <w:r>
        <w:t>Scholarship and fellowship programs shall track completion, placement, attrition, mentoring quality, and barriers to entry.</w:t>
      </w:r>
    </w:p>
    <w:p>
      <w:pPr>
        <w:pStyle w:val="LegClause"/>
      </w:pPr>
      <w:r>
        <w:rPr>
          <w:b/>
        </w:rPr>
        <w:t xml:space="preserve">(b)  </w:t>
      </w:r>
      <w:r>
        <w:t>Evaluation shall not substitute demographic targets for scientific or technical qualifications.</w:t>
      </w:r>
    </w:p>
    <w:p>
      <w:pPr>
        <w:pStyle w:val="LegSection"/>
      </w:pPr>
      <w:r>
        <w:t>SEC. 2108. RESEARCH EXPERIENCE FOR UNDERGRADUATES.</w:t>
      </w:r>
    </w:p>
    <w:p>
      <w:pPr>
        <w:pStyle w:val="LegClause"/>
      </w:pPr>
      <w:r>
        <w:rPr>
          <w:b/>
        </w:rPr>
        <w:t xml:space="preserve">(a)  </w:t>
      </w:r>
      <w:r>
        <w:t>Participating agencies shall expand paid research experiences, including placements at Federal laboratories, field stations, launch centers, user facilities, and partner universities.</w:t>
      </w:r>
    </w:p>
    <w:p>
      <w:pPr>
        <w:pStyle w:val="LegSection"/>
      </w:pPr>
      <w:r>
        <w:t>SEC. 2109. MID-CAREER CONVERSION FELLOWSHIPS.</w:t>
      </w:r>
    </w:p>
    <w:p>
      <w:pPr>
        <w:pStyle w:val="LegClause"/>
      </w:pPr>
      <w:r>
        <w:rPr>
          <w:b/>
        </w:rPr>
        <w:t xml:space="preserve">(a)  </w:t>
      </w:r>
      <w:r>
        <w:t>Workers with relevant mathematics, engineering, software, manufacturing, military, aviation, operations, or trade backgrounds may receive intensive training for frontier-science careers.</w:t>
      </w:r>
    </w:p>
    <w:p>
      <w:pPr>
        <w:pStyle w:val="LegSection"/>
      </w:pPr>
      <w:r>
        <w:t>SEC. 2110. PUBLIC SCIENCE LITERACY.</w:t>
      </w:r>
    </w:p>
    <w:p>
      <w:pPr>
        <w:pStyle w:val="LegClause"/>
      </w:pPr>
      <w:r>
        <w:rPr>
          <w:b/>
        </w:rPr>
        <w:t xml:space="preserve">(a)  </w:t>
      </w:r>
      <w:r>
        <w:t>Agencies may fund nonpartisan public materials explaining scientific methods, uncertainty, probability, peer review, evidence quality, and the distinction between scientific findings and policy choices.</w:t>
      </w:r>
    </w:p>
    <w:p>
      <w:pPr>
        <w:pStyle w:val="LegSection"/>
      </w:pPr>
      <w:r>
        <w:t>SEC. 2111. NATIONAL TECHNICAL TRAINING EQUIPMENT PROGRAM.</w:t>
      </w:r>
    </w:p>
    <w:p>
      <w:pPr>
        <w:pStyle w:val="LegClause"/>
      </w:pPr>
      <w:r>
        <w:rPr>
          <w:b/>
        </w:rPr>
        <w:t xml:space="preserve">(a)  </w:t>
      </w:r>
      <w:r>
        <w:t>The Fund may finance laboratory instruments, advanced fabrication equipment, scientific computing, safety apparatus, and instructor training at public technical colleges and other eligible institutions.</w:t>
      </w:r>
    </w:p>
    <w:p>
      <w:pPr>
        <w:pStyle w:val="LegClause"/>
      </w:pPr>
      <w:r>
        <w:rPr>
          <w:b/>
        </w:rPr>
        <w:t xml:space="preserve">(b)  </w:t>
      </w:r>
      <w:r>
        <w:t>Grant applicants shall demonstrate employer or laboratory partnerships, credible utilization, maintenance capability, and a route to portable recognized skills.</w:t>
      </w:r>
    </w:p>
    <w:p>
      <w:pPr>
        <w:pStyle w:val="LegClause"/>
      </w:pPr>
      <w:r>
        <w:rPr>
          <w:b/>
        </w:rPr>
        <w:t xml:space="preserve">(c)  </w:t>
      </w:r>
      <w:r>
        <w:t>Equipment purchased solely for training shall be usable by multiple cohorts and may not become a disguised exclusive subsidy to one employer.</w:t>
      </w:r>
    </w:p>
    <w:p>
      <w:pPr>
        <w:pStyle w:val="LegSection"/>
      </w:pPr>
      <w:r>
        <w:t>SEC. 2112. SCHOLARSHIP PROTECTION AND PARTICIPANT DUE PROCESS.</w:t>
      </w:r>
    </w:p>
    <w:p>
      <w:pPr>
        <w:pStyle w:val="LegClause"/>
      </w:pPr>
      <w:r>
        <w:rPr>
          <w:b/>
        </w:rPr>
        <w:t xml:space="preserve">(a)  </w:t>
      </w:r>
      <w:r>
        <w:t>Scholarships with service commitments shall state service duration, eligible positions, deferments, hardship waivers, repayment calculation, and appeal rights in advance.</w:t>
      </w:r>
    </w:p>
    <w:p>
      <w:pPr>
        <w:pStyle w:val="LegClause"/>
      </w:pPr>
      <w:r>
        <w:rPr>
          <w:b/>
        </w:rPr>
        <w:t xml:space="preserve">(b)  </w:t>
      </w:r>
      <w:r>
        <w:t>A participant may not be required to surrender constitutional rights, accept unsafe work, or waive ordinary employment-law protections as a condition of continued support.</w:t>
      </w:r>
    </w:p>
    <w:p>
      <w:pPr>
        <w:pStyle w:val="LegClause"/>
      </w:pPr>
      <w:r>
        <w:rPr>
          <w:b/>
        </w:rPr>
        <w:t xml:space="preserve">(c)  </w:t>
      </w:r>
      <w:r>
        <w:t>Program evaluations shall examine scientific placement and retention, not simply enrollment counts.</w:t>
      </w:r>
    </w:p>
    <w:p>
      <w:pPr>
        <w:pStyle w:val="LegTitle"/>
      </w:pPr>
      <w:r>
        <w:t>TITLE XXII — GLOBAL SCIENTIFIC TALENT AND MOBILITY</w:t>
      </w:r>
    </w:p>
    <w:p>
      <w:pPr>
        <w:pStyle w:val="LegSection"/>
      </w:pPr>
      <w:r>
        <w:t>SEC. 2201. FRONTIER SCIENCE VISA AND SPONSORSHIP.</w:t>
      </w:r>
    </w:p>
    <w:p>
      <w:pPr>
        <w:pStyle w:val="LegClause"/>
      </w:pPr>
      <w:r>
        <w:rPr>
          <w:b/>
        </w:rPr>
        <w:t xml:space="preserve">(a)  </w:t>
      </w:r>
      <w:r>
        <w:t>The Secretary of Homeland Security, in consultation with the Secretaries of State and Labor, shall establish by regulation within existing immigration law a streamlined scientific research sponsor process for institutions designated under this Act.</w:t>
      </w:r>
    </w:p>
    <w:p>
      <w:pPr>
        <w:pStyle w:val="LegClause"/>
      </w:pPr>
      <w:r>
        <w:rPr>
          <w:b/>
        </w:rPr>
        <w:t xml:space="preserve">(b)  </w:t>
      </w:r>
      <w:r>
        <w:t>This section does not itself create a nonimmigrant visa classification or override numerical restrictions established by the Immigration and Nationality Act; statutory changes to those classifications require express amendment of that Act.</w:t>
      </w:r>
    </w:p>
    <w:p>
      <w:pPr>
        <w:pStyle w:val="LegClause"/>
      </w:pPr>
      <w:r>
        <w:rPr>
          <w:b/>
        </w:rPr>
        <w:t xml:space="preserve">(c)  </w:t>
      </w:r>
      <w:r>
        <w:t>Institutions may certify a legitimate research or technical assignment, funding, supervision, and security controls but may not promise immigration status or unlawfully favor prospective workers based on prohibited characteristics.</w:t>
      </w:r>
    </w:p>
    <w:p>
      <w:pPr>
        <w:pStyle w:val="LegClause"/>
      </w:pPr>
      <w:r>
        <w:rPr>
          <w:b/>
        </w:rPr>
        <w:t xml:space="preserve">(d)  </w:t>
      </w:r>
      <w:r>
        <w:t>The President may transmit to Congress a proposal for new scientific visa and immigrant classifications, including estimated labor-market and security effects.</w:t>
      </w:r>
    </w:p>
    <w:p>
      <w:pPr>
        <w:pStyle w:val="LegSection"/>
      </w:pPr>
      <w:r>
        <w:t>SEC. 2202. SCIENTIFIC IMMIGRANT PATHWAYS AND LEGAL REFORM STUDY.</w:t>
      </w:r>
    </w:p>
    <w:p>
      <w:pPr>
        <w:pStyle w:val="LegClause"/>
      </w:pPr>
      <w:r>
        <w:rPr>
          <w:b/>
        </w:rPr>
        <w:t xml:space="preserve">(a)  </w:t>
      </w:r>
      <w:r>
        <w:t>Within one year the Secretaries of Homeland Security, State, Labor, and Commerce shall jointly review existing employment-based immigration pathways for scientists, engineers, advanced technicians, and research educators.</w:t>
      </w:r>
    </w:p>
    <w:p>
      <w:pPr>
        <w:pStyle w:val="LegClause"/>
      </w:pPr>
      <w:r>
        <w:rPr>
          <w:b/>
        </w:rPr>
        <w:t xml:space="preserve">(b)  </w:t>
      </w:r>
      <w:r>
        <w:t>The review shall recommend any statutory adjustments needed for bona fide scientific recruitment, family mobility, portability, national-security checks, credential recognition, and worker protections.</w:t>
      </w:r>
    </w:p>
    <w:p>
      <w:pPr>
        <w:pStyle w:val="LegClause"/>
      </w:pPr>
      <w:r>
        <w:rPr>
          <w:b/>
        </w:rPr>
        <w:t xml:space="preserve">(c)  </w:t>
      </w:r>
      <w:r>
        <w:t>No provision in this section shall be construed to expand a numerical immigrant category or create an exception to existing admissibility requirements without subsequent legislation.</w:t>
      </w:r>
    </w:p>
    <w:p>
      <w:pPr>
        <w:pStyle w:val="LegSection"/>
      </w:pPr>
      <w:r>
        <w:t>SEC. 2203. FAMILY MOBILITY AND LAWFUL PORTABILITY.</w:t>
      </w:r>
    </w:p>
    <w:p>
      <w:pPr>
        <w:pStyle w:val="LegClause"/>
      </w:pPr>
      <w:r>
        <w:rPr>
          <w:b/>
        </w:rPr>
        <w:t xml:space="preserve">(a)  </w:t>
      </w:r>
      <w:r>
        <w:t>Agencies sponsoring foreign researchers shall provide accurate information about available dependent classifications, work authorization, study rights, travel, and changes of sponsoring institution under existing immigration law.</w:t>
      </w:r>
    </w:p>
    <w:p>
      <w:pPr>
        <w:pStyle w:val="LegClause"/>
      </w:pPr>
      <w:r>
        <w:rPr>
          <w:b/>
        </w:rPr>
        <w:t xml:space="preserve">(b)  </w:t>
      </w:r>
      <w:r>
        <w:t>A visiting researcher shall not be required to surrender ordinary rights to change employers or sponsor where such rights exist under law.</w:t>
      </w:r>
    </w:p>
    <w:p>
      <w:pPr>
        <w:pStyle w:val="LegClause"/>
      </w:pPr>
      <w:r>
        <w:rPr>
          <w:b/>
        </w:rPr>
        <w:t xml:space="preserve">(c)  </w:t>
      </w:r>
      <w:r>
        <w:t>The Government shall recommend lawful improvements that prevent family separation or unnecessary scientific disruption while maintaining required security and labor review.</w:t>
      </w:r>
    </w:p>
    <w:p>
      <w:pPr>
        <w:pStyle w:val="LegSection"/>
      </w:pPr>
      <w:r>
        <w:t>SEC. 2204. RESEARCH-SECURITY NEUTRALITY.</w:t>
      </w:r>
    </w:p>
    <w:p>
      <w:pPr>
        <w:pStyle w:val="LegClause"/>
      </w:pPr>
      <w:r>
        <w:rPr>
          <w:b/>
        </w:rPr>
        <w:t xml:space="preserve">(a)  </w:t>
      </w:r>
      <w:r>
        <w:t>Nationality, ethnicity, or country of birth alone shall not establish research-security risk.</w:t>
      </w:r>
    </w:p>
    <w:p>
      <w:pPr>
        <w:pStyle w:val="LegClause"/>
      </w:pPr>
      <w:r>
        <w:rPr>
          <w:b/>
        </w:rPr>
        <w:t xml:space="preserve">(b)  </w:t>
      </w:r>
      <w:r>
        <w:t>Risk determinations shall rely on access needs, conduct, affiliation, sanctions, legal obligations, undisclosed conflicts, specific threat information, and individualized evidence.</w:t>
      </w:r>
    </w:p>
    <w:p>
      <w:pPr>
        <w:pStyle w:val="LegSection"/>
      </w:pPr>
      <w:r>
        <w:t>SEC. 2205. BRAIN CIRCULATION.</w:t>
      </w:r>
    </w:p>
    <w:p>
      <w:pPr>
        <w:pStyle w:val="LegClause"/>
      </w:pPr>
      <w:r>
        <w:rPr>
          <w:b/>
        </w:rPr>
        <w:t xml:space="preserve">(a)  </w:t>
      </w:r>
      <w:r>
        <w:t>Programs shall facilitate temporary and circular scientific exchange as well as permanent recruitment.</w:t>
      </w:r>
    </w:p>
    <w:p>
      <w:pPr>
        <w:pStyle w:val="LegClause"/>
      </w:pPr>
      <w:r>
        <w:rPr>
          <w:b/>
        </w:rPr>
        <w:t xml:space="preserve">(b)  </w:t>
      </w:r>
      <w:r>
        <w:t>International fellows may remain affiliated with home institutions where conflicts and export controls are managed.</w:t>
      </w:r>
    </w:p>
    <w:p>
      <w:pPr>
        <w:pStyle w:val="LegSection"/>
      </w:pPr>
      <w:r>
        <w:t>SEC. 2206. RECIPROCAL SCIENTIFIC MOBILITY AGREEMENTS.</w:t>
      </w:r>
    </w:p>
    <w:p>
      <w:pPr>
        <w:pStyle w:val="LegClause"/>
      </w:pPr>
      <w:r>
        <w:rPr>
          <w:b/>
        </w:rPr>
        <w:t xml:space="preserve">(a)  </w:t>
      </w:r>
      <w:r>
        <w:t>The Secretary of State may negotiate reciprocal arrangements with trusted partner states for expedited researcher travel, visiting appointments, family status, and recognition of scientific credentials.</w:t>
      </w:r>
    </w:p>
    <w:p>
      <w:pPr>
        <w:pStyle w:val="LegSection"/>
      </w:pPr>
      <w:r>
        <w:t>SEC. 2207. EMERGENCY SCIENTIFIC ENTRY.</w:t>
      </w:r>
    </w:p>
    <w:p>
      <w:pPr>
        <w:pStyle w:val="LegClause"/>
      </w:pPr>
      <w:r>
        <w:rPr>
          <w:b/>
        </w:rPr>
        <w:t xml:space="preserve">(a)  </w:t>
      </w:r>
      <w:r>
        <w:t>Existing emergency and humanitarian authorities may be coordinated to facilitate temporary entry of displaced scientists whose work, safety, or scientific records are endangered, subject to applicable screening.</w:t>
      </w:r>
    </w:p>
    <w:p>
      <w:pPr>
        <w:pStyle w:val="LegSection"/>
      </w:pPr>
      <w:r>
        <w:t>SEC. 2208. INTERNATIONAL TALENT REPORTING.</w:t>
      </w:r>
    </w:p>
    <w:p>
      <w:pPr>
        <w:pStyle w:val="LegClause"/>
      </w:pPr>
      <w:r>
        <w:rPr>
          <w:b/>
        </w:rPr>
        <w:t xml:space="preserve">(a)  </w:t>
      </w:r>
      <w:r>
        <w:t>Agencies shall report processing time, retention, field distribution, security outcomes, and barriers to scientific mobility without publicly disclosing sensitive personal information.</w:t>
      </w:r>
    </w:p>
    <w:p>
      <w:pPr>
        <w:pStyle w:val="LegSection"/>
      </w:pPr>
      <w:r>
        <w:t>SEC. 2209. GLOBAL TALENT LEGAL INTEGRATION.</w:t>
      </w:r>
    </w:p>
    <w:p>
      <w:pPr>
        <w:pStyle w:val="LegClause"/>
      </w:pPr>
      <w:r>
        <w:rPr>
          <w:b/>
        </w:rPr>
        <w:t xml:space="preserve">(a)  </w:t>
      </w:r>
      <w:r>
        <w:t>The Secretary of Homeland Security shall implement any new immigration classifications established by this Act in coordination with existing visa, inadmissibility, security-screening, and labor-protection laws.</w:t>
      </w:r>
    </w:p>
    <w:p>
      <w:pPr>
        <w:pStyle w:val="LegClause"/>
      </w:pPr>
      <w:r>
        <w:rPr>
          <w:b/>
        </w:rPr>
        <w:t xml:space="preserve">(b)  </w:t>
      </w:r>
      <w:r>
        <w:t>Any annual numerical limits, filing periods, or family work authorization shall be clearly specified by implementing regulation only to the extent delegated by statute; regulation shall not invent an additional numerical ceiling.</w:t>
      </w:r>
    </w:p>
    <w:p>
      <w:pPr>
        <w:pStyle w:val="LegClause"/>
      </w:pPr>
      <w:r>
        <w:rPr>
          <w:b/>
        </w:rPr>
        <w:t xml:space="preserve">(c)  </w:t>
      </w:r>
      <w:r>
        <w:t>Visa decisions shall have the review and reconsideration provided by applicable immigration law; no institution may guarantee entry or classification to a foreign national.</w:t>
      </w:r>
    </w:p>
    <w:p>
      <w:pPr>
        <w:pStyle w:val="LegTitle"/>
      </w:pPr>
      <w:r>
        <w:t>TITLE XXIII — FRONTIER PROCUREMENT, GRANTS, OTHER TRANSACTIONS, PRIZES, AND RAPID EXPERIMENTATION</w:t>
      </w:r>
    </w:p>
    <w:p>
      <w:pPr>
        <w:pStyle w:val="LegSection"/>
      </w:pPr>
      <w:r>
        <w:t>SEC. 2301. INSTRUMENT-NEUTRAL ACQUISITION STRATEGY.</w:t>
      </w:r>
    </w:p>
    <w:p>
      <w:pPr>
        <w:pStyle w:val="LegClause"/>
      </w:pPr>
      <w:r>
        <w:rPr>
          <w:b/>
        </w:rPr>
        <w:t xml:space="preserve">(a)  </w:t>
      </w:r>
      <w:r>
        <w:t>Agencies may use procurement contracts, grants, cooperative agreements, prizes, challenges, other transactions, consortia, Space Act agreements, cooperative research agreements, and other lawful instruments suited to the relationship.</w:t>
      </w:r>
    </w:p>
    <w:p>
      <w:pPr>
        <w:pStyle w:val="LegClause"/>
      </w:pPr>
      <w:r>
        <w:rPr>
          <w:b/>
        </w:rPr>
        <w:t xml:space="preserve">(b)  </w:t>
      </w:r>
      <w:r>
        <w:t>Instrument choice may not be used primarily to evade competition, labor, ethics, audit, safety, or data-rights requirements.</w:t>
      </w:r>
    </w:p>
    <w:p>
      <w:pPr>
        <w:pStyle w:val="LegClause"/>
      </w:pPr>
      <w:r>
        <w:rPr>
          <w:b/>
        </w:rPr>
        <w:t xml:space="preserve">(c)  </w:t>
      </w:r>
      <w:r>
        <w:t>A simplified research instrument shall not excuse inadequate conflict checks, cost accounting where legally required, export compliance, security, public data rights, or equitable competition.</w:t>
      </w:r>
    </w:p>
    <w:p>
      <w:pPr>
        <w:pStyle w:val="LegSection"/>
      </w:pPr>
      <w:r>
        <w:t>SEC. 2302. TIME-TO-AWARD STANDARDS.</w:t>
      </w:r>
    </w:p>
    <w:p>
      <w:pPr>
        <w:pStyle w:val="LegClause"/>
      </w:pPr>
      <w:r>
        <w:rPr>
          <w:b/>
        </w:rPr>
        <w:t xml:space="preserve">(a)  </w:t>
      </w:r>
      <w:r>
        <w:t>Agencies shall target median award times of 45 days for small exploratory awards, 90 days for standard frontier awards, and 180 days for major complex awards.</w:t>
      </w:r>
    </w:p>
    <w:p>
      <w:pPr>
        <w:pStyle w:val="LegClause"/>
      </w:pPr>
      <w:r>
        <w:rPr>
          <w:b/>
        </w:rPr>
        <w:t xml:space="preserve">(b)  </w:t>
      </w:r>
      <w:r>
        <w:t>Applicants shall receive status information and an explanation when materially delayed.</w:t>
      </w:r>
    </w:p>
    <w:p>
      <w:pPr>
        <w:pStyle w:val="LegSection"/>
      </w:pPr>
      <w:r>
        <w:t>SEC. 2303. SMALL EXPLORATORY AWARD AUTHORITY.</w:t>
      </w:r>
    </w:p>
    <w:p>
      <w:pPr>
        <w:pStyle w:val="LegClause"/>
      </w:pPr>
      <w:r>
        <w:rPr>
          <w:b/>
        </w:rPr>
        <w:t xml:space="preserve">(a)  </w:t>
      </w:r>
      <w:r>
        <w:t>Covered institutions may issue simplified exploratory awards up to $2,000,000 using short technical proposals, milestone payments, and proportionate financial review.</w:t>
      </w:r>
    </w:p>
    <w:p>
      <w:pPr>
        <w:pStyle w:val="LegClause"/>
      </w:pPr>
      <w:r>
        <w:rPr>
          <w:b/>
        </w:rPr>
        <w:t xml:space="preserve">(b)  </w:t>
      </w:r>
      <w:r>
        <w:t>Agencies shall not impose full major-contract accounting systems on a small exploratory recipient unless risk justifies them.</w:t>
      </w:r>
    </w:p>
    <w:p>
      <w:pPr>
        <w:pStyle w:val="LegSection"/>
      </w:pPr>
      <w:r>
        <w:t>SEC. 2304. OTHER TRANSACTION EXPANSION.</w:t>
      </w:r>
    </w:p>
    <w:p>
      <w:pPr>
        <w:pStyle w:val="LegClause"/>
      </w:pPr>
      <w:r>
        <w:rPr>
          <w:b/>
        </w:rPr>
        <w:t xml:space="preserve">(a)  </w:t>
      </w:r>
      <w:r>
        <w:t>NASA and civilian covered institutions are authorized to use research and prototype other transactions under governmentwide safeguards comparable to mature Federal models.</w:t>
      </w:r>
    </w:p>
    <w:p>
      <w:pPr>
        <w:pStyle w:val="LegClause"/>
      </w:pPr>
      <w:r>
        <w:rPr>
          <w:b/>
        </w:rPr>
        <w:t xml:space="preserve">(b)  </w:t>
      </w:r>
      <w:r>
        <w:t>Agreements shall address competition, audit access proportionate to risk, cost sharing where appropriate, intellectual property, security, and transition.</w:t>
      </w:r>
    </w:p>
    <w:p>
      <w:pPr>
        <w:pStyle w:val="LegSection"/>
      </w:pPr>
      <w:r>
        <w:t>SEC. 2305. MILESTONE AND PORTFOLIO CONTRACTING.</w:t>
      </w:r>
    </w:p>
    <w:p>
      <w:pPr>
        <w:pStyle w:val="LegClause"/>
      </w:pPr>
      <w:r>
        <w:rPr>
          <w:b/>
        </w:rPr>
        <w:t xml:space="preserve">(a)  </w:t>
      </w:r>
      <w:r>
        <w:t>Agencies may fund multiple competing technical approaches and continue, merge, or terminate performers based on technical milestones.</w:t>
      </w:r>
    </w:p>
    <w:p>
      <w:pPr>
        <w:pStyle w:val="LegClause"/>
      </w:pPr>
      <w:r>
        <w:rPr>
          <w:b/>
        </w:rPr>
        <w:t xml:space="preserve">(b)  </w:t>
      </w:r>
      <w:r>
        <w:t>Milestones may be updated when new evidence changes the underlying technical path, with documented rationale.</w:t>
      </w:r>
    </w:p>
    <w:p>
      <w:pPr>
        <w:pStyle w:val="LegSection"/>
      </w:pPr>
      <w:r>
        <w:t>SEC. 2306. ADVANCE MARKET COMMITMENTS.</w:t>
      </w:r>
    </w:p>
    <w:p>
      <w:pPr>
        <w:pStyle w:val="LegClause"/>
      </w:pPr>
      <w:r>
        <w:rPr>
          <w:b/>
        </w:rPr>
        <w:t xml:space="preserve">(a)  </w:t>
      </w:r>
      <w:r>
        <w:t>Where public demand can accelerate socially valuable technology, agencies may commit to future purchases conditioned on independently verified performance, price ceilings, and appropriations.</w:t>
      </w:r>
    </w:p>
    <w:p>
      <w:pPr>
        <w:pStyle w:val="LegClause"/>
      </w:pPr>
      <w:r>
        <w:rPr>
          <w:b/>
        </w:rPr>
        <w:t xml:space="preserve">(b)  </w:t>
      </w:r>
      <w:r>
        <w:t>No commitment may obligate funds beyond lawful budget authority.</w:t>
      </w:r>
    </w:p>
    <w:p>
      <w:pPr>
        <w:pStyle w:val="LegSection"/>
      </w:pPr>
      <w:r>
        <w:t>SEC. 2307. ACQUISITION WORKFORCE.</w:t>
      </w:r>
    </w:p>
    <w:p>
      <w:pPr>
        <w:pStyle w:val="LegClause"/>
      </w:pPr>
      <w:r>
        <w:rPr>
          <w:b/>
        </w:rPr>
        <w:t xml:space="preserve">(a)  </w:t>
      </w:r>
      <w:r>
        <w:t>Contracting officers, agreement officers, counsel, cost analysts, and program staff supporting frontier research shall receive specialized training in uncertainty, intellectual property, prototype contracting, and technical milestone design.</w:t>
      </w:r>
    </w:p>
    <w:p>
      <w:pPr>
        <w:pStyle w:val="LegSection"/>
      </w:pPr>
      <w:r>
        <w:t>SEC. 2308. DEBRIEFING AND LEARNING.</w:t>
      </w:r>
    </w:p>
    <w:p>
      <w:pPr>
        <w:pStyle w:val="LegClause"/>
      </w:pPr>
      <w:r>
        <w:rPr>
          <w:b/>
        </w:rPr>
        <w:t xml:space="preserve">(a)  </w:t>
      </w:r>
      <w:r>
        <w:t>Unsuccessful applicants shall receive useful debriefing proportionate to award size and competition sensitivity.</w:t>
      </w:r>
    </w:p>
    <w:p>
      <w:pPr>
        <w:pStyle w:val="LegClause"/>
      </w:pPr>
      <w:r>
        <w:rPr>
          <w:b/>
        </w:rPr>
        <w:t xml:space="preserve">(b)  </w:t>
      </w:r>
      <w:r>
        <w:t>Agencies shall analyze recurring application friction and remove requirements that do not materially protect the public interest.</w:t>
      </w:r>
    </w:p>
    <w:p>
      <w:pPr>
        <w:pStyle w:val="LegSection"/>
      </w:pPr>
      <w:r>
        <w:t>SEC. 2309. RAPID PURCHASE AUTHORITY.</w:t>
      </w:r>
    </w:p>
    <w:p>
      <w:pPr>
        <w:pStyle w:val="LegClause"/>
      </w:pPr>
      <w:r>
        <w:rPr>
          <w:b/>
        </w:rPr>
        <w:t xml:space="preserve">(a)  </w:t>
      </w:r>
      <w:r>
        <w:t>Covered institutions may establish higher simplified-acquisition thresholds for specialized research components, software, scientific services, and time-sensitive test needs within limits established by statute and regulation.</w:t>
      </w:r>
    </w:p>
    <w:p>
      <w:pPr>
        <w:pStyle w:val="LegClause"/>
      </w:pPr>
      <w:r>
        <w:rPr>
          <w:b/>
        </w:rPr>
        <w:t xml:space="preserve">(b)  </w:t>
      </w:r>
      <w:r>
        <w:t>Competition, price reasonableness, conflicts, and anti-splitting rules remain applicable.</w:t>
      </w:r>
    </w:p>
    <w:p>
      <w:pPr>
        <w:pStyle w:val="LegSection"/>
      </w:pPr>
      <w:r>
        <w:t>SEC. 2310. EMERGENCY SCIENTIFIC PROCUREMENT.</w:t>
      </w:r>
    </w:p>
    <w:p>
      <w:pPr>
        <w:pStyle w:val="LegClause"/>
      </w:pPr>
      <w:r>
        <w:rPr>
          <w:b/>
        </w:rPr>
        <w:t xml:space="preserve">(a)  </w:t>
      </w:r>
      <w:r>
        <w:t>During a declared emergency or mission-threatening equipment failure, agencies may use expedited procurement with contemporaneous documentation and after-the-fact audit.</w:t>
      </w:r>
    </w:p>
    <w:p>
      <w:pPr>
        <w:pStyle w:val="LegSection"/>
      </w:pPr>
      <w:r>
        <w:t>SEC. 2311. OPEN SOLICITATIONS.</w:t>
      </w:r>
    </w:p>
    <w:p>
      <w:pPr>
        <w:pStyle w:val="LegClause"/>
      </w:pPr>
      <w:r>
        <w:rPr>
          <w:b/>
        </w:rPr>
        <w:t xml:space="preserve">(a)  </w:t>
      </w:r>
      <w:r>
        <w:t>A meaningful share of frontier funding shall remain available through broad solicitations that permit unsolicited or cross-disciplinary ideas and do not require prior Federal contracting history.</w:t>
      </w:r>
    </w:p>
    <w:p>
      <w:pPr>
        <w:pStyle w:val="LegSection"/>
      </w:pPr>
      <w:r>
        <w:t>SEC. 2312. PROCUREMENT DATA INTEROPERABILITY.</w:t>
      </w:r>
    </w:p>
    <w:p>
      <w:pPr>
        <w:pStyle w:val="LegClause"/>
      </w:pPr>
      <w:r>
        <w:rPr>
          <w:b/>
        </w:rPr>
        <w:t xml:space="preserve">(a)  </w:t>
      </w:r>
      <w:r>
        <w:t>Covered institutions shall use structured award and milestone data sufficient to compare time-to-award, competition, cost growth, performer diversity, and transition outcomes.</w:t>
      </w:r>
    </w:p>
    <w:p>
      <w:pPr>
        <w:pStyle w:val="LegSection"/>
      </w:pPr>
      <w:r>
        <w:t>SEC. 2313. OTHER TRANSACTION STATUTORY CONDITIONS.</w:t>
      </w:r>
    </w:p>
    <w:p>
      <w:pPr>
        <w:pStyle w:val="LegClause"/>
      </w:pPr>
      <w:r>
        <w:rPr>
          <w:b/>
        </w:rPr>
        <w:t xml:space="preserve">(a)  </w:t>
      </w:r>
      <w:r>
        <w:t>Defense research and prototype transactions conducted under sections 4021 or 4022 of title 10, United States Code, remain subject to their statutory conditions, competition policies, audit provisions, and applicable procurement ethics.</w:t>
      </w:r>
    </w:p>
    <w:p>
      <w:pPr>
        <w:pStyle w:val="LegClause"/>
      </w:pPr>
      <w:r>
        <w:rPr>
          <w:b/>
        </w:rPr>
        <w:t xml:space="preserve">(b)  </w:t>
      </w:r>
      <w:r>
        <w:t>Civilian agencies may use other transactions only under an express legal authority and shall distinguish a research agreement from a procurement contract or assistance instrument.</w:t>
      </w:r>
    </w:p>
    <w:p>
      <w:pPr>
        <w:pStyle w:val="LegClause"/>
      </w:pPr>
      <w:r>
        <w:rPr>
          <w:b/>
        </w:rPr>
        <w:t xml:space="preserve">(c)  </w:t>
      </w:r>
      <w:r>
        <w:t>Officials shall record the legal instrument choice, performer status, cost-share reasoning, intellectual-property terms, and technology-transition pathway.</w:t>
      </w:r>
    </w:p>
    <w:p>
      <w:pPr>
        <w:pStyle w:val="LegSection"/>
      </w:pPr>
      <w:r>
        <w:t>SEC. 2314. AWARD PROTEST AND FAIR SELECTION.</w:t>
      </w:r>
    </w:p>
    <w:p>
      <w:pPr>
        <w:pStyle w:val="LegClause"/>
      </w:pPr>
      <w:r>
        <w:rPr>
          <w:b/>
        </w:rPr>
        <w:t xml:space="preserve">(a)  </w:t>
      </w:r>
      <w:r>
        <w:t>Agencies shall provide reasonable procedural remedies for materially flawed award competitions, consistent with applicable law and the nature of grants, contracts, prizes, or other transactions.</w:t>
      </w:r>
    </w:p>
    <w:p>
      <w:pPr>
        <w:pStyle w:val="LegClause"/>
      </w:pPr>
      <w:r>
        <w:rPr>
          <w:b/>
        </w:rPr>
        <w:t xml:space="preserve">(b)  </w:t>
      </w:r>
      <w:r>
        <w:t>Selection shall document scientific merit, technical qualification, financial integrity, conflicts, risk, competition, and price reasonableness where relevant.</w:t>
      </w:r>
    </w:p>
    <w:p>
      <w:pPr>
        <w:pStyle w:val="LegClause"/>
      </w:pPr>
      <w:r>
        <w:rPr>
          <w:b/>
        </w:rPr>
        <w:t xml:space="preserve">(c)  </w:t>
      </w:r>
      <w:r>
        <w:t>The Act creates no unqualified right to an award and does not prevent rejection of an unsafe, noncompliant, or technically unpersuasive proposal.</w:t>
      </w:r>
    </w:p>
    <w:p>
      <w:pPr>
        <w:pStyle w:val="LegTitle"/>
      </w:pPr>
      <w:r>
        <w:t>TITLE XXIV — TECHNOLOGY TRANSITION, INTELLECTUAL PROPERTY, STANDARDS, AND PUBLIC RETURN</w:t>
      </w:r>
    </w:p>
    <w:p>
      <w:pPr>
        <w:pStyle w:val="LegSection"/>
      </w:pPr>
      <w:r>
        <w:t>SEC. 2401. TECHNOLOGY TRANSITION OFFICES.</w:t>
      </w:r>
    </w:p>
    <w:p>
      <w:pPr>
        <w:pStyle w:val="LegClause"/>
      </w:pPr>
      <w:r>
        <w:rPr>
          <w:b/>
        </w:rPr>
        <w:t xml:space="preserve">(a)  </w:t>
      </w:r>
      <w:r>
        <w:t>Covered institutions shall maintain technically staffed transition offices capable of moving successful work into Government operations, standards, licensing, manufacturing, open-source ecosystems, or commercial markets.</w:t>
      </w:r>
    </w:p>
    <w:p>
      <w:pPr>
        <w:pStyle w:val="LegSection"/>
      </w:pPr>
      <w:r>
        <w:t>SEC. 2402. FIRST-CUSTOMER AUTHORITY.</w:t>
      </w:r>
    </w:p>
    <w:p>
      <w:pPr>
        <w:pStyle w:val="LegClause"/>
      </w:pPr>
      <w:r>
        <w:rPr>
          <w:b/>
        </w:rPr>
        <w:t xml:space="preserve">(a)  </w:t>
      </w:r>
      <w:r>
        <w:t>Agencies may act as first customers for technically successful technologies that serve a lawful mission where private demand is not yet sufficient.</w:t>
      </w:r>
    </w:p>
    <w:p>
      <w:pPr>
        <w:pStyle w:val="LegClause"/>
      </w:pPr>
      <w:r>
        <w:rPr>
          <w:b/>
        </w:rPr>
        <w:t xml:space="preserve">(b)  </w:t>
      </w:r>
      <w:r>
        <w:t>Awards require price reasonableness, performance criteria, appropriate competition, and avoidance of unnecessary lock-in.</w:t>
      </w:r>
    </w:p>
    <w:p>
      <w:pPr>
        <w:pStyle w:val="LegSection"/>
      </w:pPr>
      <w:r>
        <w:t>SEC. 2403. PILOT AND SCALE-UP FACILITIES.</w:t>
      </w:r>
    </w:p>
    <w:p>
      <w:pPr>
        <w:pStyle w:val="LegClause"/>
      </w:pPr>
      <w:r>
        <w:rPr>
          <w:b/>
        </w:rPr>
        <w:t xml:space="preserve">(a)  </w:t>
      </w:r>
      <w:r>
        <w:t>The Infrastructure Authority and Commerce may support shared pilot facilities for manufacturing processes that are technically proven but not yet financeable at commercial scale.</w:t>
      </w:r>
    </w:p>
    <w:p>
      <w:pPr>
        <w:pStyle w:val="LegClause"/>
      </w:pPr>
      <w:r>
        <w:rPr>
          <w:b/>
        </w:rPr>
        <w:t xml:space="preserve">(b)  </w:t>
      </w:r>
      <w:r>
        <w:t>Shared facilities shall use transparent access, conflict, IP, security, and cost-recovery rules.</w:t>
      </w:r>
    </w:p>
    <w:p>
      <w:pPr>
        <w:pStyle w:val="LegSection"/>
      </w:pPr>
      <w:r>
        <w:t>SEC. 2404. SCALE-UP FINANCE.</w:t>
      </w:r>
    </w:p>
    <w:p>
      <w:pPr>
        <w:pStyle w:val="LegClause"/>
      </w:pPr>
      <w:r>
        <w:rPr>
          <w:b/>
        </w:rPr>
        <w:t xml:space="preserve">(a)  </w:t>
      </w:r>
      <w:r>
        <w:t>Subject to separate credit-program scoring, Commerce may provide loans, guarantees, or repayable milestone finance for scale-up of SPACE-funded technologies with significant public benefit.</w:t>
      </w:r>
    </w:p>
    <w:p>
      <w:pPr>
        <w:pStyle w:val="LegClause"/>
      </w:pPr>
      <w:r>
        <w:rPr>
          <w:b/>
        </w:rPr>
        <w:t xml:space="preserve">(b)  </w:t>
      </w:r>
      <w:r>
        <w:t>Credit assistance shall include risk-based pricing, collateral or alternative protections, and taxpayer upside where appropriate.</w:t>
      </w:r>
    </w:p>
    <w:p>
      <w:pPr>
        <w:pStyle w:val="LegSection"/>
      </w:pPr>
      <w:r>
        <w:t>SEC. 2405. INTELLECTUAL-PROPERTY BALANCE.</w:t>
      </w:r>
    </w:p>
    <w:p>
      <w:pPr>
        <w:pStyle w:val="LegClause"/>
      </w:pPr>
      <w:r>
        <w:rPr>
          <w:b/>
        </w:rPr>
        <w:t xml:space="preserve">(a)  </w:t>
      </w:r>
      <w:r>
        <w:t>Agreements shall preserve commercialization incentives while ensuring Government-use rights and remedies sufficient to protect mission access.</w:t>
      </w:r>
    </w:p>
    <w:p>
      <w:pPr>
        <w:pStyle w:val="LegClause"/>
      </w:pPr>
      <w:r>
        <w:rPr>
          <w:b/>
        </w:rPr>
        <w:t xml:space="preserve">(b)  </w:t>
      </w:r>
      <w:r>
        <w:t>Publicly financed foundational tools should use nonexclusive or open licensing where exclusive control is unnecessary for development.</w:t>
      </w:r>
    </w:p>
    <w:p>
      <w:pPr>
        <w:pStyle w:val="LegSection"/>
      </w:pPr>
      <w:r>
        <w:t>SEC. 2406. MODEL LICENSES.</w:t>
      </w:r>
    </w:p>
    <w:p>
      <w:pPr>
        <w:pStyle w:val="LegClause"/>
      </w:pPr>
      <w:r>
        <w:rPr>
          <w:b/>
        </w:rPr>
        <w:t xml:space="preserve">(a)  </w:t>
      </w:r>
      <w:r>
        <w:t>Agencies shall publish model terms for research software, data, patents, hardware designs, biological materials, and standards-essential technologies.</w:t>
      </w:r>
    </w:p>
    <w:p>
      <w:pPr>
        <w:pStyle w:val="LegSection"/>
      </w:pPr>
      <w:r>
        <w:t>SEC. 2407. STANDARDS TRANSITION.</w:t>
      </w:r>
    </w:p>
    <w:p>
      <w:pPr>
        <w:pStyle w:val="LegClause"/>
      </w:pPr>
      <w:r>
        <w:rPr>
          <w:b/>
        </w:rPr>
        <w:t xml:space="preserve">(a)  </w:t>
      </w:r>
      <w:r>
        <w:t>NIST shall provide rapid metrology and standards support to successful programs approaching deployment.</w:t>
      </w:r>
    </w:p>
    <w:p>
      <w:pPr>
        <w:pStyle w:val="LegClause"/>
      </w:pPr>
      <w:r>
        <w:rPr>
          <w:b/>
        </w:rPr>
        <w:t xml:space="preserve">(b)  </w:t>
      </w:r>
      <w:r>
        <w:t>Standards work shall begin early enough that measurement and interoperability do not become late-stage barriers.</w:t>
      </w:r>
    </w:p>
    <w:p>
      <w:pPr>
        <w:pStyle w:val="LegSection"/>
      </w:pPr>
      <w:r>
        <w:t>SEC. 2408. PUBLIC-RETURN MECHANISMS.</w:t>
      </w:r>
    </w:p>
    <w:p>
      <w:pPr>
        <w:pStyle w:val="LegClause"/>
      </w:pPr>
      <w:r>
        <w:rPr>
          <w:b/>
        </w:rPr>
        <w:t xml:space="preserve">(a)  </w:t>
      </w:r>
      <w:r>
        <w:t>Where the Government provides exceptional scale-up support, agreements may include royalties, warrants, repayment, price protections for Government use, or other lawful public-return mechanisms proportionate to risk.</w:t>
      </w:r>
    </w:p>
    <w:p>
      <w:pPr>
        <w:pStyle w:val="LegSection"/>
      </w:pPr>
      <w:r>
        <w:t>SEC. 2409. TRANSITION FAILURE REVIEW.</w:t>
      </w:r>
    </w:p>
    <w:p>
      <w:pPr>
        <w:pStyle w:val="LegClause"/>
      </w:pPr>
      <w:r>
        <w:rPr>
          <w:b/>
        </w:rPr>
        <w:t xml:space="preserve">(a)  </w:t>
      </w:r>
      <w:r>
        <w:t>When technically successful programs fail to transition, agencies shall identify whether the cause was cost, standards, procurement, manufacturing, regulation, user incentives, security, IP, market structure, or technical immaturity.</w:t>
      </w:r>
    </w:p>
    <w:p>
      <w:pPr>
        <w:pStyle w:val="LegClause"/>
      </w:pPr>
      <w:r>
        <w:rPr>
          <w:b/>
        </w:rPr>
        <w:t xml:space="preserve">(b)  </w:t>
      </w:r>
      <w:r>
        <w:t>Transition failure shall inform future program design rather than be treated as a purely commercial matter.</w:t>
      </w:r>
    </w:p>
    <w:p>
      <w:pPr>
        <w:pStyle w:val="LegSection"/>
      </w:pPr>
      <w:r>
        <w:t>SEC. 2410. OPEN-SOURCE TRANSITION.</w:t>
      </w:r>
    </w:p>
    <w:p>
      <w:pPr>
        <w:pStyle w:val="LegClause"/>
      </w:pPr>
      <w:r>
        <w:rPr>
          <w:b/>
        </w:rPr>
        <w:t xml:space="preserve">(a)  </w:t>
      </w:r>
      <w:r>
        <w:t>Agencies may use open-source software, hardware, models, standards, or reference designs as a transition path when broad adoption and interoperability provide greater public value than exclusive licensing.</w:t>
      </w:r>
    </w:p>
    <w:p>
      <w:pPr>
        <w:pStyle w:val="LegSection"/>
      </w:pPr>
      <w:r>
        <w:t>SEC. 2411. PUBLIC MISSION LICENSE CONTINUITY.</w:t>
      </w:r>
    </w:p>
    <w:p>
      <w:pPr>
        <w:pStyle w:val="LegClause"/>
      </w:pPr>
      <w:r>
        <w:rPr>
          <w:b/>
        </w:rPr>
        <w:t xml:space="preserve">(a)  </w:t>
      </w:r>
      <w:r>
        <w:t>Agreements financed with SPACE funds shall provide the Government reasonable rights to preserve mission-critical data, software, hardware design documents, or methods after contractor insolvency, abandonment, or transfer of intellectual property.</w:t>
      </w:r>
    </w:p>
    <w:p>
      <w:pPr>
        <w:pStyle w:val="LegClause"/>
      </w:pPr>
      <w:r>
        <w:rPr>
          <w:b/>
        </w:rPr>
        <w:t xml:space="preserve">(b)  </w:t>
      </w:r>
      <w:r>
        <w:t>Access rights shall be proportionate and may protect legitimate trade secrets and security information, but shall not permit a mission to be held hostage by avoidable contractual lock-in.</w:t>
      </w:r>
    </w:p>
    <w:p>
      <w:pPr>
        <w:pStyle w:val="LegClause"/>
      </w:pPr>
      <w:r>
        <w:rPr>
          <w:b/>
        </w:rPr>
        <w:t xml:space="preserve">(c)  </w:t>
      </w:r>
      <w:r>
        <w:t>The responsible agency shall audit major license dependencies every three years.</w:t>
      </w:r>
    </w:p>
    <w:p>
      <w:pPr>
        <w:pStyle w:val="LegTitle"/>
      </w:pPr>
      <w:r>
        <w:t>TITLE XXV — OPEN SCIENCE, DATA, SOFTWARE, PUBLICATION, AND KNOWLEDGE PRESERVATION</w:t>
      </w:r>
    </w:p>
    <w:p>
      <w:pPr>
        <w:pStyle w:val="LegSection"/>
      </w:pPr>
      <w:r>
        <w:t>SEC. 2501. PRESUMPTION OF PUBLICATION.</w:t>
      </w:r>
    </w:p>
    <w:p>
      <w:pPr>
        <w:pStyle w:val="LegClause"/>
      </w:pPr>
      <w:r>
        <w:rPr>
          <w:b/>
        </w:rPr>
        <w:t xml:space="preserve">(a)  </w:t>
      </w:r>
      <w:r>
        <w:t>Unclassified fundamental research shall carry a presumption of publication and broad scientific dissemination.</w:t>
      </w:r>
    </w:p>
    <w:p>
      <w:pPr>
        <w:pStyle w:val="LegClause"/>
      </w:pPr>
      <w:r>
        <w:rPr>
          <w:b/>
        </w:rPr>
        <w:t xml:space="preserve">(b)  </w:t>
      </w:r>
      <w:r>
        <w:t>Temporary review may identify classified, export-controlled, proprietary, privacy-protected, or specifically security-sensitive material.</w:t>
      </w:r>
    </w:p>
    <w:p>
      <w:pPr>
        <w:pStyle w:val="LegClause"/>
      </w:pPr>
      <w:r>
        <w:rPr>
          <w:b/>
        </w:rPr>
        <w:t xml:space="preserve">(c)  </w:t>
      </w:r>
      <w:r>
        <w:t>Embarrassment, controversy, criticism of a program, or inconsistency with policy is not a lawful publication restriction.</w:t>
      </w:r>
    </w:p>
    <w:p>
      <w:pPr>
        <w:pStyle w:val="LegClause"/>
      </w:pPr>
      <w:r>
        <w:rPr>
          <w:b/>
        </w:rPr>
        <w:t xml:space="preserve">(d)  </w:t>
      </w:r>
      <w:r>
        <w:t>Where release is restricted, the responsible official shall state a specific legal basis and review expiration date and shall avoid classifying or restricting information solely because it would embarrass the agency.</w:t>
      </w:r>
    </w:p>
    <w:p>
      <w:pPr>
        <w:pStyle w:val="LegSection"/>
      </w:pPr>
      <w:r>
        <w:t>SEC. 2502. PUBLICATION REVIEW DEADLINES.</w:t>
      </w:r>
    </w:p>
    <w:p>
      <w:pPr>
        <w:pStyle w:val="LegClause"/>
      </w:pPr>
      <w:r>
        <w:rPr>
          <w:b/>
        </w:rPr>
        <w:t xml:space="preserve">(a)  </w:t>
      </w:r>
      <w:r>
        <w:t>Ordinary prepublication review shall conclude within 30 days.</w:t>
      </w:r>
    </w:p>
    <w:p>
      <w:pPr>
        <w:pStyle w:val="LegClause"/>
      </w:pPr>
      <w:r>
        <w:rPr>
          <w:b/>
        </w:rPr>
        <w:t xml:space="preserve">(b)  </w:t>
      </w:r>
      <w:r>
        <w:t>Extensions require a written legal basis, a responsible senior official, and a specific end date.</w:t>
      </w:r>
    </w:p>
    <w:p>
      <w:pPr>
        <w:pStyle w:val="LegClause"/>
      </w:pPr>
      <w:r>
        <w:rPr>
          <w:b/>
        </w:rPr>
        <w:t xml:space="preserve">(c)  </w:t>
      </w:r>
      <w:r>
        <w:t>Researchers may appeal an extended restriction through an official outside the original program chain.</w:t>
      </w:r>
    </w:p>
    <w:p>
      <w:pPr>
        <w:pStyle w:val="LegSection"/>
      </w:pPr>
      <w:r>
        <w:t>SEC. 2503. PUBLIC ACCESS TO RESEARCH.</w:t>
      </w:r>
    </w:p>
    <w:p>
      <w:pPr>
        <w:pStyle w:val="LegClause"/>
      </w:pPr>
      <w:r>
        <w:rPr>
          <w:b/>
        </w:rPr>
        <w:t xml:space="preserve">(a)  </w:t>
      </w:r>
      <w:r>
        <w:t>Peer-reviewed manuscripts and supporting civilian research data shall be publicly accessible without unnecessary delay, subject to lawful exceptions.</w:t>
      </w:r>
    </w:p>
    <w:p>
      <w:pPr>
        <w:pStyle w:val="LegClause"/>
      </w:pPr>
      <w:r>
        <w:rPr>
          <w:b/>
        </w:rPr>
        <w:t xml:space="preserve">(b)  </w:t>
      </w:r>
      <w:r>
        <w:t>Fees charged to the public for access to Federally funded research outputs should be minimized where lawful alternatives exist.</w:t>
      </w:r>
    </w:p>
    <w:p>
      <w:pPr>
        <w:pStyle w:val="LegSection"/>
      </w:pPr>
      <w:r>
        <w:t>SEC. 2504. FAIR AND DURABLE DATA.</w:t>
      </w:r>
    </w:p>
    <w:p>
      <w:pPr>
        <w:pStyle w:val="LegClause"/>
      </w:pPr>
      <w:r>
        <w:rPr>
          <w:b/>
        </w:rPr>
        <w:t xml:space="preserve">(a)  </w:t>
      </w:r>
      <w:r>
        <w:t>Major datasets shall use documented metadata, persistent identifiers, machine-readable formats, provenance, access controls, retention schedules, and archival plans.</w:t>
      </w:r>
    </w:p>
    <w:p>
      <w:pPr>
        <w:pStyle w:val="LegClause"/>
      </w:pPr>
      <w:r>
        <w:rPr>
          <w:b/>
        </w:rPr>
        <w:t xml:space="preserve">(b)  </w:t>
      </w:r>
      <w:r>
        <w:t>Agencies shall distinguish data that should be open, controlled, time-embargoed, secure, or destroyed.</w:t>
      </w:r>
    </w:p>
    <w:p>
      <w:pPr>
        <w:pStyle w:val="LegSection"/>
      </w:pPr>
      <w:r>
        <w:t>SEC. 2505. RESEARCH SOFTWARE PRESERVATION.</w:t>
      </w:r>
    </w:p>
    <w:p>
      <w:pPr>
        <w:pStyle w:val="LegClause"/>
      </w:pPr>
      <w:r>
        <w:rPr>
          <w:b/>
        </w:rPr>
        <w:t xml:space="preserve">(a)  </w:t>
      </w:r>
      <w:r>
        <w:t>Agencies shall preserve source code, dependencies, model weights where releasable, computational environments, and documentation needed to reproduce material results.</w:t>
      </w:r>
    </w:p>
    <w:p>
      <w:pPr>
        <w:pStyle w:val="LegClause"/>
      </w:pPr>
      <w:r>
        <w:rPr>
          <w:b/>
        </w:rPr>
        <w:t xml:space="preserve">(b)  </w:t>
      </w:r>
      <w:r>
        <w:t>Long-lived scientific software may receive maintenance funding independent of novelty criteria.</w:t>
      </w:r>
    </w:p>
    <w:p>
      <w:pPr>
        <w:pStyle w:val="LegSection"/>
      </w:pPr>
      <w:r>
        <w:t>SEC. 2506. NEGATIVE RESULTS REPOSITORY.</w:t>
      </w:r>
    </w:p>
    <w:p>
      <w:pPr>
        <w:pStyle w:val="LegClause"/>
      </w:pPr>
      <w:r>
        <w:rPr>
          <w:b/>
        </w:rPr>
        <w:t xml:space="preserve">(a)  </w:t>
      </w:r>
      <w:r>
        <w:t>Agencies may maintain repositories for well-designed negative or null results to reduce duplication and publication bias.</w:t>
      </w:r>
    </w:p>
    <w:p>
      <w:pPr>
        <w:pStyle w:val="LegClause"/>
      </w:pPr>
      <w:r>
        <w:rPr>
          <w:b/>
        </w:rPr>
        <w:t xml:space="preserve">(b)  </w:t>
      </w:r>
      <w:r>
        <w:t>Submission may be required for major failed public programs when the information can prevent repeated waste.</w:t>
      </w:r>
    </w:p>
    <w:p>
      <w:pPr>
        <w:pStyle w:val="LegSection"/>
      </w:pPr>
      <w:r>
        <w:t>SEC. 2507. NATIONAL SCIENTIFIC ARCHIVE.</w:t>
      </w:r>
    </w:p>
    <w:p>
      <w:pPr>
        <w:pStyle w:val="LegClause"/>
      </w:pPr>
      <w:r>
        <w:rPr>
          <w:b/>
        </w:rPr>
        <w:t xml:space="preserve">(a)  </w:t>
      </w:r>
      <w:r>
        <w:t>The Archivist, Library of Congress, NIST, and covered institutions shall preserve historically and technically significant records using geographically redundant and format-migrated systems.</w:t>
      </w:r>
    </w:p>
    <w:p>
      <w:pPr>
        <w:pStyle w:val="LegClause"/>
      </w:pPr>
      <w:r>
        <w:rPr>
          <w:b/>
        </w:rPr>
        <w:t xml:space="preserve">(b)  </w:t>
      </w:r>
      <w:r>
        <w:t>Critical archives shall maintain offline or otherwise resilient copies.</w:t>
      </w:r>
    </w:p>
    <w:p>
      <w:pPr>
        <w:pStyle w:val="LegSection"/>
      </w:pPr>
      <w:r>
        <w:t>SEC. 2508. DECLASSIFICATION AND HERITAGE.</w:t>
      </w:r>
    </w:p>
    <w:p>
      <w:pPr>
        <w:pStyle w:val="LegClause"/>
      </w:pPr>
      <w:r>
        <w:rPr>
          <w:b/>
        </w:rPr>
        <w:t xml:space="preserve">(a)  </w:t>
      </w:r>
      <w:r>
        <w:t>Scientific and technical records shall be reviewed for declassification on a rolling basis under existing law, with priority for material of substantial historical or scientific value.</w:t>
      </w:r>
    </w:p>
    <w:p>
      <w:pPr>
        <w:pStyle w:val="LegSection"/>
      </w:pPr>
      <w:r>
        <w:t>SEC. 2509. SCIENTIFIC DATA ESCROW.</w:t>
      </w:r>
    </w:p>
    <w:p>
      <w:pPr>
        <w:pStyle w:val="LegClause"/>
      </w:pPr>
      <w:r>
        <w:rPr>
          <w:b/>
        </w:rPr>
        <w:t xml:space="preserve">(a)  </w:t>
      </w:r>
      <w:r>
        <w:t>For major privately performed projects, agencies may require secure escrow of critical software, design records, calibration data, and documentation needed to preserve Government mission continuity.</w:t>
      </w:r>
    </w:p>
    <w:p>
      <w:pPr>
        <w:pStyle w:val="LegSection"/>
      </w:pPr>
      <w:r>
        <w:t>SEC. 2510. PERSISTENT IDENTIFIERS AND PROVENANCE.</w:t>
      </w:r>
    </w:p>
    <w:p>
      <w:pPr>
        <w:pStyle w:val="LegClause"/>
      </w:pPr>
      <w:r>
        <w:rPr>
          <w:b/>
        </w:rPr>
        <w:t xml:space="preserve">(a)  </w:t>
      </w:r>
      <w:r>
        <w:t>Federal research systems shall use persistent identifiers for grants, researchers, datasets, software, instruments, and publications where practical to improve traceability and reduce administrative duplication.</w:t>
      </w:r>
    </w:p>
    <w:p>
      <w:pPr>
        <w:pStyle w:val="LegSection"/>
      </w:pPr>
      <w:r>
        <w:t>SEC. 2511. SCIENTIFIC ARCHIVAL SUCCESSION.</w:t>
      </w:r>
    </w:p>
    <w:p>
      <w:pPr>
        <w:pStyle w:val="LegClause"/>
      </w:pPr>
      <w:r>
        <w:rPr>
          <w:b/>
        </w:rPr>
        <w:t xml:space="preserve">(a)  </w:t>
      </w:r>
      <w:r>
        <w:t>Mission data and instrument archives shall identify responsible custodians for the expected useful life of the records, including contingencies for agency reorganization and contractor dissolution.</w:t>
      </w:r>
    </w:p>
    <w:p>
      <w:pPr>
        <w:pStyle w:val="LegClause"/>
      </w:pPr>
      <w:r>
        <w:rPr>
          <w:b/>
        </w:rPr>
        <w:t xml:space="preserve">(b)  </w:t>
      </w:r>
      <w:r>
        <w:t>Critical metadata, calibration, computational environments, and design records shall be duplicated at geographically distinct sites where the consequence of permanent loss is material.</w:t>
      </w:r>
    </w:p>
    <w:p>
      <w:pPr>
        <w:pStyle w:val="LegClause"/>
      </w:pPr>
      <w:r>
        <w:rPr>
          <w:b/>
        </w:rPr>
        <w:t xml:space="preserve">(c)  </w:t>
      </w:r>
      <w:r>
        <w:t>Public archive access shall respect privacy, classified information, export controls, and other lawful restrictions.</w:t>
      </w:r>
    </w:p>
    <w:p>
      <w:pPr>
        <w:pStyle w:val="LegTitle"/>
      </w:pPr>
      <w:r>
        <w:t>TITLE XXVI — SAFETY, ETHICS, CIVIL LIBERTIES, RESEARCH SECURITY, AND DUAL-USE GOVERNANCE</w:t>
      </w:r>
    </w:p>
    <w:p>
      <w:pPr>
        <w:pStyle w:val="LegSection"/>
      </w:pPr>
      <w:r>
        <w:t>SEC. 2601. GENERAL RIGHTS SAVINGS CLAUSE.</w:t>
      </w:r>
    </w:p>
    <w:p>
      <w:pPr>
        <w:pStyle w:val="LegClause"/>
      </w:pPr>
      <w:r>
        <w:rPr>
          <w:b/>
        </w:rPr>
        <w:t xml:space="preserve">(a)  </w:t>
      </w:r>
      <w:r>
        <w:t>Nothing in this Act narrows constitutional rights, civil-rights law, privacy law, labor law, environmental law, whistleblower protections, judicial review, or human-subject protections except where an express provision lawfully states otherwise.</w:t>
      </w:r>
    </w:p>
    <w:p>
      <w:pPr>
        <w:pStyle w:val="LegSection"/>
      </w:pPr>
      <w:r>
        <w:t>SEC. 2602. NO INDEPENDENT DOMESTIC SURVEILLANCE AUTHORITY.</w:t>
      </w:r>
    </w:p>
    <w:p>
      <w:pPr>
        <w:pStyle w:val="LegClause"/>
      </w:pPr>
      <w:r>
        <w:rPr>
          <w:b/>
        </w:rPr>
        <w:t xml:space="preserve">(a)  </w:t>
      </w:r>
      <w:r>
        <w:t>This Act provides no independent authority to intercept communications, track persons, conduct biometric identification, search private data, or perform domestic intelligence collection.</w:t>
      </w:r>
    </w:p>
    <w:p>
      <w:pPr>
        <w:pStyle w:val="LegClause"/>
      </w:pPr>
      <w:r>
        <w:rPr>
          <w:b/>
        </w:rPr>
        <w:t xml:space="preserve">(b)  </w:t>
      </w:r>
      <w:r>
        <w:t>Law-enforcement access to research data requires existing lawful authority.</w:t>
      </w:r>
    </w:p>
    <w:p>
      <w:pPr>
        <w:pStyle w:val="LegSection"/>
      </w:pPr>
      <w:r>
        <w:t>SEC. 2603. DUAL-USE TECHNOLOGY REVIEW.</w:t>
      </w:r>
    </w:p>
    <w:p>
      <w:pPr>
        <w:pStyle w:val="LegClause"/>
      </w:pPr>
      <w:r>
        <w:rPr>
          <w:b/>
        </w:rPr>
        <w:t xml:space="preserve">(a)  </w:t>
      </w:r>
      <w:r>
        <w:t>Agencies shall establish capability-based risk tiers for biological, cyber, AI, autonomous, nuclear, directed-energy, and other high-consequence technologies designated by rule.</w:t>
      </w:r>
    </w:p>
    <w:p>
      <w:pPr>
        <w:pStyle w:val="LegClause"/>
      </w:pPr>
      <w:r>
        <w:rPr>
          <w:b/>
        </w:rPr>
        <w:t xml:space="preserve">(b)  </w:t>
      </w:r>
      <w:r>
        <w:t>Controls shall be proportionate, specific, reviewable, and designed to burden ordinary open research as little as practicable.</w:t>
      </w:r>
    </w:p>
    <w:p>
      <w:pPr>
        <w:pStyle w:val="LegClause"/>
      </w:pPr>
      <w:r>
        <w:rPr>
          <w:b/>
        </w:rPr>
        <w:t xml:space="preserve">(c)  </w:t>
      </w:r>
      <w:r>
        <w:t>High-risk projects shall identify capability thresholds that trigger a new review, including scale, autonomy, release, human exposure, integration with critical systems, or transfer to other persons.</w:t>
      </w:r>
    </w:p>
    <w:p>
      <w:pPr>
        <w:pStyle w:val="LegSection"/>
      </w:pPr>
      <w:r>
        <w:t>SEC. 2604. APPEALS FROM SECURITY CLASSIFICATIONS.</w:t>
      </w:r>
    </w:p>
    <w:p>
      <w:pPr>
        <w:pStyle w:val="LegClause"/>
      </w:pPr>
      <w:r>
        <w:rPr>
          <w:b/>
        </w:rPr>
        <w:t xml:space="preserve">(a)  </w:t>
      </w:r>
      <w:r>
        <w:t>Researchers and institutions materially affected by a research-security designation may seek reconsideration before an official not responsible for the initial determination.</w:t>
      </w:r>
    </w:p>
    <w:p>
      <w:pPr>
        <w:pStyle w:val="LegClause"/>
      </w:pPr>
      <w:r>
        <w:rPr>
          <w:b/>
        </w:rPr>
        <w:t xml:space="preserve">(b)  </w:t>
      </w:r>
      <w:r>
        <w:t>Classified evidence may be protected while providing an unclassified statement of reasons to the maximum extent possible.</w:t>
      </w:r>
    </w:p>
    <w:p>
      <w:pPr>
        <w:pStyle w:val="LegSection"/>
      </w:pPr>
      <w:r>
        <w:t>SEC. 2605. HUMAN-SUBJECT PROTECTIONS.</w:t>
      </w:r>
    </w:p>
    <w:p>
      <w:pPr>
        <w:pStyle w:val="LegClause"/>
      </w:pPr>
      <w:r>
        <w:rPr>
          <w:b/>
        </w:rPr>
        <w:t xml:space="preserve">(a)  </w:t>
      </w:r>
      <w:r>
        <w:t>No authority in this Act permits nonconsensual human experimentation.</w:t>
      </w:r>
    </w:p>
    <w:p>
      <w:pPr>
        <w:pStyle w:val="LegClause"/>
      </w:pPr>
      <w:r>
        <w:rPr>
          <w:b/>
        </w:rPr>
        <w:t xml:space="preserve">(b)  </w:t>
      </w:r>
      <w:r>
        <w:t>Research involving vulnerable populations, irreversible interventions, or highly sensitive neural, genetic, or biometric data shall receive enhanced independent review.</w:t>
      </w:r>
    </w:p>
    <w:p>
      <w:pPr>
        <w:pStyle w:val="LegSection"/>
      </w:pPr>
      <w:r>
        <w:t>SEC. 2606. AI AND AUTONOMOUS-SYSTEMS SAFETY.</w:t>
      </w:r>
    </w:p>
    <w:p>
      <w:pPr>
        <w:pStyle w:val="LegClause"/>
      </w:pPr>
      <w:r>
        <w:rPr>
          <w:b/>
        </w:rPr>
        <w:t xml:space="preserve">(a)  </w:t>
      </w:r>
      <w:r>
        <w:t>High-capability AI or autonomous systems deployed in safety-critical or rights-affecting settings shall undergo evaluation, red teaming, incident reporting, and appropriate human oversight.</w:t>
      </w:r>
    </w:p>
    <w:p>
      <w:pPr>
        <w:pStyle w:val="LegClause"/>
      </w:pPr>
      <w:r>
        <w:rPr>
          <w:b/>
        </w:rPr>
        <w:t xml:space="preserve">(b)  </w:t>
      </w:r>
      <w:r>
        <w:t>An agency may not waive a material safety control solely to accelerate a public demonstration.</w:t>
      </w:r>
    </w:p>
    <w:p>
      <w:pPr>
        <w:pStyle w:val="LegSection"/>
      </w:pPr>
      <w:r>
        <w:t>SEC. 2607. CYBER RESEARCH SAFEGUARDS.</w:t>
      </w:r>
    </w:p>
    <w:p>
      <w:pPr>
        <w:pStyle w:val="LegClause"/>
      </w:pPr>
      <w:r>
        <w:rPr>
          <w:b/>
        </w:rPr>
        <w:t xml:space="preserve">(a)  </w:t>
      </w:r>
      <w:r>
        <w:t>Cybersecurity research may include offensive techniques in controlled environments, but this Act provides no authority for unlawful intrusion into nonconsenting systems.</w:t>
      </w:r>
    </w:p>
    <w:p>
      <w:pPr>
        <w:pStyle w:val="LegSection"/>
      </w:pPr>
      <w:r>
        <w:t>SEC. 2608. NUCLEAR AND HIGH-ENERGY SAFETY.</w:t>
      </w:r>
    </w:p>
    <w:p>
      <w:pPr>
        <w:pStyle w:val="LegClause"/>
      </w:pPr>
      <w:r>
        <w:rPr>
          <w:b/>
        </w:rPr>
        <w:t xml:space="preserve">(a)  </w:t>
      </w:r>
      <w:r>
        <w:t>Nuclear propulsion, reactors, fusion systems, high-energy lasers, accelerators, and comparable hazardous systems require independent safety analysis proportionate to potential consequences.</w:t>
      </w:r>
    </w:p>
    <w:p>
      <w:pPr>
        <w:pStyle w:val="LegSection"/>
      </w:pPr>
      <w:r>
        <w:t>SEC. 2609. SCIENTIFIC WHISTLEBLOWERS.</w:t>
      </w:r>
    </w:p>
    <w:p>
      <w:pPr>
        <w:pStyle w:val="LegClause"/>
      </w:pPr>
      <w:r>
        <w:rPr>
          <w:b/>
        </w:rPr>
        <w:t xml:space="preserve">(a)  </w:t>
      </w:r>
      <w:r>
        <w:t>Employees and contractors may make protected disclosures concerning safety, legality, fraud, scientific integrity, censorship, or falsified technical records through lawful channels.</w:t>
      </w:r>
    </w:p>
    <w:p>
      <w:pPr>
        <w:pStyle w:val="LegClause"/>
      </w:pPr>
      <w:r>
        <w:rPr>
          <w:b/>
        </w:rPr>
        <w:t xml:space="preserve">(b)  </w:t>
      </w:r>
      <w:r>
        <w:t>Security classifications may not be used to conceal illegality or retaliation.</w:t>
      </w:r>
    </w:p>
    <w:p>
      <w:pPr>
        <w:pStyle w:val="LegSection"/>
      </w:pPr>
      <w:r>
        <w:t>SEC. 2610. ETHICS OF LONG-HORIZON RESEARCH.</w:t>
      </w:r>
    </w:p>
    <w:p>
      <w:pPr>
        <w:pStyle w:val="LegClause"/>
      </w:pPr>
      <w:r>
        <w:rPr>
          <w:b/>
        </w:rPr>
        <w:t xml:space="preserve">(a)  </w:t>
      </w:r>
      <w:r>
        <w:t>For projects that may create irreversible environmental, biological, autonomous, or planetary effects, agencies shall evaluate reversibility, consent, distributional effects, failure modes, and intergenerational consequences before deployment.</w:t>
      </w:r>
    </w:p>
    <w:p>
      <w:pPr>
        <w:pStyle w:val="LegSection"/>
      </w:pPr>
      <w:r>
        <w:t>SEC. 2611. RESEARCH SECURITY FRAMEWORK.</w:t>
      </w:r>
    </w:p>
    <w:p>
      <w:pPr>
        <w:pStyle w:val="LegClause"/>
      </w:pPr>
      <w:r>
        <w:rPr>
          <w:b/>
        </w:rPr>
        <w:t xml:space="preserve">(a)  </w:t>
      </w:r>
      <w:r>
        <w:t>NIST, OSTP, and covered institutions shall maintain a governmentwide research-security framework that is risk-balanced, evidence-based, and compatible with legitimate international collaboration.</w:t>
      </w:r>
    </w:p>
    <w:p>
      <w:pPr>
        <w:pStyle w:val="LegClause"/>
      </w:pPr>
      <w:r>
        <w:rPr>
          <w:b/>
        </w:rPr>
        <w:t xml:space="preserve">(b)  </w:t>
      </w:r>
      <w:r>
        <w:t>Compliance requirements shall scale with sensitivity, access, and threat rather than institution size alone.</w:t>
      </w:r>
    </w:p>
    <w:p>
      <w:pPr>
        <w:pStyle w:val="LegSection"/>
      </w:pPr>
      <w:r>
        <w:t>SEC. 2612. INCIDENT REPORTING AND LEARNING.</w:t>
      </w:r>
    </w:p>
    <w:p>
      <w:pPr>
        <w:pStyle w:val="LegClause"/>
      </w:pPr>
      <w:r>
        <w:rPr>
          <w:b/>
        </w:rPr>
        <w:t xml:space="preserve">(a)  </w:t>
      </w:r>
      <w:r>
        <w:t>Covered institutions shall maintain confidential reporting for safety, security, research-integrity, and technical incidents.</w:t>
      </w:r>
    </w:p>
    <w:p>
      <w:pPr>
        <w:pStyle w:val="LegClause"/>
      </w:pPr>
      <w:r>
        <w:rPr>
          <w:b/>
        </w:rPr>
        <w:t xml:space="preserve">(b)  </w:t>
      </w:r>
      <w:r>
        <w:t>Deidentified lessons shall be shared across the Network when recurrence prevention outweighs sensitivity.</w:t>
      </w:r>
    </w:p>
    <w:p>
      <w:pPr>
        <w:pStyle w:val="LegSection"/>
      </w:pPr>
      <w:r>
        <w:t>SEC. 2613. EMERGENCY STOP-WORK AUTHORITY.</w:t>
      </w:r>
    </w:p>
    <w:p>
      <w:pPr>
        <w:pStyle w:val="LegClause"/>
      </w:pPr>
      <w:r>
        <w:rPr>
          <w:b/>
        </w:rPr>
        <w:t xml:space="preserve">(a)  </w:t>
      </w:r>
      <w:r>
        <w:t>A designated safety or security official may temporarily stop research presenting a credible risk of imminent serious harm.</w:t>
      </w:r>
    </w:p>
    <w:p>
      <w:pPr>
        <w:pStyle w:val="LegClause"/>
      </w:pPr>
      <w:r>
        <w:rPr>
          <w:b/>
        </w:rPr>
        <w:t xml:space="preserve">(b)  </w:t>
      </w:r>
      <w:r>
        <w:t>A stop-work order shall receive prompt senior review and may not be used as an indefinite substitute for ordinary adjudication.</w:t>
      </w:r>
    </w:p>
    <w:p>
      <w:pPr>
        <w:pStyle w:val="LegSection"/>
      </w:pPr>
      <w:r>
        <w:t>SEC. 2614. RESEARCH ETHICS AND HUMAN-CONTROL BOUNDARY.</w:t>
      </w:r>
    </w:p>
    <w:p>
      <w:pPr>
        <w:pStyle w:val="LegClause"/>
      </w:pPr>
      <w:r>
        <w:rPr>
          <w:b/>
        </w:rPr>
        <w:t xml:space="preserve">(a)  </w:t>
      </w:r>
      <w:r>
        <w:t>High-consequence federally funded AI, biological, neurotechnology, or autonomous-systems research shall identify the lawfully responsible human decision-maker for experiment authorization, safety shutdown, and deployment.</w:t>
      </w:r>
    </w:p>
    <w:p>
      <w:pPr>
        <w:pStyle w:val="LegClause"/>
      </w:pPr>
      <w:r>
        <w:rPr>
          <w:b/>
        </w:rPr>
        <w:t xml:space="preserve">(b)  </w:t>
      </w:r>
      <w:r>
        <w:t>No program may substitute an autonomous model output for required statutory notice, hearing, licensure, informed consent, or independent safety approval.</w:t>
      </w:r>
    </w:p>
    <w:p>
      <w:pPr>
        <w:pStyle w:val="LegClause"/>
      </w:pPr>
      <w:r>
        <w:rPr>
          <w:b/>
        </w:rPr>
        <w:t xml:space="preserve">(c)  </w:t>
      </w:r>
      <w:r>
        <w:t>Safety review records shall be preserved for independent review and shall include the rationale for residual risk acceptance.</w:t>
      </w:r>
    </w:p>
    <w:p>
      <w:pPr>
        <w:pStyle w:val="LegTitle"/>
      </w:pPr>
      <w:r>
        <w:t>TITLE XXVII — REGIONAL SCIENCE CAPACITY, SMALL BUSINESS, AND LOCAL INFRASTRUCTURE</w:t>
      </w:r>
    </w:p>
    <w:p>
      <w:pPr>
        <w:pStyle w:val="LegSection"/>
      </w:pPr>
      <w:r>
        <w:t>SEC. 2701. SPACE INNOVATION CORRIDORS.</w:t>
      </w:r>
    </w:p>
    <w:p>
      <w:pPr>
        <w:pStyle w:val="LegClause"/>
      </w:pPr>
      <w:r>
        <w:rPr>
          <w:b/>
        </w:rPr>
        <w:t xml:space="preserve">(a)  </w:t>
      </w:r>
      <w:r>
        <w:t>Commerce, NSF, NASA, DOE, and DoD may designate regional corridors linking laboratories, universities, community colleges, manufacturers, test sites, launch sites, and local governments.</w:t>
      </w:r>
    </w:p>
    <w:p>
      <w:pPr>
        <w:pStyle w:val="LegClause"/>
      </w:pPr>
      <w:r>
        <w:rPr>
          <w:b/>
        </w:rPr>
        <w:t xml:space="preserve">(b)  </w:t>
      </w:r>
      <w:r>
        <w:t>Selection shall be based on capability, workforce, infrastructure, housing, partnership, geographic resilience, and technical opportunity rather than partisan allocation.</w:t>
      </w:r>
    </w:p>
    <w:p>
      <w:pPr>
        <w:pStyle w:val="LegClause"/>
      </w:pPr>
      <w:r>
        <w:rPr>
          <w:b/>
        </w:rPr>
        <w:t xml:space="preserve">(c)  </w:t>
      </w:r>
      <w:r>
        <w:t>Corridor proposals shall demonstrate scientific uniqueness or complementary capacity and shall not be funded merely to distribute awards uniformly by geography.</w:t>
      </w:r>
    </w:p>
    <w:p>
      <w:pPr>
        <w:pStyle w:val="LegSection"/>
      </w:pPr>
      <w:r>
        <w:t>SEC. 2702. REGIONAL LABORATORY GRANTS.</w:t>
      </w:r>
    </w:p>
    <w:p>
      <w:pPr>
        <w:pStyle w:val="LegClause"/>
      </w:pPr>
      <w:r>
        <w:rPr>
          <w:b/>
        </w:rPr>
        <w:t xml:space="preserve">(a)  </w:t>
      </w:r>
      <w:r>
        <w:t>Competitive grants may establish shared laboratories, clean rooms, fabrication, compute, test, and training capacity in regions lacking access to major scientific infrastructure.</w:t>
      </w:r>
    </w:p>
    <w:p>
      <w:pPr>
        <w:pStyle w:val="LegSection"/>
      </w:pPr>
      <w:r>
        <w:t>SEC. 2703. SMALL AND NONTRADITIONAL PERFORMERS.</w:t>
      </w:r>
    </w:p>
    <w:p>
      <w:pPr>
        <w:pStyle w:val="LegClause"/>
      </w:pPr>
      <w:r>
        <w:rPr>
          <w:b/>
        </w:rPr>
        <w:t xml:space="preserve">(a)  </w:t>
      </w:r>
      <w:r>
        <w:t>Agencies shall maintain simplified application, payment, IP, and reporting pathways for small businesses, startups, nonprofit laboratories, individual researchers, and first-time Federal performers.</w:t>
      </w:r>
    </w:p>
    <w:p>
      <w:pPr>
        <w:pStyle w:val="LegSection"/>
      </w:pPr>
      <w:r>
        <w:t>SEC. 2704. WORKING-CAPITAL PROTECTION.</w:t>
      </w:r>
    </w:p>
    <w:p>
      <w:pPr>
        <w:pStyle w:val="LegClause"/>
      </w:pPr>
      <w:r>
        <w:rPr>
          <w:b/>
        </w:rPr>
        <w:t xml:space="preserve">(a)  </w:t>
      </w:r>
      <w:r>
        <w:t>Payment terms shall not require small performers to finance unreasonable Federal working-capital needs.</w:t>
      </w:r>
    </w:p>
    <w:p>
      <w:pPr>
        <w:pStyle w:val="LegClause"/>
      </w:pPr>
      <w:r>
        <w:rPr>
          <w:b/>
        </w:rPr>
        <w:t xml:space="preserve">(b)  </w:t>
      </w:r>
      <w:r>
        <w:t>Advance or milestone payments may be used when risk controls are adequate.</w:t>
      </w:r>
    </w:p>
    <w:p>
      <w:pPr>
        <w:pStyle w:val="LegSection"/>
      </w:pPr>
      <w:r>
        <w:t>SEC. 2705. LOCAL HOUSING AND ANTI-DISPLACEMENT.</w:t>
      </w:r>
    </w:p>
    <w:p>
      <w:pPr>
        <w:pStyle w:val="LegClause"/>
      </w:pPr>
      <w:r>
        <w:rPr>
          <w:b/>
        </w:rPr>
        <w:t xml:space="preserve">(a)  </w:t>
      </w:r>
      <w:r>
        <w:t>Major research-campus expansions shall assess foreseeable housing pressure and may finance workforce housing, transit, utilities, or local infrastructure needed to prevent mission-threatening displacement.</w:t>
      </w:r>
    </w:p>
    <w:p>
      <w:pPr>
        <w:pStyle w:val="LegClause"/>
      </w:pPr>
      <w:r>
        <w:rPr>
          <w:b/>
        </w:rPr>
        <w:t xml:space="preserve">(b)  </w:t>
      </w:r>
      <w:r>
        <w:t>Local support shall not be conditioned on exclusionary housing or discriminatory land-use practices.</w:t>
      </w:r>
    </w:p>
    <w:p>
      <w:pPr>
        <w:pStyle w:val="LegSection"/>
      </w:pPr>
      <w:r>
        <w:t>SEC. 2706. RURAL AND REMOTE SCIENCE.</w:t>
      </w:r>
    </w:p>
    <w:p>
      <w:pPr>
        <w:pStyle w:val="LegClause"/>
      </w:pPr>
      <w:r>
        <w:rPr>
          <w:b/>
        </w:rPr>
        <w:t xml:space="preserve">(a)  </w:t>
      </w:r>
      <w:r>
        <w:t>Programs shall support observatories, ranges, field stations, launch sites, environmental monitoring, geology, agriculture, and other science that depends on rural or remote geography.</w:t>
      </w:r>
    </w:p>
    <w:p>
      <w:pPr>
        <w:pStyle w:val="LegSection"/>
      </w:pPr>
      <w:r>
        <w:t>SEC. 2707. TERRITORIES AND TRIBAL PARTNERSHIPS.</w:t>
      </w:r>
    </w:p>
    <w:p>
      <w:pPr>
        <w:pStyle w:val="LegClause"/>
      </w:pPr>
      <w:r>
        <w:rPr>
          <w:b/>
        </w:rPr>
        <w:t xml:space="preserve">(a)  </w:t>
      </w:r>
      <w:r>
        <w:t>Territories and tribal governments may participate in research infrastructure, education, environmental science, astronomy, ocean science, and workforce programs on terms respecting sovereignty and local law.</w:t>
      </w:r>
    </w:p>
    <w:p>
      <w:pPr>
        <w:pStyle w:val="LegSection"/>
      </w:pPr>
      <w:r>
        <w:t>SEC. 2708. REGIONAL RESILIENCE.</w:t>
      </w:r>
    </w:p>
    <w:p>
      <w:pPr>
        <w:pStyle w:val="LegClause"/>
      </w:pPr>
      <w:r>
        <w:rPr>
          <w:b/>
        </w:rPr>
        <w:t xml:space="preserve">(a)  </w:t>
      </w:r>
      <w:r>
        <w:t>The Network shall avoid excessive concentration of irreplaceable scientific capability in a single geographic hazard zone, power grid, supply chain, or communications system.</w:t>
      </w:r>
    </w:p>
    <w:p>
      <w:pPr>
        <w:pStyle w:val="LegSection"/>
      </w:pPr>
      <w:r>
        <w:t>SEC. 2709. LOCAL SUPPLIER DEVELOPMENT.</w:t>
      </w:r>
    </w:p>
    <w:p>
      <w:pPr>
        <w:pStyle w:val="LegClause"/>
      </w:pPr>
      <w:r>
        <w:rPr>
          <w:b/>
        </w:rPr>
        <w:t xml:space="preserve">(a)  </w:t>
      </w:r>
      <w:r>
        <w:t>Major facilities may support training, quality systems, metrology, and supplier development that enable local firms to compete on technical merit for scientific work.</w:t>
      </w:r>
    </w:p>
    <w:p>
      <w:pPr>
        <w:pStyle w:val="LegSection"/>
      </w:pPr>
      <w:r>
        <w:t>SEC. 2710. COMMUNITY BENEFIT TRANSPARENCY.</w:t>
      </w:r>
    </w:p>
    <w:p>
      <w:pPr>
        <w:pStyle w:val="LegClause"/>
      </w:pPr>
      <w:r>
        <w:rPr>
          <w:b/>
        </w:rPr>
        <w:t xml:space="preserve">(a)  </w:t>
      </w:r>
      <w:r>
        <w:t>For projects above $1,000,000,000, agencies shall publish expected local infrastructure, employment, environmental, housing, and service impacts and the Federal mitigation plan.</w:t>
      </w:r>
    </w:p>
    <w:p>
      <w:pPr>
        <w:pStyle w:val="LegSection"/>
      </w:pPr>
      <w:r>
        <w:t>SEC. 2711. FACILITY HOST-COMMUNITY AGREEMENTS.</w:t>
      </w:r>
    </w:p>
    <w:p>
      <w:pPr>
        <w:pStyle w:val="LegClause"/>
      </w:pPr>
      <w:r>
        <w:rPr>
          <w:b/>
        </w:rPr>
        <w:t xml:space="preserve">(a)  </w:t>
      </w:r>
      <w:r>
        <w:t>Before a large research-campus project moves beyond preliminary design, the sponsoring agency shall identify local water, utility, transportation, housing, emergency-service, and land-use burdens.</w:t>
      </w:r>
    </w:p>
    <w:p>
      <w:pPr>
        <w:pStyle w:val="LegClause"/>
      </w:pPr>
      <w:r>
        <w:rPr>
          <w:b/>
        </w:rPr>
        <w:t xml:space="preserve">(b)  </w:t>
      </w:r>
      <w:r>
        <w:t>The agency may negotiate legally authorized cost-sharing and impact mitigation, with publicly available terms and protections against personal or political favoritism.</w:t>
      </w:r>
    </w:p>
    <w:p>
      <w:pPr>
        <w:pStyle w:val="LegClause"/>
      </w:pPr>
      <w:r>
        <w:rPr>
          <w:b/>
        </w:rPr>
        <w:t xml:space="preserve">(c)  </w:t>
      </w:r>
      <w:r>
        <w:t>State, tribal, territorial, and local agreements shall respect sovereignty and existing environmental, labor, and nondiscrimination law.</w:t>
      </w:r>
    </w:p>
    <w:p>
      <w:pPr>
        <w:pStyle w:val="LegTitle"/>
      </w:pPr>
      <w:r>
        <w:t>TITLE XXVIII — INTERNATIONAL SPACE COMPACT AND GLOBAL ADOPTION</w:t>
      </w:r>
    </w:p>
    <w:p>
      <w:pPr>
        <w:pStyle w:val="LegSection"/>
      </w:pPr>
      <w:r>
        <w:t>SEC. 2801. POLICY.</w:t>
      </w:r>
    </w:p>
    <w:p>
      <w:pPr>
        <w:pStyle w:val="LegClause"/>
      </w:pPr>
      <w:r>
        <w:rPr>
          <w:b/>
        </w:rPr>
        <w:t xml:space="preserve">(a)  </w:t>
      </w:r>
      <w:r>
        <w:t>The United States should promote peaceful, open, rights-respecting international scientific institutions capable of financing and operating major research across generations.</w:t>
      </w:r>
    </w:p>
    <w:p>
      <w:pPr>
        <w:pStyle w:val="LegClause"/>
      </w:pPr>
      <w:r>
        <w:rPr>
          <w:b/>
        </w:rPr>
        <w:t xml:space="preserve">(b)  </w:t>
      </w:r>
      <w:r>
        <w:t>No international body created or supported under this Act receives U.S. legislative, taxing, military, police, or judicial power absent treaty and implementing law.</w:t>
      </w:r>
    </w:p>
    <w:p>
      <w:pPr>
        <w:pStyle w:val="LegSection"/>
      </w:pPr>
      <w:r>
        <w:t>SEC. 2802. NEGOTIATION AUTHORITY.</w:t>
      </w:r>
    </w:p>
    <w:p>
      <w:pPr>
        <w:pStyle w:val="LegClause"/>
      </w:pPr>
      <w:r>
        <w:rPr>
          <w:b/>
        </w:rPr>
        <w:t xml:space="preserve">(a)  </w:t>
      </w:r>
      <w:r>
        <w:t>The President is authorized to negotiate an International SPACE Convention substantially consistent with Annex A.</w:t>
      </w:r>
    </w:p>
    <w:p>
      <w:pPr>
        <w:pStyle w:val="LegClause"/>
      </w:pPr>
      <w:r>
        <w:rPr>
          <w:b/>
        </w:rPr>
        <w:t xml:space="preserve">(b)  </w:t>
      </w:r>
      <w:r>
        <w:t>Any agreement requiring Senate advice and consent or implementing legislation shall follow the Constitution and applicable law.</w:t>
      </w:r>
    </w:p>
    <w:p>
      <w:pPr>
        <w:pStyle w:val="LegSection"/>
      </w:pPr>
      <w:r>
        <w:t>SEC. 2803. COMMON AND OPTIONAL PROGRAMS.</w:t>
      </w:r>
    </w:p>
    <w:p>
      <w:pPr>
        <w:pStyle w:val="LegClause"/>
      </w:pPr>
      <w:r>
        <w:rPr>
          <w:b/>
        </w:rPr>
        <w:t xml:space="preserve">(a)  </w:t>
      </w:r>
      <w:r>
        <w:t>The proposed Convention should use mandatory contributions for common scientific infrastructure and governance, based primarily on gross national income or a comparable capacity measure.</w:t>
      </w:r>
    </w:p>
    <w:p>
      <w:pPr>
        <w:pStyle w:val="LegClause"/>
      </w:pPr>
      <w:r>
        <w:rPr>
          <w:b/>
        </w:rPr>
        <w:t xml:space="preserve">(b)  </w:t>
      </w:r>
      <w:r>
        <w:t>Optional programs should permit states to subscribe to additional missions and facilities without forcing universal participation.</w:t>
      </w:r>
    </w:p>
    <w:p>
      <w:pPr>
        <w:pStyle w:val="LegSection"/>
      </w:pPr>
      <w:r>
        <w:t>SEC. 2804. INTERNATIONAL SCIENTIFIC GOVERNANCE.</w:t>
      </w:r>
    </w:p>
    <w:p>
      <w:pPr>
        <w:pStyle w:val="LegClause"/>
      </w:pPr>
      <w:r>
        <w:rPr>
          <w:b/>
        </w:rPr>
        <w:t xml:space="preserve">(a)  </w:t>
      </w:r>
      <w:r>
        <w:t>The Convention should include an Assembly of States, independent Scientific Council, Finance and Audit Committee, Executive Directorate, ethics and safety body, and independent external auditor.</w:t>
      </w:r>
    </w:p>
    <w:p>
      <w:pPr>
        <w:pStyle w:val="LegClause"/>
      </w:pPr>
      <w:r>
        <w:rPr>
          <w:b/>
        </w:rPr>
        <w:t xml:space="preserve">(b)  </w:t>
      </w:r>
      <w:r>
        <w:t>Scientific members should be selected for expertise without geographic quotas as the controlling criterion.</w:t>
      </w:r>
    </w:p>
    <w:p>
      <w:pPr>
        <w:pStyle w:val="LegSection"/>
      </w:pPr>
      <w:r>
        <w:t>SEC. 2805. GLOBAL RESEARCH MOBILITY.</w:t>
      </w:r>
    </w:p>
    <w:p>
      <w:pPr>
        <w:pStyle w:val="LegClause"/>
      </w:pPr>
      <w:r>
        <w:rPr>
          <w:b/>
        </w:rPr>
        <w:t xml:space="preserve">(a)  </w:t>
      </w:r>
      <w:r>
        <w:t>The United States shall seek reciprocal scientific visas, credential recognition, visiting-scientist status, and family mobility for participating states.</w:t>
      </w:r>
    </w:p>
    <w:p>
      <w:pPr>
        <w:pStyle w:val="LegSection"/>
      </w:pPr>
      <w:r>
        <w:t>SEC. 2806. SHARED MEGAPROJECT PROTOCOL.</w:t>
      </w:r>
    </w:p>
    <w:p>
      <w:pPr>
        <w:pStyle w:val="LegClause"/>
      </w:pPr>
      <w:r>
        <w:rPr>
          <w:b/>
        </w:rPr>
        <w:t xml:space="preserve">(a)  </w:t>
      </w:r>
      <w:r>
        <w:t>Every international megaproject shall have a charter specifying mission, contributions, host obligations, procurement, cost and schedule control, data, IP, security, safety, environmental duties, decommissioning, dispute resolution, and withdrawal.</w:t>
      </w:r>
    </w:p>
    <w:p>
      <w:pPr>
        <w:pStyle w:val="LegSection"/>
      </w:pPr>
      <w:r>
        <w:t>SEC. 2807. OPEN SCIENCE AND SECURITY.</w:t>
      </w:r>
    </w:p>
    <w:p>
      <w:pPr>
        <w:pStyle w:val="LegClause"/>
      </w:pPr>
      <w:r>
        <w:rPr>
          <w:b/>
        </w:rPr>
        <w:t xml:space="preserve">(a)  </w:t>
      </w:r>
      <w:r>
        <w:t>Peaceful fundamental research should be presumptively publishable while classified, export-controlled, sanctions-restricted, personal, and legitimately proprietary information remains protected.</w:t>
      </w:r>
    </w:p>
    <w:p>
      <w:pPr>
        <w:pStyle w:val="LegSection"/>
      </w:pPr>
      <w:r>
        <w:t>SEC. 2808. NO MANDATORY GEOGRAPHIC RETURN.</w:t>
      </w:r>
    </w:p>
    <w:p>
      <w:pPr>
        <w:pStyle w:val="LegClause"/>
      </w:pPr>
      <w:r>
        <w:rPr>
          <w:b/>
        </w:rPr>
        <w:t xml:space="preserve">(a)  </w:t>
      </w:r>
      <w:r>
        <w:t>The United States position shall be that technical merit, resilience, competition, total lifecycle cost, and capacity building should ordinarily take priority over guaranteed industrial return by nationality.</w:t>
      </w:r>
    </w:p>
    <w:p>
      <w:pPr>
        <w:pStyle w:val="LegSection"/>
      </w:pPr>
      <w:r>
        <w:t>SEC. 2809. CAPACITY BUILDING FOR LOWER-RESOURCE MEMBERS.</w:t>
      </w:r>
    </w:p>
    <w:p>
      <w:pPr>
        <w:pStyle w:val="LegClause"/>
      </w:pPr>
      <w:r>
        <w:rPr>
          <w:b/>
        </w:rPr>
        <w:t xml:space="preserve">(a)  </w:t>
      </w:r>
      <w:r>
        <w:t>The Convention may establish training, facility access, instrumentation, data, and regional-center programs enabling lower-resource member states to build durable scientific capacity.</w:t>
      </w:r>
    </w:p>
    <w:p>
      <w:pPr>
        <w:pStyle w:val="LegSection"/>
      </w:pPr>
      <w:r>
        <w:t>SEC. 2810. PEACEFUL INTERNATIONAL FACILITIES.</w:t>
      </w:r>
    </w:p>
    <w:p>
      <w:pPr>
        <w:pStyle w:val="LegClause"/>
      </w:pPr>
      <w:r>
        <w:rPr>
          <w:b/>
        </w:rPr>
        <w:t xml:space="preserve">(a)  </w:t>
      </w:r>
      <w:r>
        <w:t>International civilian facilities funded under the Convention shall be used for peaceful purposes and shall not become a mechanism for transferring classified weapons technology.</w:t>
      </w:r>
    </w:p>
    <w:p>
      <w:pPr>
        <w:pStyle w:val="LegSection"/>
      </w:pPr>
      <w:r>
        <w:t>SEC. 2811. GLOBAL SCIENTIFIC COMMONS.</w:t>
      </w:r>
    </w:p>
    <w:p>
      <w:pPr>
        <w:pStyle w:val="LegClause"/>
      </w:pPr>
      <w:r>
        <w:rPr>
          <w:b/>
        </w:rPr>
        <w:t xml:space="preserve">(a)  </w:t>
      </w:r>
      <w:r>
        <w:t>The Convention may operate shared scientific data, reference materials, standards, archives, Earth and space observations, hazard warning, and open research tools as global commons.</w:t>
      </w:r>
    </w:p>
    <w:p>
      <w:pPr>
        <w:pStyle w:val="LegSection"/>
      </w:pPr>
      <w:r>
        <w:t>SEC. 2812. HOST-STATE AGREEMENTS.</w:t>
      </w:r>
    </w:p>
    <w:p>
      <w:pPr>
        <w:pStyle w:val="LegClause"/>
      </w:pPr>
      <w:r>
        <w:rPr>
          <w:b/>
        </w:rPr>
        <w:t xml:space="preserve">(a)  </w:t>
      </w:r>
      <w:r>
        <w:t>International facilities shall have host agreements addressing land, privileges, taxation, labor, emergency services, environmental duties, liability, security, and local infrastructure.</w:t>
      </w:r>
    </w:p>
    <w:p>
      <w:pPr>
        <w:pStyle w:val="LegSection"/>
      </w:pPr>
      <w:r>
        <w:t>SEC. 2813. WITHDRAWAL AND CONTINUITY.</w:t>
      </w:r>
    </w:p>
    <w:p>
      <w:pPr>
        <w:pStyle w:val="LegClause"/>
      </w:pPr>
      <w:r>
        <w:rPr>
          <w:b/>
        </w:rPr>
        <w:t xml:space="preserve">(a)  </w:t>
      </w:r>
      <w:r>
        <w:t>A state withdrawing from a common facility shall remain responsible for already committed obligations, decommissioning shares, worker protections, and data-preservation duties defined by agreement.</w:t>
      </w:r>
    </w:p>
    <w:p>
      <w:pPr>
        <w:pStyle w:val="LegSection"/>
      </w:pPr>
      <w:r>
        <w:t>SEC. 2814. DISPUTE RESOLUTION.</w:t>
      </w:r>
    </w:p>
    <w:p>
      <w:pPr>
        <w:pStyle w:val="LegClause"/>
      </w:pPr>
      <w:r>
        <w:rPr>
          <w:b/>
        </w:rPr>
        <w:t xml:space="preserve">(a)  </w:t>
      </w:r>
      <w:r>
        <w:t>International disputes should proceed through negotiation, mediation, and agreed arbitration before project termination, without overriding any mandatory jurisdiction accepted by a party.</w:t>
      </w:r>
    </w:p>
    <w:p>
      <w:pPr>
        <w:pStyle w:val="LegSection"/>
      </w:pPr>
      <w:r>
        <w:t>SEC. 2815. PERIODIC GLOBAL REVIEW.</w:t>
      </w:r>
    </w:p>
    <w:p>
      <w:pPr>
        <w:pStyle w:val="LegClause"/>
      </w:pPr>
      <w:r>
        <w:rPr>
          <w:b/>
        </w:rPr>
        <w:t xml:space="preserve">(a)  </w:t>
      </w:r>
      <w:r>
        <w:t>The proposed Convention should convene a comprehensive review conference at least every ten years and a long-horizon stewardship review every 25 years.</w:t>
      </w:r>
    </w:p>
    <w:p>
      <w:pPr>
        <w:pStyle w:val="LegSection"/>
      </w:pPr>
      <w:r>
        <w:t>SEC. 2816. INTERNATIONAL SCIENTIFIC COMMITMENTS REGISTER.</w:t>
      </w:r>
    </w:p>
    <w:p>
      <w:pPr>
        <w:pStyle w:val="LegClause"/>
      </w:pPr>
      <w:r>
        <w:rPr>
          <w:b/>
        </w:rPr>
        <w:t xml:space="preserve">(a)  </w:t>
      </w:r>
      <w:r>
        <w:t>The Department of State shall maintain a register of international science commitments supported by this Act, including governing instrument, parties, lifecycle costs, withdrawal terms, export controls, safety obligations, and host-government liability.</w:t>
      </w:r>
    </w:p>
    <w:p>
      <w:pPr>
        <w:pStyle w:val="LegClause"/>
      </w:pPr>
      <w:r>
        <w:rPr>
          <w:b/>
        </w:rPr>
        <w:t xml:space="preserve">(b)  </w:t>
      </w:r>
      <w:r>
        <w:t>No international pledge may obligate future U.S. funds beyond legally available authority or create a treaty commitment through an informal memorandum when the Constitution requires another process.</w:t>
      </w:r>
    </w:p>
    <w:p>
      <w:pPr>
        <w:pStyle w:val="LegClause"/>
      </w:pPr>
      <w:r>
        <w:rPr>
          <w:b/>
        </w:rPr>
        <w:t xml:space="preserve">(c)  </w:t>
      </w:r>
      <w:r>
        <w:t>The register shall have a public version and classified annex where necessary.</w:t>
      </w:r>
    </w:p>
    <w:p>
      <w:pPr>
        <w:pStyle w:val="LegTitle"/>
      </w:pPr>
      <w:r>
        <w:t>TITLE XXIX — OVERSIGHT, AUDIT, PERFORMANCE, TRANSPARENCY, AND ANTI-CAPTURE</w:t>
      </w:r>
    </w:p>
    <w:p>
      <w:pPr>
        <w:pStyle w:val="LegSection"/>
      </w:pPr>
      <w:r>
        <w:t>SEC. 2901. PORTFOLIO-LEVEL PERFORMANCE.</w:t>
      </w:r>
    </w:p>
    <w:p>
      <w:pPr>
        <w:pStyle w:val="LegClause"/>
      </w:pPr>
      <w:r>
        <w:rPr>
          <w:b/>
        </w:rPr>
        <w:t xml:space="preserve">(a)  </w:t>
      </w:r>
      <w:r>
        <w:t>Portfolios shall be evaluated using scientific learning, technical capability, transition, reliability, cost, schedule, workforce, publication, reproducibility, data quality, mission impact, and safety.</w:t>
      </w:r>
    </w:p>
    <w:p>
      <w:pPr>
        <w:pStyle w:val="LegClause"/>
      </w:pPr>
      <w:r>
        <w:rPr>
          <w:b/>
        </w:rPr>
        <w:t xml:space="preserve">(b)  </w:t>
      </w:r>
      <w:r>
        <w:t>Publication count, patent count, or near-term revenue shall not be the dominant performance metric for frontier research.</w:t>
      </w:r>
    </w:p>
    <w:p>
      <w:pPr>
        <w:pStyle w:val="LegSection"/>
      </w:pPr>
      <w:r>
        <w:t>SEC. 2902. STAGE-GATE REVIEW OF MAJOR PROJECTS.</w:t>
      </w:r>
    </w:p>
    <w:p>
      <w:pPr>
        <w:pStyle w:val="LegClause"/>
      </w:pPr>
      <w:r>
        <w:rPr>
          <w:b/>
        </w:rPr>
        <w:t xml:space="preserve">(a)  </w:t>
      </w:r>
      <w:r>
        <w:t>Major projects shall pass independent concept, preliminary design, critical design, integration, operational-readiness, and lifecycle reviews appropriate to project type.</w:t>
      </w:r>
    </w:p>
    <w:p>
      <w:pPr>
        <w:pStyle w:val="LegClause"/>
      </w:pPr>
      <w:r>
        <w:rPr>
          <w:b/>
        </w:rPr>
        <w:t xml:space="preserve">(b)  </w:t>
      </w:r>
      <w:r>
        <w:t>A review may recommend continuation, restructuring, competition, descope, pause, or termination.</w:t>
      </w:r>
    </w:p>
    <w:p>
      <w:pPr>
        <w:pStyle w:val="LegSection"/>
      </w:pPr>
      <w:r>
        <w:t>SEC. 2903. COST-ESTIMATING INDEPENDENCE.</w:t>
      </w:r>
    </w:p>
    <w:p>
      <w:pPr>
        <w:pStyle w:val="LegClause"/>
      </w:pPr>
      <w:r>
        <w:rPr>
          <w:b/>
        </w:rPr>
        <w:t xml:space="preserve">(a)  </w:t>
      </w:r>
      <w:r>
        <w:t>Major-project cost estimates shall include independent estimates and quantified schedule and technical risk.</w:t>
      </w:r>
    </w:p>
    <w:p>
      <w:pPr>
        <w:pStyle w:val="LegClause"/>
      </w:pPr>
      <w:r>
        <w:rPr>
          <w:b/>
        </w:rPr>
        <w:t xml:space="preserve">(b)  </w:t>
      </w:r>
      <w:r>
        <w:t>Agencies shall report confidence levels rather than presenting a single deterministic number as certainty.</w:t>
      </w:r>
    </w:p>
    <w:p>
      <w:pPr>
        <w:pStyle w:val="LegClause"/>
      </w:pPr>
      <w:r>
        <w:rPr>
          <w:b/>
        </w:rPr>
        <w:t xml:space="preserve">(c)  </w:t>
      </w:r>
      <w:r>
        <w:t>An independent estimate may use a validated parametric model, reference class, engineering work breakdown, or multiple methods; all assumptions and confidence levels shall be documented.</w:t>
      </w:r>
    </w:p>
    <w:p>
      <w:pPr>
        <w:pStyle w:val="LegSection"/>
      </w:pPr>
      <w:r>
        <w:t>SEC. 2904. INSPECTORS GENERAL.</w:t>
      </w:r>
    </w:p>
    <w:p>
      <w:pPr>
        <w:pStyle w:val="LegClause"/>
      </w:pPr>
      <w:r>
        <w:rPr>
          <w:b/>
        </w:rPr>
        <w:t xml:space="preserve">(a)  </w:t>
      </w:r>
      <w:r>
        <w:t>Nothing in this Act limits Inspector General authority.</w:t>
      </w:r>
    </w:p>
    <w:p>
      <w:pPr>
        <w:pStyle w:val="LegClause"/>
      </w:pPr>
      <w:r>
        <w:rPr>
          <w:b/>
        </w:rPr>
        <w:t xml:space="preserve">(b)  </w:t>
      </w:r>
      <w:r>
        <w:t>NASA OIG and DoD OIG may establish technical audit cadres in engineering, software, data, cost, and scientific integrity.</w:t>
      </w:r>
    </w:p>
    <w:p>
      <w:pPr>
        <w:pStyle w:val="LegClause"/>
      </w:pPr>
      <w:r>
        <w:rPr>
          <w:b/>
        </w:rPr>
        <w:t xml:space="preserve">(c)  </w:t>
      </w:r>
      <w:r>
        <w:t>Audits shall distinguish acceptable technical failure from fraud, negligence, unsafe practice, or poor controls.</w:t>
      </w:r>
    </w:p>
    <w:p>
      <w:pPr>
        <w:pStyle w:val="LegSection"/>
      </w:pPr>
      <w:r>
        <w:t>SEC. 2905. GAO REVIEW.</w:t>
      </w:r>
    </w:p>
    <w:p>
      <w:pPr>
        <w:pStyle w:val="LegClause"/>
      </w:pPr>
      <w:r>
        <w:rPr>
          <w:b/>
        </w:rPr>
        <w:t xml:space="preserve">(a)  </w:t>
      </w:r>
      <w:r>
        <w:t>GAO shall conduct biennial reviews of funding integrity, workforce, infrastructure, acquisition, autonomy, project performance, fiscal sustainability, and international obligations.</w:t>
      </w:r>
    </w:p>
    <w:p>
      <w:pPr>
        <w:pStyle w:val="LegSection"/>
      </w:pPr>
      <w:r>
        <w:t>SEC. 2906. PUBLIC SPACE DASHBOARD.</w:t>
      </w:r>
    </w:p>
    <w:p>
      <w:pPr>
        <w:pStyle w:val="LegClause"/>
      </w:pPr>
      <w:r>
        <w:rPr>
          <w:b/>
        </w:rPr>
        <w:t xml:space="preserve">(a)  </w:t>
      </w:r>
      <w:r>
        <w:t>OMB shall maintain a machine-readable public dashboard of appropriations, obligations, outlays, awards, major facilities, workforce, project status, schedule, lifecycle cost, research outputs, and transition metrics, subject to lawful exceptions.</w:t>
      </w:r>
    </w:p>
    <w:p>
      <w:pPr>
        <w:pStyle w:val="LegSection"/>
      </w:pPr>
      <w:r>
        <w:t>SEC. 2907. CONFLICT-OF-INTEREST AND REVOLVING-DOOR SAFEGUARDS.</w:t>
      </w:r>
    </w:p>
    <w:p>
      <w:pPr>
        <w:pStyle w:val="LegClause"/>
      </w:pPr>
      <w:r>
        <w:rPr>
          <w:b/>
        </w:rPr>
        <w:t xml:space="preserve">(a)  </w:t>
      </w:r>
      <w:r>
        <w:t>Senior Fund, acquisition, program, and investment officials shall disclose relevant financial interests and comply with recusal and cooling-off requirements.</w:t>
      </w:r>
    </w:p>
    <w:p>
      <w:pPr>
        <w:pStyle w:val="LegClause"/>
      </w:pPr>
      <w:r>
        <w:rPr>
          <w:b/>
        </w:rPr>
        <w:t xml:space="preserve">(b)  </w:t>
      </w:r>
      <w:r>
        <w:t>No award, investment, or facility decision may be made to provide personal financial benefit to a participating official.</w:t>
      </w:r>
    </w:p>
    <w:p>
      <w:pPr>
        <w:pStyle w:val="LegSection"/>
      </w:pPr>
      <w:r>
        <w:t>SEC. 2908. ANTI-CAPTURE REVIEW.</w:t>
      </w:r>
    </w:p>
    <w:p>
      <w:pPr>
        <w:pStyle w:val="LegClause"/>
      </w:pPr>
      <w:r>
        <w:rPr>
          <w:b/>
        </w:rPr>
        <w:t xml:space="preserve">(a)  </w:t>
      </w:r>
      <w:r>
        <w:t>Every five years an independent panel shall assess whether programs are overly dependent on particular contractors, institutions, regions, theories, or technical architectures.</w:t>
      </w:r>
    </w:p>
    <w:p>
      <w:pPr>
        <w:pStyle w:val="LegClause"/>
      </w:pPr>
      <w:r>
        <w:rPr>
          <w:b/>
        </w:rPr>
        <w:t xml:space="preserve">(b)  </w:t>
      </w:r>
      <w:r>
        <w:t>The review shall recommend competition, modularity, alternative suppliers, or internal capacity where concentration creates mission risk.</w:t>
      </w:r>
    </w:p>
    <w:p>
      <w:pPr>
        <w:pStyle w:val="LegSection"/>
      </w:pPr>
      <w:r>
        <w:t>SEC. 2909. TERMINATION DISCIPLINE.</w:t>
      </w:r>
    </w:p>
    <w:p>
      <w:pPr>
        <w:pStyle w:val="LegClause"/>
      </w:pPr>
      <w:r>
        <w:rPr>
          <w:b/>
        </w:rPr>
        <w:t xml:space="preserve">(a)  </w:t>
      </w:r>
      <w:r>
        <w:t>Programs that repeatedly fail milestones without a credible revised hypothesis shall be terminated or restructured.</w:t>
      </w:r>
    </w:p>
    <w:p>
      <w:pPr>
        <w:pStyle w:val="LegClause"/>
      </w:pPr>
      <w:r>
        <w:rPr>
          <w:b/>
        </w:rPr>
        <w:t xml:space="preserve">(b)  </w:t>
      </w:r>
      <w:r>
        <w:t>Termination shall preserve useful data, hardware, software, samples, and technical lessons.</w:t>
      </w:r>
    </w:p>
    <w:p>
      <w:pPr>
        <w:pStyle w:val="LegSection"/>
      </w:pPr>
      <w:r>
        <w:t>SEC. 2910. BENEFIT AND SPILLOVER EVALUATION.</w:t>
      </w:r>
    </w:p>
    <w:p>
      <w:pPr>
        <w:pStyle w:val="LegClause"/>
      </w:pPr>
      <w:r>
        <w:rPr>
          <w:b/>
        </w:rPr>
        <w:t xml:space="preserve">(a)  </w:t>
      </w:r>
      <w:r>
        <w:t>Every five years OSTP and an independent evaluator shall assess scientific knowledge, capabilities, workforce, productivity, standards, companies, public services, and mission outcomes associated with SPACE investments.</w:t>
      </w:r>
    </w:p>
    <w:p>
      <w:pPr>
        <w:pStyle w:val="LegClause"/>
      </w:pPr>
      <w:r>
        <w:rPr>
          <w:b/>
        </w:rPr>
        <w:t xml:space="preserve">(b)  </w:t>
      </w:r>
      <w:r>
        <w:t>The evaluation shall distinguish measured outcomes from modeled or speculative spillovers.</w:t>
      </w:r>
    </w:p>
    <w:p>
      <w:pPr>
        <w:pStyle w:val="LegSection"/>
      </w:pPr>
      <w:r>
        <w:t>SEC. 2911. CONGRESSIONAL REPORTING BURDEN REVIEW.</w:t>
      </w:r>
    </w:p>
    <w:p>
      <w:pPr>
        <w:pStyle w:val="LegClause"/>
      </w:pPr>
      <w:r>
        <w:rPr>
          <w:b/>
        </w:rPr>
        <w:t xml:space="preserve">(a)  </w:t>
      </w:r>
      <w:r>
        <w:t>Every five years GAO shall identify duplicative or low-value statutory reports and recommend consolidation without reducing substantive oversight.</w:t>
      </w:r>
    </w:p>
    <w:p>
      <w:pPr>
        <w:pStyle w:val="LegSection"/>
      </w:pPr>
      <w:r>
        <w:t>SEC. 2912. PUBLIC PERFORMANCE DASHBOARD AUDIT.</w:t>
      </w:r>
    </w:p>
    <w:p>
      <w:pPr>
        <w:pStyle w:val="LegClause"/>
      </w:pPr>
      <w:r>
        <w:rPr>
          <w:b/>
        </w:rPr>
        <w:t xml:space="preserve">(a)  </w:t>
      </w:r>
      <w:r>
        <w:t>The Comptroller General shall periodically verify dashboard source data, definitions, account crosswalks, project-cost baselines, milestone status, and reporting exclusions.</w:t>
      </w:r>
    </w:p>
    <w:p>
      <w:pPr>
        <w:pStyle w:val="LegClause"/>
      </w:pPr>
      <w:r>
        <w:rPr>
          <w:b/>
        </w:rPr>
        <w:t xml:space="preserve">(b)  </w:t>
      </w:r>
      <w:r>
        <w:t>Administrative staff shall be protected from pressure to falsify expenditure, schedule, safety, or scientific output data.</w:t>
      </w:r>
    </w:p>
    <w:p>
      <w:pPr>
        <w:pStyle w:val="LegClause"/>
      </w:pPr>
      <w:r>
        <w:rPr>
          <w:b/>
        </w:rPr>
        <w:t xml:space="preserve">(c)  </w:t>
      </w:r>
      <w:r>
        <w:t>Material corrections shall be dated, explained, and retained as part of the public record.</w:t>
      </w:r>
    </w:p>
    <w:p>
      <w:pPr>
        <w:pStyle w:val="LegTitle"/>
      </w:pPr>
      <w:r>
        <w:t>TITLE XXX — IMPLEMENTATION, ADAPTIVE GOVERNANCE, CONTINUITY, AND LONG-HORIZON PLANNING</w:t>
      </w:r>
    </w:p>
    <w:p>
      <w:pPr>
        <w:pStyle w:val="LegSection"/>
      </w:pPr>
      <w:r>
        <w:t>SEC. 3001. SPACE IMPLEMENTATION OFFICE.</w:t>
      </w:r>
    </w:p>
    <w:p>
      <w:pPr>
        <w:pStyle w:val="LegClause"/>
      </w:pPr>
      <w:r>
        <w:rPr>
          <w:b/>
        </w:rPr>
        <w:t xml:space="preserve">(a)  </w:t>
      </w:r>
      <w:r>
        <w:t>A temporary SPACE Implementation Office is established in the Executive Office of the President for ten years.</w:t>
      </w:r>
    </w:p>
    <w:p>
      <w:pPr>
        <w:pStyle w:val="LegClause"/>
      </w:pPr>
      <w:r>
        <w:rPr>
          <w:b/>
        </w:rPr>
        <w:t xml:space="preserve">(b)  </w:t>
      </w:r>
      <w:r>
        <w:t>The Office shall coordinate fiscal certification, personnel, infrastructure, data systems, procurement modernization, and international implementation.</w:t>
      </w:r>
    </w:p>
    <w:p>
      <w:pPr>
        <w:pStyle w:val="LegClause"/>
      </w:pPr>
      <w:r>
        <w:rPr>
          <w:b/>
        </w:rPr>
        <w:t xml:space="preserve">(c)  </w:t>
      </w:r>
      <w:r>
        <w:t>The Office shall not control individual scientific award decisions.</w:t>
      </w:r>
    </w:p>
    <w:p>
      <w:pPr>
        <w:pStyle w:val="LegSection"/>
      </w:pPr>
      <w:r>
        <w:t>SEC. 3002. FIRST 90 DAYS.</w:t>
      </w:r>
    </w:p>
    <w:p>
      <w:pPr>
        <w:pStyle w:val="LegClause"/>
      </w:pPr>
      <w:r>
        <w:rPr>
          <w:b/>
        </w:rPr>
        <w:t xml:space="preserve">(a)  </w:t>
      </w:r>
      <w:r>
        <w:t>Agencies shall initiate baseline certification, workforce inventories, infrastructure triage, Fund rulemaking, interim acquisition guidance, and establishment of the Implementation Office.</w:t>
      </w:r>
    </w:p>
    <w:p>
      <w:pPr>
        <w:pStyle w:val="LegSection"/>
      </w:pPr>
      <w:r>
        <w:t>SEC. 3003. FIRST YEAR INSTITUTIONAL BUILDOUT.</w:t>
      </w:r>
    </w:p>
    <w:p>
      <w:pPr>
        <w:pStyle w:val="LegClause"/>
      </w:pPr>
      <w:r>
        <w:rPr>
          <w:b/>
        </w:rPr>
        <w:t xml:space="preserve">(a)  </w:t>
      </w:r>
      <w:r>
        <w:t>Within 120 days after enactment, agencies shall complete account mapping, technical workforce inventories, infrastructure condition surveys, and preliminary 5-, 15-, and 30-year capital pipelines.</w:t>
      </w:r>
    </w:p>
    <w:p>
      <w:pPr>
        <w:pStyle w:val="LegClause"/>
      </w:pPr>
      <w:r>
        <w:rPr>
          <w:b/>
        </w:rPr>
        <w:t xml:space="preserve">(b)  </w:t>
      </w:r>
      <w:r>
        <w:t>Within one year, OPM shall issue personnel regulations; the Network shall open research and apprenticeship competitions; Treasury shall certify the annual account schedule; and the Infrastructure Authority shall publish a national facility capacity map.</w:t>
      </w:r>
    </w:p>
    <w:p>
      <w:pPr>
        <w:pStyle w:val="LegClause"/>
      </w:pPr>
      <w:r>
        <w:rPr>
          <w:b/>
        </w:rPr>
        <w:t xml:space="preserve">(c)  </w:t>
      </w:r>
      <w:r>
        <w:t>Every new program above $500,000,000 shall have an approved implementation charter identifying mission, legal authority, staffing, procurement, finance, technical risks, independent review, and termination criteria.</w:t>
      </w:r>
    </w:p>
    <w:p>
      <w:pPr>
        <w:pStyle w:val="LegSection"/>
      </w:pPr>
      <w:r>
        <w:t>SEC. 3004. FULL FUNDING AND EXECUTION FROM THE FIRST FISCAL YEAR.</w:t>
      </w:r>
    </w:p>
    <w:p>
      <w:pPr>
        <w:pStyle w:val="LegClause"/>
      </w:pPr>
      <w:r>
        <w:rPr>
          <w:b/>
        </w:rPr>
        <w:t xml:space="preserve">(a)  </w:t>
      </w:r>
      <w:r>
        <w:t>The annual funding schedule in section 3110 shall apply in full beginning with the first full fiscal year after the effective date of this Act; there is no statutory transition through lower funding multiples.</w:t>
      </w:r>
    </w:p>
    <w:p>
      <w:pPr>
        <w:pStyle w:val="LegClause"/>
      </w:pPr>
      <w:r>
        <w:rPr>
          <w:b/>
        </w:rPr>
        <w:t xml:space="preserve">(b)  </w:t>
      </w:r>
      <w:r>
        <w:t>Agencies may obligate multiple-year research, training, and capital funds according to appropriations availability and the readiness conditions of this Act. Current-year outlays will reflect actual procurement and construction schedules rather than the full amount of current-year budget authority.</w:t>
      </w:r>
    </w:p>
    <w:p>
      <w:pPr>
        <w:pStyle w:val="LegClause"/>
      </w:pPr>
      <w:r>
        <w:rPr>
          <w:b/>
        </w:rPr>
        <w:t xml:space="preserve">(c)  </w:t>
      </w:r>
      <w:r>
        <w:t>Within 24 months after the first full fiscal year, each agency shall report the effects of higher funding on recruiting, technical oversight, procurement lead time, scientific facility queues, instrument availability, and mission performance.</w:t>
      </w:r>
    </w:p>
    <w:p>
      <w:pPr>
        <w:pStyle w:val="LegSection"/>
      </w:pPr>
      <w:r>
        <w:t>SEC. 3005. YEARS TWO THROUGH TEN CAPABILITY DELIVERY.</w:t>
      </w:r>
    </w:p>
    <w:p>
      <w:pPr>
        <w:pStyle w:val="LegClause"/>
      </w:pPr>
      <w:r>
        <w:rPr>
          <w:b/>
        </w:rPr>
        <w:t xml:space="preserve">(a)  </w:t>
      </w:r>
      <w:r>
        <w:t>Years two through three shall prioritize recovery of mission-critical maintenance, staffing, shared scientific instruments, engineering and acquisition capacity, test facilities, and lawful research access.</w:t>
      </w:r>
    </w:p>
    <w:p>
      <w:pPr>
        <w:pStyle w:val="LegClause"/>
      </w:pPr>
      <w:r>
        <w:rPr>
          <w:b/>
        </w:rPr>
        <w:t xml:space="preserve">(b)  </w:t>
      </w:r>
      <w:r>
        <w:t>Years four through six shall prioritize advanced laboratories, new observatories and major instruments, large-scale compute and power systems, commercial transition facilities, science missions, and international common projects with verified designs.</w:t>
      </w:r>
    </w:p>
    <w:p>
      <w:pPr>
        <w:pStyle w:val="LegClause"/>
      </w:pPr>
      <w:r>
        <w:rPr>
          <w:b/>
        </w:rPr>
        <w:t xml:space="preserve">(c)  </w:t>
      </w:r>
      <w:r>
        <w:t>Years seven through ten shall prioritize sustainable operations, renewal of the first-generation facility portfolio, independent scientific validation, technology transitions, capital reserve reconciliation, and major capability assessments.</w:t>
      </w:r>
    </w:p>
    <w:p>
      <w:pPr>
        <w:pStyle w:val="LegClause"/>
      </w:pPr>
      <w:r>
        <w:rPr>
          <w:b/>
        </w:rPr>
        <w:t xml:space="preserve">(d)  </w:t>
      </w:r>
      <w:r>
        <w:t>Delivery milestones shall be technological and institutional, not arbitrary calendar deadlines requiring unsafe or unready construction.</w:t>
      </w:r>
    </w:p>
    <w:p>
      <w:pPr>
        <w:pStyle w:val="LegSection"/>
      </w:pPr>
      <w:r>
        <w:t>SEC. 3006. FIVE-YEAR ADAPTIVE REVIEW.</w:t>
      </w:r>
    </w:p>
    <w:p>
      <w:pPr>
        <w:pStyle w:val="LegClause"/>
      </w:pPr>
      <w:r>
        <w:rPr>
          <w:b/>
        </w:rPr>
        <w:t xml:space="preserve">(a)  </w:t>
      </w:r>
      <w:r>
        <w:t>Every five years the President shall transmit a SPACE Capacity Review covering scientific opportunity, threats, infrastructure, workforce, fiscal sustainability, institutional health, technology trends, and international conditions.</w:t>
      </w:r>
    </w:p>
    <w:p>
      <w:pPr>
        <w:pStyle w:val="LegClause"/>
      </w:pPr>
      <w:r>
        <w:rPr>
          <w:b/>
        </w:rPr>
        <w:t xml:space="preserve">(b)  </w:t>
      </w:r>
      <w:r>
        <w:t>Independent assessments from GAO, the Fund Board, and the Frontier Science Council shall accompany the review.</w:t>
      </w:r>
    </w:p>
    <w:p>
      <w:pPr>
        <w:pStyle w:val="LegSection"/>
      </w:pPr>
      <w:r>
        <w:t>SEC. 3007. TWENTY-FIVE AND FIFTY-YEAR PLANS.</w:t>
      </w:r>
    </w:p>
    <w:p>
      <w:pPr>
        <w:pStyle w:val="LegClause"/>
      </w:pPr>
      <w:r>
        <w:rPr>
          <w:b/>
        </w:rPr>
        <w:t xml:space="preserve">(a)  </w:t>
      </w:r>
      <w:r>
        <w:t>Covered institutions shall maintain detailed 25-year capability and infrastructure plans.</w:t>
      </w:r>
    </w:p>
    <w:p>
      <w:pPr>
        <w:pStyle w:val="LegClause"/>
      </w:pPr>
      <w:r>
        <w:rPr>
          <w:b/>
        </w:rPr>
        <w:t xml:space="preserve">(b)  </w:t>
      </w:r>
      <w:r>
        <w:t>The United States shall maintain a higher-level 50-year science, exploration, and resilience plan updated every ten years.</w:t>
      </w:r>
    </w:p>
    <w:p>
      <w:pPr>
        <w:pStyle w:val="LegSection"/>
      </w:pPr>
      <w:r>
        <w:t>SEC. 3008. ONE-HUNDRED-YEAR SCENARIOS.</w:t>
      </w:r>
    </w:p>
    <w:p>
      <w:pPr>
        <w:pStyle w:val="LegClause"/>
      </w:pPr>
      <w:r>
        <w:rPr>
          <w:b/>
        </w:rPr>
        <w:t xml:space="preserve">(a)  </w:t>
      </w:r>
      <w:r>
        <w:t>Every 20 years an independent body shall conduct 100-year scenarios addressing scientific possibility, institutional continuity, catastrophic risk, ethics, workforce, archives, and capital needs.</w:t>
      </w:r>
    </w:p>
    <w:p>
      <w:pPr>
        <w:pStyle w:val="LegSection"/>
      </w:pPr>
      <w:r>
        <w:t>SEC. 3009. FIVE-HUNDRED-YEAR STEWARDSHIP STATEMENT.</w:t>
      </w:r>
    </w:p>
    <w:p>
      <w:pPr>
        <w:pStyle w:val="LegClause"/>
      </w:pPr>
      <w:r>
        <w:rPr>
          <w:b/>
        </w:rPr>
        <w:t xml:space="preserve">(a)  </w:t>
      </w:r>
      <w:r>
        <w:t>Every 25 years Congress shall receive a nonbinding 500-year stewardship statement assessing whether current fiscal, archival, educational, environmental, infrastructure, and governance choices preserve options for distant generations.</w:t>
      </w:r>
    </w:p>
    <w:p>
      <w:pPr>
        <w:pStyle w:val="LegClause"/>
      </w:pPr>
      <w:r>
        <w:rPr>
          <w:b/>
        </w:rPr>
        <w:t xml:space="preserve">(b)  </w:t>
      </w:r>
      <w:r>
        <w:t>The statement shall include multiple scenarios and shall not claim predictive certainty.</w:t>
      </w:r>
    </w:p>
    <w:p>
      <w:pPr>
        <w:pStyle w:val="LegClause"/>
      </w:pPr>
      <w:r>
        <w:rPr>
          <w:b/>
        </w:rPr>
        <w:t xml:space="preserve">(c)  </w:t>
      </w:r>
      <w:r>
        <w:t>The 500-year statement shall be accompanied by a candid explanation of which decisions can presently be verified and which are speculative; it may not be used to claim fiscal certainty across five centuries.</w:t>
      </w:r>
    </w:p>
    <w:p>
      <w:pPr>
        <w:pStyle w:val="LegSection"/>
      </w:pPr>
      <w:r>
        <w:t>SEC. 3010. CONTINUITY EXERCISES.</w:t>
      </w:r>
    </w:p>
    <w:p>
      <w:pPr>
        <w:pStyle w:val="LegClause"/>
      </w:pPr>
      <w:r>
        <w:rPr>
          <w:b/>
        </w:rPr>
        <w:t xml:space="preserve">(a)  </w:t>
      </w:r>
      <w:r>
        <w:t>At least every five years covered institutions shall test continuity under scenarios including cyberattack, pandemic, natural disaster, supply disruption, power loss, war, launch-site closure, financial-market disruption, and workforce interruption.</w:t>
      </w:r>
    </w:p>
    <w:p>
      <w:pPr>
        <w:pStyle w:val="LegClause"/>
      </w:pPr>
      <w:r>
        <w:rPr>
          <w:b/>
        </w:rPr>
        <w:t xml:space="preserve">(b)  </w:t>
      </w:r>
      <w:r>
        <w:t>Exercises shall address experiments, biological repositories, scientific data, spacecraft command, observatories, and long-duration assets.</w:t>
      </w:r>
    </w:p>
    <w:p>
      <w:pPr>
        <w:pStyle w:val="LegSection"/>
      </w:pPr>
      <w:r>
        <w:t>SEC. 3011. KNOWLEDGE SUCCESSION.</w:t>
      </w:r>
    </w:p>
    <w:p>
      <w:pPr>
        <w:pStyle w:val="LegClause"/>
      </w:pPr>
      <w:r>
        <w:rPr>
          <w:b/>
        </w:rPr>
        <w:t xml:space="preserve">(a)  </w:t>
      </w:r>
      <w:r>
        <w:t>Programs expected to last longer than ten years shall maintain succession plans for key technical knowledge and decision rationale.</w:t>
      </w:r>
    </w:p>
    <w:p>
      <w:pPr>
        <w:pStyle w:val="LegSection"/>
      </w:pPr>
      <w:r>
        <w:t>SEC. 3012. SUNSET OF IMPLEMENTATION OFFICE.</w:t>
      </w:r>
    </w:p>
    <w:p>
      <w:pPr>
        <w:pStyle w:val="LegClause"/>
      </w:pPr>
      <w:r>
        <w:rPr>
          <w:b/>
        </w:rPr>
        <w:t xml:space="preserve">(a)  </w:t>
      </w:r>
      <w:r>
        <w:t>The SPACE Implementation Office shall terminate ten years after enactment unless reauthorized.</w:t>
      </w:r>
    </w:p>
    <w:p>
      <w:pPr>
        <w:pStyle w:val="LegClause"/>
      </w:pPr>
      <w:r>
        <w:rPr>
          <w:b/>
        </w:rPr>
        <w:t xml:space="preserve">(b)  </w:t>
      </w:r>
      <w:r>
        <w:t>Permanent functions shall transfer to existing agencies, the Fund Board, or the Network Council under a plan submitted to Congress not later than year nine.</w:t>
      </w:r>
    </w:p>
    <w:p>
      <w:pPr>
        <w:pStyle w:val="LegSection"/>
      </w:pPr>
      <w:r>
        <w:t>SEC. 3013. REPORTING ON ANNUAL OPERATIONAL CAPACITY.</w:t>
      </w:r>
    </w:p>
    <w:p>
      <w:pPr>
        <w:pStyle w:val="LegClause"/>
      </w:pPr>
      <w:r>
        <w:rPr>
          <w:b/>
        </w:rPr>
        <w:t xml:space="preserve">(a)  </w:t>
      </w:r>
      <w:r>
        <w:t>Not later than six months after the end of each fiscal year, the President shall transmit an implementation review showing whether laboratories, hiring, manufacturing, computing, and project approvals expanded at rates consistent with authorized resources.</w:t>
      </w:r>
    </w:p>
    <w:p>
      <w:pPr>
        <w:pStyle w:val="LegClause"/>
      </w:pPr>
      <w:r>
        <w:rPr>
          <w:b/>
        </w:rPr>
        <w:t xml:space="preserve">(b)  </w:t>
      </w:r>
      <w:r>
        <w:t>The review shall identify unused appropriations by reason, including technical unreadiness, workforce shortages, supply constraints, legal proceedings, and prudent experimental delay.</w:t>
      </w:r>
    </w:p>
    <w:p>
      <w:pPr>
        <w:pStyle w:val="LegClause"/>
      </w:pPr>
      <w:r>
        <w:rPr>
          <w:b/>
        </w:rPr>
        <w:t xml:space="preserve">(c)  </w:t>
      </w:r>
      <w:r>
        <w:t>Reports shall not treat the absence of immediate cash outlays as scientific failure when funds are legally reserved for long-duration research or construction.</w:t>
      </w:r>
    </w:p>
    <w:p>
      <w:pPr>
        <w:pStyle w:val="LegTitle"/>
      </w:pPr>
      <w:r>
        <w:t>TITLE XXXI — CONSOLIDATED APPROPRIATIONS SCHEDULE AND ALLOCATION CONTROL</w:t>
      </w:r>
    </w:p>
    <w:p>
      <w:pPr>
        <w:pStyle w:val="LegSection"/>
      </w:pPr>
      <w:r>
        <w:t>SEC. 3101. PURPOSES OF THE CONSOLIDATED SCHEDULE.</w:t>
      </w:r>
    </w:p>
    <w:p>
      <w:pPr>
        <w:pStyle w:val="LegClause"/>
      </w:pPr>
      <w:r>
        <w:rPr>
          <w:b/>
        </w:rPr>
        <w:t xml:space="preserve">(a)  </w:t>
      </w:r>
      <w:r>
        <w:t>The schedule in this title governs the application of the full $309,748,000,000 annual SPACE authority and shall be read together with the appropriation and accounting provisions of sections 201 through 217 and 401 through 416.</w:t>
      </w:r>
    </w:p>
    <w:p>
      <w:pPr>
        <w:pStyle w:val="LegClause"/>
      </w:pPr>
      <w:r>
        <w:rPr>
          <w:b/>
        </w:rPr>
        <w:t xml:space="preserve">(b)  </w:t>
      </w:r>
      <w:r>
        <w:t>The eight accounts are separate sources of budget authority. Transfers, reimbursements, and ordinary agency appropriations shall be counted only through the reconciliation required by section 215.</w:t>
      </w:r>
    </w:p>
    <w:p>
      <w:pPr>
        <w:pStyle w:val="LegClause"/>
      </w:pPr>
      <w:r>
        <w:rPr>
          <w:b/>
        </w:rPr>
        <w:t xml:space="preserve">(c)  </w:t>
      </w:r>
      <w:r>
        <w:t>Subaccount amounts are expressed in fiscal year 2025 purchasing power and are adjusted under section 206. Transfers within a program may be made only under section 212 and may not reduce the aggregate amount.</w:t>
      </w:r>
    </w:p>
    <w:p>
      <w:pPr>
        <w:pStyle w:val="LegSection"/>
      </w:pPr>
      <w:r>
        <w:t>SEC. 3102. APPROPRIATION BASIS AND ANTI-INFLATION CALCULATION.</w:t>
      </w:r>
    </w:p>
    <w:p>
      <w:pPr>
        <w:pStyle w:val="LegClause"/>
      </w:pPr>
      <w:r>
        <w:rPr>
          <w:b/>
        </w:rPr>
        <w:t xml:space="preserve">(a)  </w:t>
      </w:r>
      <w:r>
        <w:t>For the first full fiscal year after the effective date, the Secretary shall establish the indexed amount for each of the eight accounts by multiplying its base amount by the inflation factor certified under section 206.</w:t>
      </w:r>
    </w:p>
    <w:p>
      <w:pPr>
        <w:pStyle w:val="LegClause"/>
      </w:pPr>
      <w:r>
        <w:rPr>
          <w:b/>
        </w:rPr>
        <w:t xml:space="preserve">(b)  </w:t>
      </w:r>
      <w:r>
        <w:t>The Secretary shall publish an integrated account schedule showing full nominal-dollar authority, funds otherwise provided under law to NASA and DARPA, Treasury top-up, anticipated dedicated receipts, and prior-year balances.</w:t>
      </w:r>
    </w:p>
    <w:p>
      <w:pPr>
        <w:pStyle w:val="LegClause"/>
      </w:pPr>
      <w:r>
        <w:rPr>
          <w:b/>
        </w:rPr>
        <w:t xml:space="preserve">(c)  </w:t>
      </w:r>
      <w:r>
        <w:t>A discrepancy between expected revenues and new annual budget authority does not reduce the appropriation; the general-fund transfer and fiscal report shall disclose the difference.</w:t>
      </w:r>
    </w:p>
    <w:p>
      <w:pPr>
        <w:pStyle w:val="LegSection"/>
      </w:pPr>
      <w:r>
        <w:t>SEC. 3103. ACCOUNT ALLOCATION AND TRANSFER BOUNDARIES.</w:t>
      </w:r>
    </w:p>
    <w:p>
      <w:pPr>
        <w:pStyle w:val="LegClause"/>
      </w:pPr>
      <w:r>
        <w:rPr>
          <w:b/>
        </w:rPr>
        <w:t xml:space="preserve">(a)  </w:t>
      </w:r>
      <w:r>
        <w:t>The head of an agency shall maintain distinct program and subprogram ledgers for each amount in the account schedule, including transactions with contractors, universities, and other agencies.</w:t>
      </w:r>
    </w:p>
    <w:p>
      <w:pPr>
        <w:pStyle w:val="LegClause"/>
      </w:pPr>
      <w:r>
        <w:rPr>
          <w:b/>
        </w:rPr>
        <w:t xml:space="preserve">(b)  </w:t>
      </w:r>
      <w:r>
        <w:t>Funds in NASA or DARPA protected accounts may support their agency missions and cross-agency projects lawfully associated with those missions, but may not be silently used to finance unrelated activities assigned to a different account.</w:t>
      </w:r>
    </w:p>
    <w:p>
      <w:pPr>
        <w:pStyle w:val="LegClause"/>
      </w:pPr>
      <w:r>
        <w:rPr>
          <w:b/>
        </w:rPr>
        <w:t xml:space="preserve">(c)  </w:t>
      </w:r>
      <w:r>
        <w:t>Subaccount flexibility is permitted under section 212; aggregate transfers to another of the eight accounts require an Act of Congress.</w:t>
      </w:r>
    </w:p>
    <w:p>
      <w:pPr>
        <w:pStyle w:val="LegSection"/>
      </w:pPr>
      <w:r>
        <w:t>SEC. 3104. MISSION AND CAPACITY ALLOCATION FINDINGS.</w:t>
      </w:r>
    </w:p>
    <w:p>
      <w:pPr>
        <w:pStyle w:val="LegClause"/>
      </w:pPr>
      <w:r>
        <w:rPr>
          <w:b/>
        </w:rPr>
        <w:t xml:space="preserve">(a)  </w:t>
      </w:r>
      <w:r>
        <w:t>Congress finds that the annual allocation to NASA and DARPA must be matched by the complementary science, facilities, workforce, technology, governance, and international capacity specified in this title.</w:t>
      </w:r>
    </w:p>
    <w:p>
      <w:pPr>
        <w:pStyle w:val="LegClause"/>
      </w:pPr>
      <w:r>
        <w:rPr>
          <w:b/>
        </w:rPr>
        <w:t xml:space="preserve">(b)  </w:t>
      </w:r>
      <w:r>
        <w:t>The schedule therefore finances public discovery and experimental capability at distinct phases, including investigator-led basic research, agency-directed research, prototypes, instruments, mission operations, facilities, and research labor.</w:t>
      </w:r>
    </w:p>
    <w:p>
      <w:pPr>
        <w:pStyle w:val="LegClause"/>
      </w:pPr>
      <w:r>
        <w:rPr>
          <w:b/>
        </w:rPr>
        <w:t xml:space="preserve">(c)  </w:t>
      </w:r>
      <w:r>
        <w:t>The presence of an allocation is not a legal finding that an individual project is scientifically sound or ready for obligation.</w:t>
      </w:r>
    </w:p>
    <w:p>
      <w:pPr>
        <w:pStyle w:val="LegSection"/>
      </w:pPr>
      <w:r>
        <w:t>SEC. 3105. PROJECT-LEVEL ALLOCATION AND COST RECORDS.</w:t>
      </w:r>
    </w:p>
    <w:p>
      <w:pPr>
        <w:pStyle w:val="LegClause"/>
      </w:pPr>
      <w:r>
        <w:rPr>
          <w:b/>
        </w:rPr>
        <w:t xml:space="preserve">(a)  </w:t>
      </w:r>
      <w:r>
        <w:t>Each project exceeding $100,000,000 total expected Federal cost shall maintain an account identification, lead organization, authorized purpose, estimated lifecycle cost, annual obligation plan, technical maturity, and public reporting status.</w:t>
      </w:r>
    </w:p>
    <w:p>
      <w:pPr>
        <w:pStyle w:val="LegClause"/>
      </w:pPr>
      <w:r>
        <w:rPr>
          <w:b/>
        </w:rPr>
        <w:t xml:space="preserve">(b)  </w:t>
      </w:r>
      <w:r>
        <w:t>Transfers or shared purchases must identify participating account shares and shall not be counted twice.</w:t>
      </w:r>
    </w:p>
    <w:p>
      <w:pPr>
        <w:pStyle w:val="LegClause"/>
      </w:pPr>
      <w:r>
        <w:rPr>
          <w:b/>
        </w:rPr>
        <w:t xml:space="preserve">(c)  </w:t>
      </w:r>
      <w:r>
        <w:t>The Inspector General may inspect the complete funding trail notwithstanding consolidated financial reporting or shared-service procurement.</w:t>
      </w:r>
    </w:p>
    <w:p>
      <w:pPr>
        <w:pStyle w:val="LegSection"/>
      </w:pPr>
      <w:r>
        <w:t>SEC. 3106. CONTINGENT AND UNREADY WORK.</w:t>
      </w:r>
    </w:p>
    <w:p>
      <w:pPr>
        <w:pStyle w:val="LegClause"/>
      </w:pPr>
      <w:r>
        <w:rPr>
          <w:b/>
        </w:rPr>
        <w:t xml:space="preserve">(a)  </w:t>
      </w:r>
      <w:r>
        <w:t>Amounts attributable to projects lacking statutory construction, technical, safety, environmental, or personnel prerequisites shall remain unobligated within their legally available account rather than being spent to satisfy a calendar target.</w:t>
      </w:r>
    </w:p>
    <w:p>
      <w:pPr>
        <w:pStyle w:val="LegClause"/>
      </w:pPr>
      <w:r>
        <w:rPr>
          <w:b/>
        </w:rPr>
        <w:t xml:space="preserve">(b)  </w:t>
      </w:r>
      <w:r>
        <w:t>An agency shall disclose delays and propose lawful alternatives such as competition of additional scientific approaches, instrumentation maintenance, or shorter exploratory projects, subject to the original account purpose.</w:t>
      </w:r>
    </w:p>
    <w:p>
      <w:pPr>
        <w:pStyle w:val="LegClause"/>
      </w:pPr>
      <w:r>
        <w:rPr>
          <w:b/>
        </w:rPr>
        <w:t xml:space="preserve">(c)  </w:t>
      </w:r>
      <w:r>
        <w:t>Unready projects may not borrow from other accounts or obligate future appropriations without authority.</w:t>
      </w:r>
    </w:p>
    <w:p>
      <w:pPr>
        <w:pStyle w:val="LegSection"/>
      </w:pPr>
      <w:r>
        <w:t>SEC. 3107. PROTECTING FOUNDATIONAL RESEARCH.</w:t>
      </w:r>
    </w:p>
    <w:p>
      <w:pPr>
        <w:pStyle w:val="LegClause"/>
      </w:pPr>
      <w:r>
        <w:rPr>
          <w:b/>
        </w:rPr>
        <w:t xml:space="preserve">(a)  </w:t>
      </w:r>
      <w:r>
        <w:t>The appropriations schedule shall not be read to require a near-term commercial, military, or mission-transition deliverable for all fundamental research.</w:t>
      </w:r>
    </w:p>
    <w:p>
      <w:pPr>
        <w:pStyle w:val="LegClause"/>
      </w:pPr>
      <w:r>
        <w:rPr>
          <w:b/>
        </w:rPr>
        <w:t xml:space="preserve">(b)  </w:t>
      </w:r>
      <w:r>
        <w:t>Every major institution shall maintain multi-year peer-reviewed discovery programs with independent scientific governance, negative-result acceptance, and access for qualified new research teams.</w:t>
      </w:r>
    </w:p>
    <w:p>
      <w:pPr>
        <w:pStyle w:val="LegClause"/>
      </w:pPr>
      <w:r>
        <w:rPr>
          <w:b/>
        </w:rPr>
        <w:t xml:space="preserve">(c)  </w:t>
      </w:r>
      <w:r>
        <w:t>The Network Account shall preserve the minimum investigator-led allocation specified in section 3113 notwithstanding pressures from major projects.</w:t>
      </w:r>
    </w:p>
    <w:p>
      <w:pPr>
        <w:pStyle w:val="LegSection"/>
      </w:pPr>
      <w:r>
        <w:t>SEC. 3108. INDEPENDENT EXECUTION CERTIFICATION.</w:t>
      </w:r>
    </w:p>
    <w:p>
      <w:pPr>
        <w:pStyle w:val="LegClause"/>
      </w:pPr>
      <w:r>
        <w:rPr>
          <w:b/>
        </w:rPr>
        <w:t xml:space="preserve">(a)  </w:t>
      </w:r>
      <w:r>
        <w:t>Within 90 days after the close of each fiscal year, Treasury and OMB shall certify that the schedule has been fully made available as budget authority and that double-counting corrections have been performed.</w:t>
      </w:r>
    </w:p>
    <w:p>
      <w:pPr>
        <w:pStyle w:val="LegClause"/>
      </w:pPr>
      <w:r>
        <w:rPr>
          <w:b/>
        </w:rPr>
        <w:t xml:space="preserve">(b)  </w:t>
      </w:r>
      <w:r>
        <w:t>GAO shall audit whether the accounting records support the certification, with particular attention to interagency transfers, one-time special appropriations, reimbursements, and unobligated balances.</w:t>
      </w:r>
    </w:p>
    <w:p>
      <w:pPr>
        <w:pStyle w:val="LegClause"/>
      </w:pPr>
      <w:r>
        <w:rPr>
          <w:b/>
        </w:rPr>
        <w:t xml:space="preserve">(c)  </w:t>
      </w:r>
      <w:r>
        <w:t>An adverse audit finding shall require a public response and an accounting correction within 120 days.</w:t>
      </w:r>
    </w:p>
    <w:p>
      <w:pPr>
        <w:pStyle w:val="LegSection"/>
      </w:pPr>
      <w:r>
        <w:t>SEC. 3109. ANNUAL APPROPRIATIONS DIRECTION.</w:t>
      </w:r>
    </w:p>
    <w:p>
      <w:pPr>
        <w:pStyle w:val="LegClause"/>
      </w:pPr>
      <w:r>
        <w:rPr>
          <w:b/>
        </w:rPr>
        <w:t xml:space="preserve">(a)  </w:t>
      </w:r>
      <w:r>
        <w:t>Nothing in this Act prevents Congress from enacting ordinary annual agency appropriations in addition to the eight SPACE accounts, but only qualified NASA and DARPA amounts may offset protected Fund top-ups.</w:t>
      </w:r>
    </w:p>
    <w:p>
      <w:pPr>
        <w:pStyle w:val="LegClause"/>
      </w:pPr>
      <w:r>
        <w:rPr>
          <w:b/>
        </w:rPr>
        <w:t xml:space="preserve">(b)  </w:t>
      </w:r>
      <w:r>
        <w:t>Where another Act provides funds for a project already funded here, the agency shall either report the new amount as supplemental or designate a lawful substitution without duplicate accounting.</w:t>
      </w:r>
    </w:p>
    <w:p>
      <w:pPr>
        <w:pStyle w:val="LegClause"/>
      </w:pPr>
      <w:r>
        <w:rPr>
          <w:b/>
        </w:rPr>
        <w:t xml:space="preserve">(c)  </w:t>
      </w:r>
      <w:r>
        <w:t>The Office of Management and Budget shall not claim deficit neutrality, an asset-funded program, or a fully capitalized endowment unless official records establish those claims.</w:t>
      </w:r>
    </w:p>
    <w:p>
      <w:pPr>
        <w:pStyle w:val="LegSection"/>
      </w:pPr>
      <w:r>
        <w:t>SEC. 3110. PERMANENT ANNUAL ACCOUNT SCHEDULE.</w:t>
      </w:r>
    </w:p>
    <w:p>
      <w:pPr>
        <w:pStyle w:val="LegClause"/>
      </w:pPr>
      <w:r>
        <w:rPr>
          <w:b/>
        </w:rPr>
        <w:t xml:space="preserve">(a)  </w:t>
      </w:r>
      <w:r>
        <w:t>For each full fiscal year after the effective date, the following constant fiscal year 2025 dollar amounts are provided: NASA, $149,028,000,000; DARPA, $24,875,000,000; Frontier Science Network, $49,845,000,000; infrastructure, $30,000,000,000; workforce and education, $20,000,000,000; Grand Challenges, $20,000,000,000; international science, $10,000,000,000; safety, oversight, and continuity, $6,000,000,000.</w:t>
      </w:r>
    </w:p>
    <w:p>
      <w:pPr>
        <w:pStyle w:val="LegClause"/>
      </w:pPr>
      <w:r>
        <w:rPr>
          <w:b/>
        </w:rPr>
        <w:t xml:space="preserve">(b)  </w:t>
      </w:r>
      <w:r>
        <w:t>The sum of the eight amounts is exactly $309,748,000,000. NASA and DARPA ordinary appropriations counted pursuant to section 215 are included in that sum and shall not be added to it.</w:t>
      </w:r>
    </w:p>
    <w:p>
      <w:pPr>
        <w:pStyle w:val="LegClause"/>
      </w:pPr>
      <w:r>
        <w:rPr>
          <w:b/>
        </w:rPr>
        <w:t xml:space="preserve">(c)  </w:t>
      </w:r>
      <w:r>
        <w:t>The aggregate and every component shall be indexed together under section 206; the published nominal schedule shall reconcile to the aggregate at the nearest dollar by adjusting only rounding residuals.</w:t>
      </w:r>
    </w:p>
    <w:p>
      <w:pPr>
        <w:pStyle w:val="LegClause"/>
      </w:pPr>
      <w:r>
        <w:rPr>
          <w:b/>
        </w:rPr>
        <w:t xml:space="preserve">(d)  </w:t>
      </w:r>
      <w:r>
        <w:t>The appropriations in this section remain subject to lawful purpose, competition, safety, grant, procurement, audit, and judicial-review requirements stated elsewhere in this Act.</w:t>
      </w:r>
    </w:p>
    <w:p>
      <w:pPr>
        <w:pStyle w:val="LegSection"/>
      </w:pPr>
      <w:r>
        <w:t>SEC. 3111. NASA INTERNAL MISSION ALLOCATIONS.</w:t>
      </w:r>
    </w:p>
    <w:p>
      <w:pPr>
        <w:pStyle w:val="LegClause"/>
      </w:pPr>
      <w:r>
        <w:rPr>
          <w:b/>
        </w:rPr>
        <w:t xml:space="preserve">(a)  </w:t>
      </w:r>
      <w:r>
        <w:t>The NASA annual amount shall be budgeted as follows: scientific missions and core research, $39,000,000,000; human and robotic exploration and operations, $38,000,000,000; frontier space technologies and propulsion, $19,000,000,000; aeronautics and aviation research, $12,000,000,000; NASA-owned center rehabilitation and mission facilities, $15,000,000,000; deep-space network, planetary defense, and operational science support, $12,000,000,000; Government personnel, mission assurance, and technical capabilities, $10,000,000,000; and cross-portfolio reserves and common-use agreements, $4,028,000,000.</w:t>
      </w:r>
    </w:p>
    <w:p>
      <w:pPr>
        <w:pStyle w:val="LegClause"/>
      </w:pPr>
      <w:r>
        <w:rPr>
          <w:b/>
        </w:rPr>
        <w:t xml:space="preserve">(b)  </w:t>
      </w:r>
      <w:r>
        <w:t>NASA shall maintain independent competed scientific opportunities at multiple sizes, a balanced human and robotic exploration plan, credible lifecycle costs for flight hardware, and a protected scientific data and archive pipeline.</w:t>
      </w:r>
    </w:p>
    <w:p>
      <w:pPr>
        <w:pStyle w:val="LegClause"/>
      </w:pPr>
      <w:r>
        <w:rPr>
          <w:b/>
        </w:rPr>
        <w:t xml:space="preserve">(c)  </w:t>
      </w:r>
      <w:r>
        <w:t>NASA-owned center rehabilitation under this section may not be charged again to the shared infrastructure account. Every funded facility shall identify the responsible operator and the account covering future maintenance.</w:t>
      </w:r>
    </w:p>
    <w:p>
      <w:pPr>
        <w:pStyle w:val="LegClause"/>
      </w:pPr>
      <w:r>
        <w:rPr>
          <w:b/>
        </w:rPr>
        <w:t xml:space="preserve">(d)  </w:t>
      </w:r>
      <w:r>
        <w:t>A cross-portfolio reserve may address unforeseen technical risks or emerging science within NASA mission purposes, but it may not be used to avoid competition, environmental review, or independent safety approval.</w:t>
      </w:r>
    </w:p>
    <w:p>
      <w:pPr>
        <w:pStyle w:val="LegSection"/>
      </w:pPr>
      <w:r>
        <w:t>SEC. 3112. DARPA TECHNICAL PORTFOLIO ALLOCATIONS.</w:t>
      </w:r>
    </w:p>
    <w:p>
      <w:pPr>
        <w:pStyle w:val="LegClause"/>
      </w:pPr>
      <w:r>
        <w:rPr>
          <w:b/>
        </w:rPr>
        <w:t xml:space="preserve">(a)  </w:t>
      </w:r>
      <w:r>
        <w:t>The DARPA annual amount shall be budgeted as follows: defense foundational science, $4,000,000,000; high-risk applied technology programs, $7,000,000,000; integrated prototypes and demonstrations, $5,500,000,000; advanced AI, cyber, quantum, and biological defense research, $3,300,000,000; independent test, verification, and red-teaming, $1,500,000,000; program management and technical support, $1,000,000,000; transition, supply diversification, and pilot production, $1,200,000,000; and director-controlled rapid opportunities and contingency, $1,375,000,000.</w:t>
      </w:r>
    </w:p>
    <w:p>
      <w:pPr>
        <w:pStyle w:val="LegClause"/>
      </w:pPr>
      <w:r>
        <w:rPr>
          <w:b/>
        </w:rPr>
        <w:t xml:space="preserve">(b)  </w:t>
      </w:r>
      <w:r>
        <w:t>The Director shall maintain multiple technical approaches and rapid termination authority, program-manager leadership, and technical independent validation appropriate to the DARPA model.</w:t>
      </w:r>
    </w:p>
    <w:p>
      <w:pPr>
        <w:pStyle w:val="LegClause"/>
      </w:pPr>
      <w:r>
        <w:rPr>
          <w:b/>
        </w:rPr>
        <w:t xml:space="preserve">(c)  </w:t>
      </w:r>
      <w:r>
        <w:t>No allocation under this section displaces requirements of section 4021 or 4022 of title 10, United States Code, for transactions conducted under those authorities.</w:t>
      </w:r>
    </w:p>
    <w:p>
      <w:pPr>
        <w:pStyle w:val="LegClause"/>
      </w:pPr>
      <w:r>
        <w:rPr>
          <w:b/>
        </w:rPr>
        <w:t xml:space="preserve">(d)  </w:t>
      </w:r>
      <w:r>
        <w:t>Funds assigned to management and support are not a requirement to expand headquarters employment; the Director shall report the share actually supporting technical program teams and acquisition capacity.</w:t>
      </w:r>
    </w:p>
    <w:p>
      <w:pPr>
        <w:pStyle w:val="LegSection"/>
      </w:pPr>
      <w:r>
        <w:t>SEC. 3113. NATIONAL FRONTIER SCIENCE NETWORK ALLOCATIONS.</w:t>
      </w:r>
    </w:p>
    <w:p>
      <w:pPr>
        <w:pStyle w:val="LegClause"/>
      </w:pPr>
      <w:r>
        <w:rPr>
          <w:b/>
        </w:rPr>
        <w:t xml:space="preserve">(a)  </w:t>
      </w:r>
      <w:r>
        <w:t>The $49,845,000,000 annual Account shall allocate $21,000,000,000 to NSF-led investigator and infrastructure science; $15,000,000,000 to DOE Office of Science and national laboratory scientific programs; $4,000,000,000 to NIST measurement science and standards; $4,000,000,000 to NOAA and USGS Earth, ocean, and geological research; $3,000,000,000 to lawful NIH, ARPA-H, and cross-disciplinary fundamental and enabling research; and $2,845,000,000 to Network scientific services, software, shared user access, and independent replication.</w:t>
      </w:r>
    </w:p>
    <w:p>
      <w:pPr>
        <w:pStyle w:val="LegClause"/>
      </w:pPr>
      <w:r>
        <w:rPr>
          <w:b/>
        </w:rPr>
        <w:t xml:space="preserve">(b)  </w:t>
      </w:r>
      <w:r>
        <w:t>Not less than $17,000,000,000 of the NSF allocation shall remain available for competitively awarded investigator-led or independent laboratory fundamental science and associated fellowships.</w:t>
      </w:r>
    </w:p>
    <w:p>
      <w:pPr>
        <w:pStyle w:val="LegClause"/>
      </w:pPr>
      <w:r>
        <w:rPr>
          <w:b/>
        </w:rPr>
        <w:t xml:space="preserve">(c)  </w:t>
      </w:r>
      <w:r>
        <w:t>Other agency accounts shall not be deemed replaced by this account. NSF, DOE, and other beneficiaries shall publish a program-level distinction between ordinary budget authority and their share of the Network appropriation.</w:t>
      </w:r>
    </w:p>
    <w:p>
      <w:pPr>
        <w:pStyle w:val="LegClause"/>
      </w:pPr>
      <w:r>
        <w:rPr>
          <w:b/>
        </w:rPr>
        <w:t xml:space="preserve">(d)  </w:t>
      </w:r>
      <w:r>
        <w:t>All user-facility and software commitments shall include operations and maintenance responsibilities over the scientific asset life.</w:t>
      </w:r>
    </w:p>
    <w:p>
      <w:pPr>
        <w:pStyle w:val="LegSection"/>
      </w:pPr>
      <w:r>
        <w:t>SEC. 3114. NATIONAL INFRASTRUCTURE ALLOCATIONS.</w:t>
      </w:r>
    </w:p>
    <w:p>
      <w:pPr>
        <w:pStyle w:val="LegClause"/>
      </w:pPr>
      <w:r>
        <w:rPr>
          <w:b/>
        </w:rPr>
        <w:t xml:space="preserve">(a)  </w:t>
      </w:r>
      <w:r>
        <w:t>The $30,000,000,000 infrastructure account shall allocate $8,000,000,000 to common NASA and civil launch facilities beyond NASA-owned mission works; $8,000,000,000 to DOE and other national laboratory renewal and test infrastructure; $6,000,000,000 to grand instruments and observatories; $4,000,000,000 to shared research computing facilities, networks, water and power infrastructure; $3,000,000,000 to regional campuses and scientific fabrication; and $1,000,000,000 to resilience, scientific-asset preservation, and safe decommissioning.</w:t>
      </w:r>
    </w:p>
    <w:p>
      <w:pPr>
        <w:pStyle w:val="LegClause"/>
      </w:pPr>
      <w:r>
        <w:rPr>
          <w:b/>
        </w:rPr>
        <w:t xml:space="preserve">(b)  </w:t>
      </w:r>
      <w:r>
        <w:t>The Authority shall not initiate a major construction award without the project readiness certification in Title XXXII and a full lifecycle operating and maintenance plan.</w:t>
      </w:r>
    </w:p>
    <w:p>
      <w:pPr>
        <w:pStyle w:val="LegClause"/>
      </w:pPr>
      <w:r>
        <w:rPr>
          <w:b/>
        </w:rPr>
        <w:t xml:space="preserve">(c)  </w:t>
      </w:r>
      <w:r>
        <w:t>The additional NASA common-use allocation shall be distinguished from the NASA center account to prevent payment of the same construction or facility expense from two accounts.</w:t>
      </w:r>
    </w:p>
    <w:p>
      <w:pPr>
        <w:pStyle w:val="LegSection"/>
      </w:pPr>
      <w:r>
        <w:t>SEC. 3115. SINGLE-LEDGER RULE FOR SHARED PROJECTS.</w:t>
      </w:r>
    </w:p>
    <w:p>
      <w:pPr>
        <w:pStyle w:val="LegClause"/>
      </w:pPr>
      <w:r>
        <w:rPr>
          <w:b/>
        </w:rPr>
        <w:t xml:space="preserve">(a)  </w:t>
      </w:r>
      <w:r>
        <w:t>Where a facility, spacecraft, software platform, instrument, training program, or technology demonstration receives resources from more than one SPACE account, the lead agency shall adopt a master cost ledger assigning every expenditure to exactly one source and purpose.</w:t>
      </w:r>
    </w:p>
    <w:p>
      <w:pPr>
        <w:pStyle w:val="LegClause"/>
      </w:pPr>
      <w:r>
        <w:rPr>
          <w:b/>
        </w:rPr>
        <w:t xml:space="preserve">(b)  </w:t>
      </w:r>
      <w:r>
        <w:t>The master ledger shall show source budget authority, fiscal-year origin, interagency agreement, contract obligation, cash outlay, contractor receipts, depreciation or lifecycle reserve where applicable, and cost-share partner.</w:t>
      </w:r>
    </w:p>
    <w:p>
      <w:pPr>
        <w:pStyle w:val="LegClause"/>
      </w:pPr>
      <w:r>
        <w:rPr>
          <w:b/>
        </w:rPr>
        <w:t xml:space="preserve">(c)  </w:t>
      </w:r>
      <w:r>
        <w:t>A transfer to another agency is not a second appropriation; reports shall show both transferring and executing entities but count the value once in the aggregate.</w:t>
      </w:r>
    </w:p>
    <w:p>
      <w:pPr>
        <w:pStyle w:val="LegClause"/>
      </w:pPr>
      <w:r>
        <w:rPr>
          <w:b/>
        </w:rPr>
        <w:t xml:space="preserve">(d)  </w:t>
      </w:r>
      <w:r>
        <w:t>GAO and Inspectors General may access the ledger and shall report systemic cross-charges or duplicate cost recognition.</w:t>
      </w:r>
    </w:p>
    <w:p>
      <w:pPr>
        <w:pStyle w:val="LegSection"/>
      </w:pPr>
      <w:r>
        <w:t>SEC. 3116. WORKFORCE AND EDUCATION ALLOCATIONS.</w:t>
      </w:r>
    </w:p>
    <w:p>
      <w:pPr>
        <w:pStyle w:val="LegClause"/>
      </w:pPr>
      <w:r>
        <w:rPr>
          <w:b/>
        </w:rPr>
        <w:t xml:space="preserve">(a)  </w:t>
      </w:r>
      <w:r>
        <w:t>The $20,000,000,000 workforce account shall allocate $4,000,000,000 to technical apprenticeships and competency-based credentials; $5,000,000,000 to scholarships, graduate and postdoctoral fellowships; $5,000,000,000 to recruitment, technical pay, retention, family and remote-site supports; $2,000,000,000 to scientific mobility and exchange; $2,000,000,000 to teacher laboratories, public technical colleges, and education infrastructure; and $2,000,000,000 to procurement, safety, software, facility operations, and scientific support workforce development.</w:t>
      </w:r>
    </w:p>
    <w:p>
      <w:pPr>
        <w:pStyle w:val="LegClause"/>
      </w:pPr>
      <w:r>
        <w:rPr>
          <w:b/>
        </w:rPr>
        <w:t xml:space="preserve">(b)  </w:t>
      </w:r>
      <w:r>
        <w:t>Funding shall be traceable to distinct beneficiaries and occupations; the Government shall report both personnel recruited and evidence of improved scientific throughput or facility uptime.</w:t>
      </w:r>
    </w:p>
    <w:p>
      <w:pPr>
        <w:pStyle w:val="LegClause"/>
      </w:pPr>
      <w:r>
        <w:rPr>
          <w:b/>
        </w:rPr>
        <w:t xml:space="preserve">(c)  </w:t>
      </w:r>
      <w:r>
        <w:t>An agency shall not use training grants as a means of replacing ordinary paid employees with unpaid labor or requiring trainees to surrender statutory employment rights.</w:t>
      </w:r>
    </w:p>
    <w:p>
      <w:pPr>
        <w:pStyle w:val="LegSection"/>
      </w:pPr>
      <w:r>
        <w:t>SEC. 3117. MOONSHOT, INTERNATIONAL, AND CONTINUITY ALLOCATIONS.</w:t>
      </w:r>
    </w:p>
    <w:p>
      <w:pPr>
        <w:pStyle w:val="LegClause"/>
      </w:pPr>
      <w:r>
        <w:rPr>
          <w:b/>
        </w:rPr>
        <w:t xml:space="preserve">(a)  </w:t>
      </w:r>
      <w:r>
        <w:t>The $20,000,000,000 Grand Challenges account shall allocate $6,000,000,000 to far-horizon basic and concept research, $7,000,000,000 to cross-agency moonshot portfolios, $4,000,000,000 to competitive prizes and demonstrators, $1,000,000,000 to independent validation and replication, and $2,000,000,000 to pilot transition and high-risk systems integration.</w:t>
      </w:r>
    </w:p>
    <w:p>
      <w:pPr>
        <w:pStyle w:val="LegClause"/>
      </w:pPr>
      <w:r>
        <w:rPr>
          <w:b/>
        </w:rPr>
        <w:t xml:space="preserve">(b)  </w:t>
      </w:r>
      <w:r>
        <w:t>The $10,000,000,000 international account shall allocate $6,000,000,000 to shared peaceful research facilities and multilateral missions, $2,000,000,000 to jointly operated international instruments and data systems, $1,000,000,000 to researcher exchanges and lower-resource-partner capacity, and $1,000,000,000 to lifecycle, safety, and legal obligations arising from international scientific facilities.</w:t>
      </w:r>
    </w:p>
    <w:p>
      <w:pPr>
        <w:pStyle w:val="LegClause"/>
      </w:pPr>
      <w:r>
        <w:rPr>
          <w:b/>
        </w:rPr>
        <w:t xml:space="preserve">(c)  </w:t>
      </w:r>
      <w:r>
        <w:t>The $6,000,000,000 safety, oversight, and continuity account shall allocate $500,000,000 to independent audit and scientific-integrity oversight; $1,500,000,000 to cybersecurity and scientific continuity; $1,500,000,000 to independent technical and dual-use safety assurance; $1,000,000,000 to long-term archives; and $1,500,000,000 to emergency scientific support, incident response, and system resilience.</w:t>
      </w:r>
    </w:p>
    <w:p>
      <w:pPr>
        <w:pStyle w:val="LegClause"/>
      </w:pPr>
      <w:r>
        <w:rPr>
          <w:b/>
        </w:rPr>
        <w:t xml:space="preserve">(d)  </w:t>
      </w:r>
      <w:r>
        <w:t>Safety and independent verification expenses required inside an agency shall remain a cost of its projects where appropriate; the cross-cutting safety account shall supplement independent institutional services without charging duplicate costs.</w:t>
      </w:r>
    </w:p>
    <w:p>
      <w:pPr>
        <w:pStyle w:val="LegSection"/>
      </w:pPr>
      <w:r>
        <w:t>SEC. 3118. APPROPRIATION CONTINUITY AND REPORTING.</w:t>
      </w:r>
    </w:p>
    <w:p>
      <w:pPr>
        <w:pStyle w:val="LegClause"/>
      </w:pPr>
      <w:r>
        <w:rPr>
          <w:b/>
        </w:rPr>
        <w:t xml:space="preserve">(a)  </w:t>
      </w:r>
      <w:r>
        <w:t>Within 120 days after the fiscal year begins, OMB shall transmit a schedule comparing statutory base and indexed current-dollar allocations, ordinary appropriations counted under section 215, the Treasury top-up, dedicated receipts, and the approved execution plans.</w:t>
      </w:r>
    </w:p>
    <w:p>
      <w:pPr>
        <w:pStyle w:val="LegClause"/>
      </w:pPr>
      <w:r>
        <w:rPr>
          <w:b/>
        </w:rPr>
        <w:t xml:space="preserve">(b)  </w:t>
      </w:r>
      <w:r>
        <w:t>Within six months after the fiscal year closes, Treasury shall reconcile budget authority, obligations, outlays, receipts, and unexpired balances. The report shall certify that the aggregate annual account schedule remains exactly the indexed equivalent of the statutory fiscal year 2025 amount.</w:t>
      </w:r>
    </w:p>
    <w:p>
      <w:pPr>
        <w:pStyle w:val="LegClause"/>
      </w:pPr>
      <w:r>
        <w:rPr>
          <w:b/>
        </w:rPr>
        <w:t xml:space="preserve">(c)  </w:t>
      </w:r>
      <w:r>
        <w:t>The report shall not attribute scientific achievements to Federal spending unless causal analysis supports that claim; scientific achievements and spending outputs shall be shown as distinct measures.</w:t>
      </w:r>
    </w:p>
    <w:p>
      <w:pPr>
        <w:pStyle w:val="LegTitle"/>
      </w:pPr>
      <w:r>
        <w:t>TITLE XXXII — CAPITAL PROJECT READINESS, SCIENTIFIC FACILITIES, AND DELIVERY ASSURANCE</w:t>
      </w:r>
    </w:p>
    <w:p>
      <w:pPr>
        <w:pStyle w:val="LegSection"/>
      </w:pPr>
      <w:r>
        <w:t>SEC. 3201. SCIENTIFIC INFRASTRUCTURE CAPITAL CHARTER.</w:t>
      </w:r>
    </w:p>
    <w:p>
      <w:pPr>
        <w:pStyle w:val="LegClause"/>
      </w:pPr>
      <w:r>
        <w:rPr>
          <w:b/>
        </w:rPr>
        <w:t xml:space="preserve">(a)  </w:t>
      </w:r>
      <w:r>
        <w:t>Every scientific facility or related infrastructure program with estimated total lifecycle Federal expenditures of $250,000,000 or more shall have a capital charter approved before a construction baseline is established.</w:t>
      </w:r>
    </w:p>
    <w:p>
      <w:pPr>
        <w:pStyle w:val="LegClause"/>
      </w:pPr>
      <w:r>
        <w:rPr>
          <w:b/>
        </w:rPr>
        <w:t xml:space="preserve">(b)  </w:t>
      </w:r>
      <w:r>
        <w:t>The charter shall identify the scientific mission, intended users, principal technical requirements, site alternatives, environmental responsibilities, required utilities, program integration, workforce, procurement method, operating agency, and full lifecycle costs.</w:t>
      </w:r>
    </w:p>
    <w:p>
      <w:pPr>
        <w:pStyle w:val="LegClause"/>
      </w:pPr>
      <w:r>
        <w:rPr>
          <w:b/>
        </w:rPr>
        <w:t xml:space="preserve">(c)  </w:t>
      </w:r>
      <w:r>
        <w:t>Approval shall include an independent scientific-value review and an independent engineering-cost assessment; the two reviews shall not be combined into one unreviewable management judgment.</w:t>
      </w:r>
    </w:p>
    <w:p>
      <w:pPr>
        <w:pStyle w:val="LegClause"/>
      </w:pPr>
      <w:r>
        <w:rPr>
          <w:b/>
        </w:rPr>
        <w:t xml:space="preserve">(d)  </w:t>
      </w:r>
      <w:r>
        <w:t>The charter may be revised as technical learning occurs, but a material scope, schedule, or cost change shall be documented and publicly summarized where lawful.</w:t>
      </w:r>
    </w:p>
    <w:p>
      <w:pPr>
        <w:pStyle w:val="LegSection"/>
      </w:pPr>
      <w:r>
        <w:t>SEC. 3202. PHASED CAPITAL AUTHORIZATION GATES.</w:t>
      </w:r>
    </w:p>
    <w:p>
      <w:pPr>
        <w:pStyle w:val="LegClause"/>
      </w:pPr>
      <w:r>
        <w:rPr>
          <w:b/>
        </w:rPr>
        <w:t xml:space="preserve">(a)  </w:t>
      </w:r>
      <w:r>
        <w:t>Major projects shall proceed through a feasibility gate, conceptual design gate, preliminary design and site gate, construction authorization gate, technical commissioning gate, and operating acceptance gate.</w:t>
      </w:r>
    </w:p>
    <w:p>
      <w:pPr>
        <w:pStyle w:val="LegClause"/>
      </w:pPr>
      <w:r>
        <w:rPr>
          <w:b/>
        </w:rPr>
        <w:t xml:space="preserve">(b)  </w:t>
      </w:r>
      <w:r>
        <w:t>A project may combine gates when scale and risk justify it, provided the independent technical and fiscal functions remain complete.</w:t>
      </w:r>
    </w:p>
    <w:p>
      <w:pPr>
        <w:pStyle w:val="LegClause"/>
      </w:pPr>
      <w:r>
        <w:rPr>
          <w:b/>
        </w:rPr>
        <w:t xml:space="preserve">(c)  </w:t>
      </w:r>
      <w:r>
        <w:t>A construction authorization shall include a credible management reserve, independent cost confidence range, procurement strategy, operating and maintenance plan, safety case, and a practicable termination or redesign option.</w:t>
      </w:r>
    </w:p>
    <w:p>
      <w:pPr>
        <w:pStyle w:val="LegClause"/>
      </w:pPr>
      <w:r>
        <w:rPr>
          <w:b/>
        </w:rPr>
        <w:t xml:space="preserve">(d)  </w:t>
      </w:r>
      <w:r>
        <w:t>No responsible officer may certify technical readiness solely to accelerate obligation of available appropriations.</w:t>
      </w:r>
    </w:p>
    <w:p>
      <w:pPr>
        <w:pStyle w:val="LegSection"/>
      </w:pPr>
      <w:r>
        <w:t>SEC. 3203. REFERENCE-CLASS COST ESTIMATION.</w:t>
      </w:r>
    </w:p>
    <w:p>
      <w:pPr>
        <w:pStyle w:val="LegClause"/>
      </w:pPr>
      <w:r>
        <w:rPr>
          <w:b/>
        </w:rPr>
        <w:t xml:space="preserve">(a)  </w:t>
      </w:r>
      <w:r>
        <w:t>The Authority shall maintain a database of historical Federal and international scientific facility costs, adjusted for size, risk, scope, location, and technology maturity, to supplement engineering estimates.</w:t>
      </w:r>
    </w:p>
    <w:p>
      <w:pPr>
        <w:pStyle w:val="LegClause"/>
      </w:pPr>
      <w:r>
        <w:rPr>
          <w:b/>
        </w:rPr>
        <w:t xml:space="preserve">(b)  </w:t>
      </w:r>
      <w:r>
        <w:t>Estimates shall address construction inflation, permitting, supply constraints, specialized components, uncertain ground conditions, security, commissioning, decommissioning, and ten-year operations.</w:t>
      </w:r>
    </w:p>
    <w:p>
      <w:pPr>
        <w:pStyle w:val="LegClause"/>
      </w:pPr>
      <w:r>
        <w:rPr>
          <w:b/>
        </w:rPr>
        <w:t xml:space="preserve">(c)  </w:t>
      </w:r>
      <w:r>
        <w:t>Where a proposed project has no reliable analog, the estimate shall describe the limitation and use scenario ranges rather than unsupported point precision.</w:t>
      </w:r>
    </w:p>
    <w:p>
      <w:pPr>
        <w:pStyle w:val="LegSection"/>
      </w:pPr>
      <w:r>
        <w:t>SEC. 3204. INDEPENDENT PROJECT TECHNICAL AUTHORITY.</w:t>
      </w:r>
    </w:p>
    <w:p>
      <w:pPr>
        <w:pStyle w:val="LegClause"/>
      </w:pPr>
      <w:r>
        <w:rPr>
          <w:b/>
        </w:rPr>
        <w:t xml:space="preserve">(a)  </w:t>
      </w:r>
      <w:r>
        <w:t>Each major scientific construction program shall have an independent Chief Engineer or equivalent technical authority capable of documenting safety, quality, interface, and systems-integration objections outside the construction manager chain of command.</w:t>
      </w:r>
    </w:p>
    <w:p>
      <w:pPr>
        <w:pStyle w:val="LegClause"/>
      </w:pPr>
      <w:r>
        <w:rPr>
          <w:b/>
        </w:rPr>
        <w:t xml:space="preserve">(b)  </w:t>
      </w:r>
      <w:r>
        <w:t>Material objections shall be decided by a qualified accountable official with written reasons; unresolved safety concerns shall be elevated under the applicable statutory safety regime.</w:t>
      </w:r>
    </w:p>
    <w:p>
      <w:pPr>
        <w:pStyle w:val="LegClause"/>
      </w:pPr>
      <w:r>
        <w:rPr>
          <w:b/>
        </w:rPr>
        <w:t xml:space="preserve">(c)  </w:t>
      </w:r>
      <w:r>
        <w:t>Retaliation against good-faith technical objections is prohibited and shall be referred to the relevant Inspector General.</w:t>
      </w:r>
    </w:p>
    <w:p>
      <w:pPr>
        <w:pStyle w:val="LegSection"/>
      </w:pPr>
      <w:r>
        <w:t>SEC. 3205. INFRASTRUCTURE WORKFORCE AND SUPPLIER READINESS.</w:t>
      </w:r>
    </w:p>
    <w:p>
      <w:pPr>
        <w:pStyle w:val="LegClause"/>
      </w:pPr>
      <w:r>
        <w:rPr>
          <w:b/>
        </w:rPr>
        <w:t xml:space="preserve">(a)  </w:t>
      </w:r>
      <w:r>
        <w:t>A major facility may not enter full construction without a labor and supplier assessment identifying qualified trades, precision fabrication, specialized equipment, construction managers, local utilities, and procurement dependencies.</w:t>
      </w:r>
    </w:p>
    <w:p>
      <w:pPr>
        <w:pStyle w:val="LegClause"/>
      </w:pPr>
      <w:r>
        <w:rPr>
          <w:b/>
        </w:rPr>
        <w:t xml:space="preserve">(b)  </w:t>
      </w:r>
      <w:r>
        <w:t>The assessment shall identify realistic recruitment and apprenticeship pathways; it shall not presume workers are available merely because funds have been appropriated.</w:t>
      </w:r>
    </w:p>
    <w:p>
      <w:pPr>
        <w:pStyle w:val="LegClause"/>
      </w:pPr>
      <w:r>
        <w:rPr>
          <w:b/>
        </w:rPr>
        <w:t xml:space="preserve">(c)  </w:t>
      </w:r>
      <w:r>
        <w:t>Contracts may finance supplier qualification and workforce training when those services provide a direct and reasonable benefit to the authorized facility.</w:t>
      </w:r>
    </w:p>
    <w:p>
      <w:pPr>
        <w:pStyle w:val="LegSection"/>
      </w:pPr>
      <w:r>
        <w:t>SEC. 3206. SCIENCE CONTINUITY DURING MODERNIZATION.</w:t>
      </w:r>
    </w:p>
    <w:p>
      <w:pPr>
        <w:pStyle w:val="LegClause"/>
      </w:pPr>
      <w:r>
        <w:rPr>
          <w:b/>
        </w:rPr>
        <w:t xml:space="preserve">(a)  </w:t>
      </w:r>
      <w:r>
        <w:t>A facility modernization plan shall identify scientific experiments, archives, instrumentation, biological repositories, computing workloads, and operational missions requiring uninterrupted service.</w:t>
      </w:r>
    </w:p>
    <w:p>
      <w:pPr>
        <w:pStyle w:val="LegClause"/>
      </w:pPr>
      <w:r>
        <w:rPr>
          <w:b/>
        </w:rPr>
        <w:t xml:space="preserve">(b)  </w:t>
      </w:r>
      <w:r>
        <w:t>The responsible agency shall make reasonable provision for alternative facilities, phased shutdowns, instrument protection, or advance data replication before disruptive work.</w:t>
      </w:r>
    </w:p>
    <w:p>
      <w:pPr>
        <w:pStyle w:val="LegClause"/>
      </w:pPr>
      <w:r>
        <w:rPr>
          <w:b/>
        </w:rPr>
        <w:t xml:space="preserve">(c)  </w:t>
      </w:r>
      <w:r>
        <w:t>Permanent loss of unique research capability shall require independent scientific-value review and a written justification to Congress for projects exceeding $1,000,000,000.</w:t>
      </w:r>
    </w:p>
    <w:p>
      <w:pPr>
        <w:pStyle w:val="LegSection"/>
      </w:pPr>
      <w:r>
        <w:t>SEC. 3207. COMMON-USE LAUNCH AND RESEARCH UTILITY ACCOUNTING.</w:t>
      </w:r>
    </w:p>
    <w:p>
      <w:pPr>
        <w:pStyle w:val="LegClause"/>
      </w:pPr>
      <w:r>
        <w:rPr>
          <w:b/>
        </w:rPr>
        <w:t xml:space="preserve">(a)  </w:t>
      </w:r>
      <w:r>
        <w:t>NASA and the Infrastructure Authority shall establish transparent cost-allocation methodologies for power, gases, road systems, security, communications, launch support, instrument rooms, and other common utilities.</w:t>
      </w:r>
    </w:p>
    <w:p>
      <w:pPr>
        <w:pStyle w:val="LegClause"/>
      </w:pPr>
      <w:r>
        <w:rPr>
          <w:b/>
        </w:rPr>
        <w:t xml:space="preserve">(b)  </w:t>
      </w:r>
      <w:r>
        <w:t>Commercial use fees shall be proportionate to attributable cost and mission benefit, consistent with applicable law; fees may not exceed statutory authority and shall not arbitrarily exclude scientific or small users.</w:t>
      </w:r>
    </w:p>
    <w:p>
      <w:pPr>
        <w:pStyle w:val="LegClause"/>
      </w:pPr>
      <w:r>
        <w:rPr>
          <w:b/>
        </w:rPr>
        <w:t xml:space="preserve">(c)  </w:t>
      </w:r>
      <w:r>
        <w:t>Fees shall be credited to the authorized account and published by category, subject to lawful confidential business protections.</w:t>
      </w:r>
    </w:p>
    <w:p>
      <w:pPr>
        <w:pStyle w:val="LegSection"/>
      </w:pPr>
      <w:r>
        <w:t>SEC. 3208. PROJECT CANCELLATION AND ASSET REUSE.</w:t>
      </w:r>
    </w:p>
    <w:p>
      <w:pPr>
        <w:pStyle w:val="LegClause"/>
      </w:pPr>
      <w:r>
        <w:rPr>
          <w:b/>
        </w:rPr>
        <w:t xml:space="preserve">(a)  </w:t>
      </w:r>
      <w:r>
        <w:t>Before cancelling a major facility, the owner shall determine whether its designs, land, equipment, civil works, instruments, software, environmental work, or trained workforce can lawfully support another scientific purpose.</w:t>
      </w:r>
    </w:p>
    <w:p>
      <w:pPr>
        <w:pStyle w:val="LegClause"/>
      </w:pPr>
      <w:r>
        <w:rPr>
          <w:b/>
        </w:rPr>
        <w:t xml:space="preserve">(b)  </w:t>
      </w:r>
      <w:r>
        <w:t>Termination decisions shall consider the forward-looking value and cost of alternatives; prior spending alone shall not justify continuation.</w:t>
      </w:r>
    </w:p>
    <w:p>
      <w:pPr>
        <w:pStyle w:val="LegClause"/>
      </w:pPr>
      <w:r>
        <w:rPr>
          <w:b/>
        </w:rPr>
        <w:t xml:space="preserve">(c)  </w:t>
      </w:r>
      <w:r>
        <w:t>The agency shall preserve technical records and disclose lifecycle liabilities remaining after termination.</w:t>
      </w:r>
    </w:p>
    <w:p>
      <w:pPr>
        <w:pStyle w:val="LegSection"/>
      </w:pPr>
      <w:r>
        <w:t>SEC. 3209. SITE ENVIRONMENTAL, TRIBAL, AND COMMUNITY DUTIES.</w:t>
      </w:r>
    </w:p>
    <w:p>
      <w:pPr>
        <w:pStyle w:val="LegClause"/>
      </w:pPr>
      <w:r>
        <w:rPr>
          <w:b/>
        </w:rPr>
        <w:t xml:space="preserve">(a)  </w:t>
      </w:r>
      <w:r>
        <w:t>No activity under this title waives the National Environmental Policy Act, applicable endangered-species protections, historic-preservation requirements, tribal consultation, water or air law, labor standards, or judicial review.</w:t>
      </w:r>
    </w:p>
    <w:p>
      <w:pPr>
        <w:pStyle w:val="LegClause"/>
      </w:pPr>
      <w:r>
        <w:rPr>
          <w:b/>
        </w:rPr>
        <w:t xml:space="preserve">(b)  </w:t>
      </w:r>
      <w:r>
        <w:t>Agencies shall perform early alternatives analysis and coordinate reviews to avoid unnecessary duplication, but acceleration is not a substitute for substantive compliance.</w:t>
      </w:r>
    </w:p>
    <w:p>
      <w:pPr>
        <w:pStyle w:val="LegClause"/>
      </w:pPr>
      <w:r>
        <w:rPr>
          <w:b/>
        </w:rPr>
        <w:t xml:space="preserve">(c)  </w:t>
      </w:r>
      <w:r>
        <w:t>Where a site has unusual cultural, environmental, or community significance, the responsible agency shall provide transparent reasons for selection and mitigation.</w:t>
      </w:r>
    </w:p>
    <w:p>
      <w:pPr>
        <w:pStyle w:val="LegSection"/>
      </w:pPr>
      <w:r>
        <w:t>SEC. 3210. FACILITIES CONDITIONS AND HEALTH REQUIREMENTS.</w:t>
      </w:r>
    </w:p>
    <w:p>
      <w:pPr>
        <w:pStyle w:val="LegClause"/>
      </w:pPr>
      <w:r>
        <w:rPr>
          <w:b/>
        </w:rPr>
        <w:t xml:space="preserve">(a)  </w:t>
      </w:r>
      <w:r>
        <w:t>Occupied research environments shall be designed for safe ventilation, hazardous-substance handling, access control, accessibility, emergency response, noise conditions, thermal safety, and ergonomic work patterns.</w:t>
      </w:r>
    </w:p>
    <w:p>
      <w:pPr>
        <w:pStyle w:val="LegClause"/>
      </w:pPr>
      <w:r>
        <w:rPr>
          <w:b/>
        </w:rPr>
        <w:t xml:space="preserve">(b)  </w:t>
      </w:r>
      <w:r>
        <w:t>Specialized laboratories shall use design assumptions appropriate to biological containment, lasers, radiation, cryogenics, high voltage, pressure, vacuum, autonomous equipment, or other hazards.</w:t>
      </w:r>
    </w:p>
    <w:p>
      <w:pPr>
        <w:pStyle w:val="LegClause"/>
      </w:pPr>
      <w:r>
        <w:rPr>
          <w:b/>
        </w:rPr>
        <w:t xml:space="preserve">(c)  </w:t>
      </w:r>
      <w:r>
        <w:t>Human-centered amenities may be financed when mission-related, but expenditures shall be proportionate and shall not displace legally required safety or scientific equipment.</w:t>
      </w:r>
    </w:p>
    <w:p>
      <w:pPr>
        <w:pStyle w:val="LegSection"/>
      </w:pPr>
      <w:r>
        <w:t>SEC. 3211. CAPITAL PORTFOLIO REVIEW AND QUEUE.</w:t>
      </w:r>
    </w:p>
    <w:p>
      <w:pPr>
        <w:pStyle w:val="LegClause"/>
      </w:pPr>
      <w:r>
        <w:rPr>
          <w:b/>
        </w:rPr>
        <w:t xml:space="preserve">(a)  </w:t>
      </w:r>
      <w:r>
        <w:t>The Infrastructure Authority shall maintain a public list of concept, design, construction, commissioning, operating, and decommissioning projects and the estimated capital and operating resources they require.</w:t>
      </w:r>
    </w:p>
    <w:p>
      <w:pPr>
        <w:pStyle w:val="LegClause"/>
      </w:pPr>
      <w:r>
        <w:rPr>
          <w:b/>
        </w:rPr>
        <w:t xml:space="preserve">(b)  </w:t>
      </w:r>
      <w:r>
        <w:t>Projects shall be sequenced according to scientific value, safety, technical maturity, readiness of users, infrastructure dependencies, and delivery capacity.</w:t>
      </w:r>
    </w:p>
    <w:p>
      <w:pPr>
        <w:pStyle w:val="LegClause"/>
      </w:pPr>
      <w:r>
        <w:rPr>
          <w:b/>
        </w:rPr>
        <w:t xml:space="preserve">(c)  </w:t>
      </w:r>
      <w:r>
        <w:t>The list shall separately identify funds appropriated, obligated, paid, and held for specific uncompleted gates; delay shall not be concealed by describing budget authority as completed infrastructure.</w:t>
      </w:r>
    </w:p>
    <w:p>
      <w:pPr>
        <w:pStyle w:val="LegSection"/>
      </w:pPr>
      <w:r>
        <w:t>SEC. 3212. RECURRING FACILITY OPERATING OBLIGATIONS.</w:t>
      </w:r>
    </w:p>
    <w:p>
      <w:pPr>
        <w:pStyle w:val="LegClause"/>
      </w:pPr>
      <w:r>
        <w:rPr>
          <w:b/>
        </w:rPr>
        <w:t xml:space="preserve">(a)  </w:t>
      </w:r>
      <w:r>
        <w:t>Before opening a new major facility, the operating agency shall identify at least ten years of projected operating costs, anticipated user access, maintenance capacity, cybersecurity, environmental monitoring, and periodic recapitalization.</w:t>
      </w:r>
    </w:p>
    <w:p>
      <w:pPr>
        <w:pStyle w:val="LegClause"/>
      </w:pPr>
      <w:r>
        <w:rPr>
          <w:b/>
        </w:rPr>
        <w:t xml:space="preserve">(b)  </w:t>
      </w:r>
      <w:r>
        <w:t>No scientific facility shall be described as financially sustainable merely because initial construction is fully funded.</w:t>
      </w:r>
    </w:p>
    <w:p>
      <w:pPr>
        <w:pStyle w:val="LegClause"/>
      </w:pPr>
      <w:r>
        <w:rPr>
          <w:b/>
        </w:rPr>
        <w:t xml:space="preserve">(c)  </w:t>
      </w:r>
      <w:r>
        <w:t>The agency shall include decommissioning or safe-closure obligations where hazardous substances, specialized radiation systems, or irreversible environmental risks are expected.</w:t>
      </w:r>
    </w:p>
    <w:p>
      <w:pPr>
        <w:pStyle w:val="LegTitle"/>
      </w:pPr>
      <w:r>
        <w:t>TITLE XXXIII — SCIENTIFIC HUMAN CAPITAL, PROFESSIONAL DEVELOPMENT, AND INSTITUTIONAL ABSORPTION</w:t>
      </w:r>
    </w:p>
    <w:p>
      <w:pPr>
        <w:pStyle w:val="LegSection"/>
      </w:pPr>
      <w:r>
        <w:t>SEC. 3301. MULTIYEAR SCIENCE WORKFORCE DEMAND MODEL.</w:t>
      </w:r>
    </w:p>
    <w:p>
      <w:pPr>
        <w:pStyle w:val="LegClause"/>
      </w:pPr>
      <w:r>
        <w:rPr>
          <w:b/>
        </w:rPr>
        <w:t xml:space="preserve">(a)  </w:t>
      </w:r>
      <w:r>
        <w:t>OPM, NASA, DARPA, DOE, NSF, and the Network Council shall maintain a rolling ten-year workforce demand model tied to authorized project pipelines and scientific operating needs.</w:t>
      </w:r>
    </w:p>
    <w:p>
      <w:pPr>
        <w:pStyle w:val="LegClause"/>
      </w:pPr>
      <w:r>
        <w:rPr>
          <w:b/>
        </w:rPr>
        <w:t xml:space="preserve">(b)  </w:t>
      </w:r>
      <w:r>
        <w:t>The model shall distinguish Government civil service, research university, nonprofit laboratory, contractor, technician, apprenticeship, and international mobility needs by occupational competency.</w:t>
      </w:r>
    </w:p>
    <w:p>
      <w:pPr>
        <w:pStyle w:val="LegClause"/>
      </w:pPr>
      <w:r>
        <w:rPr>
          <w:b/>
        </w:rPr>
        <w:t xml:space="preserve">(c)  </w:t>
      </w:r>
      <w:r>
        <w:t>Forecasts shall report uncertainty and shall not be used as a pretext for eliminating investigator-led research fields whose opportunities cannot be predicted precisely.</w:t>
      </w:r>
    </w:p>
    <w:p>
      <w:pPr>
        <w:pStyle w:val="LegSection"/>
      </w:pPr>
      <w:r>
        <w:t>SEC. 3302. WORKFORCE ABSORPTIVE-CAPACITY STANDARD.</w:t>
      </w:r>
    </w:p>
    <w:p>
      <w:pPr>
        <w:pStyle w:val="LegClause"/>
      </w:pPr>
      <w:r>
        <w:rPr>
          <w:b/>
        </w:rPr>
        <w:t xml:space="preserve">(a)  </w:t>
      </w:r>
      <w:r>
        <w:t>An institution may increase annual personnel commitments only where it has adequate supervisory capacity, laboratory space, safety oversight, payroll and human-resources systems, training, and acquisition support.</w:t>
      </w:r>
    </w:p>
    <w:p>
      <w:pPr>
        <w:pStyle w:val="LegClause"/>
      </w:pPr>
      <w:r>
        <w:rPr>
          <w:b/>
        </w:rPr>
        <w:t xml:space="preserve">(b)  </w:t>
      </w:r>
      <w:r>
        <w:t>A shortage of such capacity shall trigger corrective hiring and capital support, not automatic forfeiture of the institution funding floor.</w:t>
      </w:r>
    </w:p>
    <w:p>
      <w:pPr>
        <w:pStyle w:val="LegClause"/>
      </w:pPr>
      <w:r>
        <w:rPr>
          <w:b/>
        </w:rPr>
        <w:t xml:space="preserve">(c)  </w:t>
      </w:r>
      <w:r>
        <w:t>An agency shall document how each major hiring initiative improves a scientific workflow, mission assurance, procurement capacity, facility uptime, or scientific access.</w:t>
      </w:r>
    </w:p>
    <w:p>
      <w:pPr>
        <w:pStyle w:val="LegSection"/>
      </w:pPr>
      <w:r>
        <w:t>SEC. 3303. NATIONAL SCIENTIFIC CAREERS SERVICE.</w:t>
      </w:r>
    </w:p>
    <w:p>
      <w:pPr>
        <w:pStyle w:val="LegClause"/>
      </w:pPr>
      <w:r>
        <w:rPr>
          <w:b/>
        </w:rPr>
        <w:t xml:space="preserve">(a)  </w:t>
      </w:r>
      <w:r>
        <w:t>OPM shall operate a joint recruiting service for federally supported scientific and technical positions, with common competency descriptions and position-specific eligibility criteria.</w:t>
      </w:r>
    </w:p>
    <w:p>
      <w:pPr>
        <w:pStyle w:val="LegClause"/>
      </w:pPr>
      <w:r>
        <w:rPr>
          <w:b/>
        </w:rPr>
        <w:t xml:space="preserve">(b)  </w:t>
      </w:r>
      <w:r>
        <w:t>The service shall not displace merit selection, lawful veteran preference, security screening, or agency-specific technical judgment.</w:t>
      </w:r>
    </w:p>
    <w:p>
      <w:pPr>
        <w:pStyle w:val="LegClause"/>
      </w:pPr>
      <w:r>
        <w:rPr>
          <w:b/>
        </w:rPr>
        <w:t xml:space="preserve">(c)  </w:t>
      </w:r>
      <w:r>
        <w:t>The service shall publish time-to-hire, offer acceptance, retention, skills gaps, and appeal channels while protecting applicant personal information.</w:t>
      </w:r>
    </w:p>
    <w:p>
      <w:pPr>
        <w:pStyle w:val="LegSection"/>
      </w:pPr>
      <w:r>
        <w:t>SEC. 3304. PAID PROFESSIONAL APPRENTICESHIPS AND MENTORSHIP.</w:t>
      </w:r>
    </w:p>
    <w:p>
      <w:pPr>
        <w:pStyle w:val="LegClause"/>
      </w:pPr>
      <w:r>
        <w:rPr>
          <w:b/>
        </w:rPr>
        <w:t xml:space="preserve">(a)  </w:t>
      </w:r>
      <w:r>
        <w:t>Apprenticeship programs shall pay wages appropriate to work performed, include supervised practical learning, and issue portable competency documentation.</w:t>
      </w:r>
    </w:p>
    <w:p>
      <w:pPr>
        <w:pStyle w:val="LegClause"/>
      </w:pPr>
      <w:r>
        <w:rPr>
          <w:b/>
        </w:rPr>
        <w:t xml:space="preserve">(b)  </w:t>
      </w:r>
      <w:r>
        <w:t>Qualified laboratories may receive reimbursement for mentorship and instrument access when they meet safety, nondiscrimination, labor, and evaluation standards.</w:t>
      </w:r>
    </w:p>
    <w:p>
      <w:pPr>
        <w:pStyle w:val="LegClause"/>
      </w:pPr>
      <w:r>
        <w:rPr>
          <w:b/>
        </w:rPr>
        <w:t xml:space="preserve">(c)  </w:t>
      </w:r>
      <w:r>
        <w:t>Training contracts shall define expected work competencies and not rely solely on academic course completion.</w:t>
      </w:r>
    </w:p>
    <w:p>
      <w:pPr>
        <w:pStyle w:val="LegSection"/>
      </w:pPr>
      <w:r>
        <w:t>SEC. 3305. PROFESSIONAL SCIENTIFIC MANAGEMENT TRAINING.</w:t>
      </w:r>
    </w:p>
    <w:p>
      <w:pPr>
        <w:pStyle w:val="LegClause"/>
      </w:pPr>
      <w:r>
        <w:rPr>
          <w:b/>
        </w:rPr>
        <w:t xml:space="preserve">(a)  </w:t>
      </w:r>
      <w:r>
        <w:t>The Government shall fund advanced training for technical program managers, systems engineers, mission assurance officials, contracting officers, laboratory directors, project accountants, and chief scientists.</w:t>
      </w:r>
    </w:p>
    <w:p>
      <w:pPr>
        <w:pStyle w:val="LegClause"/>
      </w:pPr>
      <w:r>
        <w:rPr>
          <w:b/>
        </w:rPr>
        <w:t xml:space="preserve">(b)  </w:t>
      </w:r>
      <w:r>
        <w:t>Curricula shall cover uncertainty, peer review, technical interfaces, independent cost estimates, project risk, ethics, research security, and human performance.</w:t>
      </w:r>
    </w:p>
    <w:p>
      <w:pPr>
        <w:pStyle w:val="LegClause"/>
      </w:pPr>
      <w:r>
        <w:rPr>
          <w:b/>
        </w:rPr>
        <w:t xml:space="preserve">(c)  </w:t>
      </w:r>
      <w:r>
        <w:t>Graduation from a management course shall not substitute for demonstrated subject-matter technical competence in safety or mission roles.</w:t>
      </w:r>
    </w:p>
    <w:p>
      <w:pPr>
        <w:pStyle w:val="LegSection"/>
      </w:pPr>
      <w:r>
        <w:t>SEC. 3306. TECHNICIAN AND TRADES CAREER EQUIVALENCE.</w:t>
      </w:r>
    </w:p>
    <w:p>
      <w:pPr>
        <w:pStyle w:val="LegClause"/>
      </w:pPr>
      <w:r>
        <w:rPr>
          <w:b/>
        </w:rPr>
        <w:t xml:space="preserve">(a)  </w:t>
      </w:r>
      <w:r>
        <w:t>Agencies shall maintain pay and recognition routes for extraordinary technical professionals that do not require conversion to administrative supervision or advanced degrees unrelated to the work.</w:t>
      </w:r>
    </w:p>
    <w:p>
      <w:pPr>
        <w:pStyle w:val="LegClause"/>
      </w:pPr>
      <w:r>
        <w:rPr>
          <w:b/>
        </w:rPr>
        <w:t xml:space="preserve">(b)  </w:t>
      </w:r>
      <w:r>
        <w:t>Competencies may include precision machining, flight operations, semiconductor processing, cryogenics, scientific instrumentation, clean-room practice, robotics, software reliability, and high-voltage systems.</w:t>
      </w:r>
    </w:p>
    <w:p>
      <w:pPr>
        <w:pStyle w:val="LegClause"/>
      </w:pPr>
      <w:r>
        <w:rPr>
          <w:b/>
        </w:rPr>
        <w:t xml:space="preserve">(c)  </w:t>
      </w:r>
      <w:r>
        <w:t>Agencies shall evaluate technical employee contributions using quality, safety, learning, instrument capability, and sustained operations, not publication counts alone.</w:t>
      </w:r>
    </w:p>
    <w:p>
      <w:pPr>
        <w:pStyle w:val="LegSection"/>
      </w:pPr>
      <w:r>
        <w:t>SEC. 3307. UNIVERSITY AND LABORATORY RESEARCH CAPACITY PARTNERSHIPS.</w:t>
      </w:r>
    </w:p>
    <w:p>
      <w:pPr>
        <w:pStyle w:val="LegClause"/>
      </w:pPr>
      <w:r>
        <w:rPr>
          <w:b/>
        </w:rPr>
        <w:t xml:space="preserve">(a)  </w:t>
      </w:r>
      <w:r>
        <w:t>The Network may finance research staff, technical infrastructure, graduate training, scientific equipment, and user access at eligible universities and independent institutes under competitive agreements.</w:t>
      </w:r>
    </w:p>
    <w:p>
      <w:pPr>
        <w:pStyle w:val="LegClause"/>
      </w:pPr>
      <w:r>
        <w:rPr>
          <w:b/>
        </w:rPr>
        <w:t xml:space="preserve">(b)  </w:t>
      </w:r>
      <w:r>
        <w:t>Indirect-cost recovery and facility obligations shall be auditable; no institution may charge twice for construction or equipment already financed by an account in this Act.</w:t>
      </w:r>
    </w:p>
    <w:p>
      <w:pPr>
        <w:pStyle w:val="LegClause"/>
      </w:pPr>
      <w:r>
        <w:rPr>
          <w:b/>
        </w:rPr>
        <w:t xml:space="preserve">(c)  </w:t>
      </w:r>
      <w:r>
        <w:t>Multi-institution awards shall define principal scientific responsibilities and equitable access to shared data and equipment.</w:t>
      </w:r>
    </w:p>
    <w:p>
      <w:pPr>
        <w:pStyle w:val="LegSection"/>
      </w:pPr>
      <w:r>
        <w:t>SEC. 3308. RESEARCH MOBILITY AND CONFLICTS.</w:t>
      </w:r>
    </w:p>
    <w:p>
      <w:pPr>
        <w:pStyle w:val="LegClause"/>
      </w:pPr>
      <w:r>
        <w:rPr>
          <w:b/>
        </w:rPr>
        <w:t xml:space="preserve">(a)  </w:t>
      </w:r>
      <w:r>
        <w:t>Movement among Federal agencies, universities, nonprofit laboratories, and private research entities shall be facilitated through temporary assignments and lawful appointment mechanisms.</w:t>
      </w:r>
    </w:p>
    <w:p>
      <w:pPr>
        <w:pStyle w:val="LegClause"/>
      </w:pPr>
      <w:r>
        <w:rPr>
          <w:b/>
        </w:rPr>
        <w:t xml:space="preserve">(b)  </w:t>
      </w:r>
      <w:r>
        <w:t>Participants shall disclose financial, supervisory, intellectual-property, and security interests that may impair impartial procurement or scientific assessment.</w:t>
      </w:r>
    </w:p>
    <w:p>
      <w:pPr>
        <w:pStyle w:val="LegClause"/>
      </w:pPr>
      <w:r>
        <w:rPr>
          <w:b/>
        </w:rPr>
        <w:t xml:space="preserve">(c)  </w:t>
      </w:r>
      <w:r>
        <w:t>The Government shall not condition scientific mobility on surrendering protected publication or whistleblower rights beyond law.</w:t>
      </w:r>
    </w:p>
    <w:p>
      <w:pPr>
        <w:pStyle w:val="LegSection"/>
      </w:pPr>
      <w:r>
        <w:t>SEC. 3309. SCIENTIFIC WORKFORCE WELL-BEING AND RETENTION.</w:t>
      </w:r>
    </w:p>
    <w:p>
      <w:pPr>
        <w:pStyle w:val="LegClause"/>
      </w:pPr>
      <w:r>
        <w:rPr>
          <w:b/>
        </w:rPr>
        <w:t xml:space="preserve">(a)  </w:t>
      </w:r>
      <w:r>
        <w:t>Covered institutions shall assess fatigue, shift work, dangerous exposures, harassment, burnout, family mobility, and psychological safety where these conditions threaten personnel health or scientific integrity.</w:t>
      </w:r>
    </w:p>
    <w:p>
      <w:pPr>
        <w:pStyle w:val="LegClause"/>
      </w:pPr>
      <w:r>
        <w:rPr>
          <w:b/>
        </w:rPr>
        <w:t xml:space="preserve">(b)  </w:t>
      </w:r>
      <w:r>
        <w:t>Well-being programs shall be evidence-informed and voluntary except where an occupational fitness or safety requirement is independently authorized by law.</w:t>
      </w:r>
    </w:p>
    <w:p>
      <w:pPr>
        <w:pStyle w:val="LegClause"/>
      </w:pPr>
      <w:r>
        <w:rPr>
          <w:b/>
        </w:rPr>
        <w:t xml:space="preserve">(c)  </w:t>
      </w:r>
      <w:r>
        <w:t>An agency shall not claim that a substantial retention or productivity improvement has occurred without using a defined baseline and reproducible measurement.</w:t>
      </w:r>
    </w:p>
    <w:p>
      <w:pPr>
        <w:pStyle w:val="LegSection"/>
      </w:pPr>
      <w:r>
        <w:t>SEC. 3310. INTERNATIONAL TALENT DEVELOPMENT AND LEGAL MOBILITY.</w:t>
      </w:r>
    </w:p>
    <w:p>
      <w:pPr>
        <w:pStyle w:val="LegClause"/>
      </w:pPr>
      <w:r>
        <w:rPr>
          <w:b/>
        </w:rPr>
        <w:t xml:space="preserve">(a)  </w:t>
      </w:r>
      <w:r>
        <w:t>Visa and international placement functions under this Act shall be administered by competent immigration and foreign-affairs agencies and shall not guarantee admission, permanent status, or access to controlled technology.</w:t>
      </w:r>
    </w:p>
    <w:p>
      <w:pPr>
        <w:pStyle w:val="LegClause"/>
      </w:pPr>
      <w:r>
        <w:rPr>
          <w:b/>
        </w:rPr>
        <w:t xml:space="preserve">(b)  </w:t>
      </w:r>
      <w:r>
        <w:t>Research sponsors shall identify legal work authorization, program supervision, security access, family support, ethical recruitment, and reintegration or continuing affiliation where applicable.</w:t>
      </w:r>
    </w:p>
    <w:p>
      <w:pPr>
        <w:pStyle w:val="LegClause"/>
      </w:pPr>
      <w:r>
        <w:rPr>
          <w:b/>
        </w:rPr>
        <w:t xml:space="preserve">(c)  </w:t>
      </w:r>
      <w:r>
        <w:t>Research security shall rely on individualized lawful risk criteria rather than ancestry or country of birth as a sole determinant.</w:t>
      </w:r>
    </w:p>
    <w:p>
      <w:pPr>
        <w:pStyle w:val="LegSection"/>
      </w:pPr>
      <w:r>
        <w:t>SEC. 3311. SCIENTIFIC TEACHER AND PUBLIC INSTITUTION RENEWAL.</w:t>
      </w:r>
    </w:p>
    <w:p>
      <w:pPr>
        <w:pStyle w:val="LegClause"/>
      </w:pPr>
      <w:r>
        <w:rPr>
          <w:b/>
        </w:rPr>
        <w:t xml:space="preserve">(a)  </w:t>
      </w:r>
      <w:r>
        <w:t>Competitive grants may finance advanced science teaching equipment, teacher fellowships, laboratory safety improvements, and remote access to Federal scientific instruments.</w:t>
      </w:r>
    </w:p>
    <w:p>
      <w:pPr>
        <w:pStyle w:val="LegClause"/>
      </w:pPr>
      <w:r>
        <w:rPr>
          <w:b/>
        </w:rPr>
        <w:t xml:space="preserve">(b)  </w:t>
      </w:r>
      <w:r>
        <w:t>Education grants shall be evaluated on safe utilization, teacher expertise, student participation, portable skills, and sustainability beyond the grant period.</w:t>
      </w:r>
    </w:p>
    <w:p>
      <w:pPr>
        <w:pStyle w:val="LegClause"/>
      </w:pPr>
      <w:r>
        <w:rPr>
          <w:b/>
        </w:rPr>
        <w:t xml:space="preserve">(c)  </w:t>
      </w:r>
      <w:r>
        <w:t>Government-developed educational material shall be accessible and open to lawful reuse, with reasonable accommodations for disability.</w:t>
      </w:r>
    </w:p>
    <w:p>
      <w:pPr>
        <w:pStyle w:val="LegSection"/>
      </w:pPr>
      <w:r>
        <w:t>SEC. 3312. PERSONNEL OVERSIGHT AND PERIODIC DEMAND RECONCILIATION.</w:t>
      </w:r>
    </w:p>
    <w:p>
      <w:pPr>
        <w:pStyle w:val="LegClause"/>
      </w:pPr>
      <w:r>
        <w:rPr>
          <w:b/>
        </w:rPr>
        <w:t xml:space="preserve">(a)  </w:t>
      </w:r>
      <w:r>
        <w:t>Every two years the Comptroller General shall review recruitment and retention effectiveness against documented science capacity needs and resource limits.</w:t>
      </w:r>
    </w:p>
    <w:p>
      <w:pPr>
        <w:pStyle w:val="LegClause"/>
      </w:pPr>
      <w:r>
        <w:rPr>
          <w:b/>
        </w:rPr>
        <w:t xml:space="preserve">(b)  </w:t>
      </w:r>
      <w:r>
        <w:t>Reports shall distinguish filled positions, vacancies, contractor dependence, attrition, and changes in the output or reliability of the affected scientific process.</w:t>
      </w:r>
    </w:p>
    <w:p>
      <w:pPr>
        <w:pStyle w:val="LegClause"/>
      </w:pPr>
      <w:r>
        <w:rPr>
          <w:b/>
        </w:rPr>
        <w:t xml:space="preserve">(c)  </w:t>
      </w:r>
      <w:r>
        <w:t>An institution shall update its training and hiring plan when a major mission or technology assumption changes, rather than perpetuating a workforce pipeline for obsolete requirements.</w:t>
      </w:r>
    </w:p>
    <w:p>
      <w:pPr>
        <w:pStyle w:val="LegTitle"/>
      </w:pPr>
      <w:r>
        <w:t>TITLE XXXIV — TECHNOLOGY MATURATION, INTEGRATED SYSTEMS ENGINEERING, AND FRONTIER DISCOVERY</w:t>
      </w:r>
    </w:p>
    <w:p>
      <w:pPr>
        <w:pStyle w:val="LegSection"/>
      </w:pPr>
      <w:r>
        <w:t>SEC. 3401. TECHNOLOGY READINESS AND SCIENTIFIC MATURITY DISTINCTION.</w:t>
      </w:r>
    </w:p>
    <w:p>
      <w:pPr>
        <w:pStyle w:val="LegClause"/>
      </w:pPr>
      <w:r>
        <w:rPr>
          <w:b/>
        </w:rPr>
        <w:t xml:space="preserve">(a)  </w:t>
      </w:r>
      <w:r>
        <w:t>Program management shall distinguish discovery-stage scientific uncertainty from engineering integration, manufacturing readiness, operational reliability, and commercial or public deployment readiness.</w:t>
      </w:r>
    </w:p>
    <w:p>
      <w:pPr>
        <w:pStyle w:val="LegClause"/>
      </w:pPr>
      <w:r>
        <w:rPr>
          <w:b/>
        </w:rPr>
        <w:t xml:space="preserve">(b)  </w:t>
      </w:r>
      <w:r>
        <w:t>No single technology-readiness scale is mandated for all research; each portfolio shall use assessment methods appropriate to its scientific and engineering purpose.</w:t>
      </w:r>
    </w:p>
    <w:p>
      <w:pPr>
        <w:pStyle w:val="LegClause"/>
      </w:pPr>
      <w:r>
        <w:rPr>
          <w:b/>
        </w:rPr>
        <w:t xml:space="preserve">(c)  </w:t>
      </w:r>
      <w:r>
        <w:t>Funding decisions shall not penalize foundational research merely because it lacks a near-term integrated prototype.</w:t>
      </w:r>
    </w:p>
    <w:p>
      <w:pPr>
        <w:pStyle w:val="LegSection"/>
      </w:pPr>
      <w:r>
        <w:t>SEC. 3402. INDEPENDENT TECHNICAL REPLICATION BEFORE SCALE-UP.</w:t>
      </w:r>
    </w:p>
    <w:p>
      <w:pPr>
        <w:pStyle w:val="LegClause"/>
      </w:pPr>
      <w:r>
        <w:rPr>
          <w:b/>
        </w:rPr>
        <w:t xml:space="preserve">(a)  </w:t>
      </w:r>
      <w:r>
        <w:t>A claim necessary to justify a project with expected Federal lifecycle cost above $1,000,000,000 shall undergo independent testing or documented reference-class verification appropriate to the claim.</w:t>
      </w:r>
    </w:p>
    <w:p>
      <w:pPr>
        <w:pStyle w:val="LegClause"/>
      </w:pPr>
      <w:r>
        <w:rPr>
          <w:b/>
        </w:rPr>
        <w:t xml:space="preserve">(b)  </w:t>
      </w:r>
      <w:r>
        <w:t>The review shall identify measurement uncertainty, replication limits, environmental conditions, failure modes, scientific alternatives, and confidence in scale-up feasibility.</w:t>
      </w:r>
    </w:p>
    <w:p>
      <w:pPr>
        <w:pStyle w:val="LegClause"/>
      </w:pPr>
      <w:r>
        <w:rPr>
          <w:b/>
        </w:rPr>
        <w:t xml:space="preserve">(c)  </w:t>
      </w:r>
      <w:r>
        <w:t>Where direct replication is impossible at full scale, independent experiments and simulations shall test the critical underlying assumptions.</w:t>
      </w:r>
    </w:p>
    <w:p>
      <w:pPr>
        <w:pStyle w:val="LegSection"/>
      </w:pPr>
      <w:r>
        <w:t>SEC. 3403. LARGE-SYSTEMS INTERFACE MANAGEMENT.</w:t>
      </w:r>
    </w:p>
    <w:p>
      <w:pPr>
        <w:pStyle w:val="LegClause"/>
      </w:pPr>
      <w:r>
        <w:rPr>
          <w:b/>
        </w:rPr>
        <w:t xml:space="preserve">(a)  </w:t>
      </w:r>
      <w:r>
        <w:t>A system depending on several major spacecraft, instruments, contractors, artificial-intelligence models, power sources, or international facilities shall have an integrated technical authority and controlled interface standard.</w:t>
      </w:r>
    </w:p>
    <w:p>
      <w:pPr>
        <w:pStyle w:val="LegClause"/>
      </w:pPr>
      <w:r>
        <w:rPr>
          <w:b/>
        </w:rPr>
        <w:t xml:space="preserve">(b)  </w:t>
      </w:r>
      <w:r>
        <w:t>The authority shall report critical dependencies, single points of failure, cyber supply-chain risks, schedule coupling, configuration changes, and interoperability disputes.</w:t>
      </w:r>
    </w:p>
    <w:p>
      <w:pPr>
        <w:pStyle w:val="LegClause"/>
      </w:pPr>
      <w:r>
        <w:rPr>
          <w:b/>
        </w:rPr>
        <w:t xml:space="preserve">(c)  </w:t>
      </w:r>
      <w:r>
        <w:t>A contractor shall not possess a de facto veto over alternative designs by withholding interfaces that the Government has lawfully purchased rights to use.</w:t>
      </w:r>
    </w:p>
    <w:p>
      <w:pPr>
        <w:pStyle w:val="LegSection"/>
      </w:pPr>
      <w:r>
        <w:t>SEC. 3404. EARLY-STAGE COMPETING CONCEPTS.</w:t>
      </w:r>
    </w:p>
    <w:p>
      <w:pPr>
        <w:pStyle w:val="LegClause"/>
      </w:pPr>
      <w:r>
        <w:rPr>
          <w:b/>
        </w:rPr>
        <w:t xml:space="preserve">(a)  </w:t>
      </w:r>
      <w:r>
        <w:t>New missions and moonshots shall, where feasible, fund several competing approaches through an initial uncertainty-reduction period before selecting a single integrated architecture.</w:t>
      </w:r>
    </w:p>
    <w:p>
      <w:pPr>
        <w:pStyle w:val="LegClause"/>
      </w:pPr>
      <w:r>
        <w:rPr>
          <w:b/>
        </w:rPr>
        <w:t xml:space="preserve">(b)  </w:t>
      </w:r>
      <w:r>
        <w:t>Down-selection criteria shall be disclosed to participants, including scientific value, risk, testability, total cost, safety, and technology transition.</w:t>
      </w:r>
    </w:p>
    <w:p>
      <w:pPr>
        <w:pStyle w:val="LegClause"/>
      </w:pPr>
      <w:r>
        <w:rPr>
          <w:b/>
        </w:rPr>
        <w:t xml:space="preserve">(c)  </w:t>
      </w:r>
      <w:r>
        <w:t>The Government may terminate a technically credible approach if it is no longer the best allocation of public resources, while preserving its evidence and fair contractual remedies.</w:t>
      </w:r>
    </w:p>
    <w:p>
      <w:pPr>
        <w:pStyle w:val="LegSection"/>
      </w:pPr>
      <w:r>
        <w:t>SEC. 3405. INDEPENDENT VERIFICATION AND TEST CAPACITY.</w:t>
      </w:r>
    </w:p>
    <w:p>
      <w:pPr>
        <w:pStyle w:val="LegClause"/>
      </w:pPr>
      <w:r>
        <w:rPr>
          <w:b/>
        </w:rPr>
        <w:t xml:space="preserve">(a)  </w:t>
      </w:r>
      <w:r>
        <w:t>Agencies shall reserve independent instrument and facility access for confirmation of major results, including high-energy systems, autonomous flight, microelectronics, advanced materials, biotechnology, and propulsion.</w:t>
      </w:r>
    </w:p>
    <w:p>
      <w:pPr>
        <w:pStyle w:val="LegClause"/>
      </w:pPr>
      <w:r>
        <w:rPr>
          <w:b/>
        </w:rPr>
        <w:t xml:space="preserve">(b)  </w:t>
      </w:r>
      <w:r>
        <w:t>Independent test performers shall not have disqualifying financial interests in the success of the main performer.</w:t>
      </w:r>
    </w:p>
    <w:p>
      <w:pPr>
        <w:pStyle w:val="LegClause"/>
      </w:pPr>
      <w:r>
        <w:rPr>
          <w:b/>
        </w:rPr>
        <w:t xml:space="preserve">(c)  </w:t>
      </w:r>
      <w:r>
        <w:t>The agency shall document test procedures, deviations, evidence, and the reliability of claimed performance.</w:t>
      </w:r>
    </w:p>
    <w:p>
      <w:pPr>
        <w:pStyle w:val="LegSection"/>
      </w:pPr>
      <w:r>
        <w:t>SEC. 3406. COMPLEX PROGRAM SYSTEMS-ASSURANCE PLANS.</w:t>
      </w:r>
    </w:p>
    <w:p>
      <w:pPr>
        <w:pStyle w:val="LegClause"/>
      </w:pPr>
      <w:r>
        <w:rPr>
          <w:b/>
        </w:rPr>
        <w:t xml:space="preserve">(a)  </w:t>
      </w:r>
      <w:r>
        <w:t>Programs involving human life, major environmental consequences, national infrastructure, or irreversible planetary actions shall maintain integrated safety and systems-assurance plans approved by a qualified independent authority.</w:t>
      </w:r>
    </w:p>
    <w:p>
      <w:pPr>
        <w:pStyle w:val="LegClause"/>
      </w:pPr>
      <w:r>
        <w:rPr>
          <w:b/>
        </w:rPr>
        <w:t xml:space="preserve">(b)  </w:t>
      </w:r>
      <w:r>
        <w:t>Plans shall include fault-tree or equivalent risk analysis, testing limits, human responsibility, cyber resilience, emergency shutdown, and independent validation.</w:t>
      </w:r>
    </w:p>
    <w:p>
      <w:pPr>
        <w:pStyle w:val="LegClause"/>
      </w:pPr>
      <w:r>
        <w:rPr>
          <w:b/>
        </w:rPr>
        <w:t xml:space="preserve">(c)  </w:t>
      </w:r>
      <w:r>
        <w:t>Scientific and technical autonomy does not authorize a program manager to override a binding safety determination without the lawful review procedure.</w:t>
      </w:r>
    </w:p>
    <w:p>
      <w:pPr>
        <w:pStyle w:val="LegSection"/>
      </w:pPr>
      <w:r>
        <w:t>SEC. 3407. SCIENTIFIC MISSION OPERATIONS DISCIPLINE.</w:t>
      </w:r>
    </w:p>
    <w:p>
      <w:pPr>
        <w:pStyle w:val="LegClause"/>
      </w:pPr>
      <w:r>
        <w:rPr>
          <w:b/>
        </w:rPr>
        <w:t xml:space="preserve">(a)  </w:t>
      </w:r>
      <w:r>
        <w:t>Operational science systems shall maintain calibration, anomaly tracking, configuration management, software patching, instrument logs, and data provenance for as long as the system remains mission critical.</w:t>
      </w:r>
    </w:p>
    <w:p>
      <w:pPr>
        <w:pStyle w:val="LegClause"/>
      </w:pPr>
      <w:r>
        <w:rPr>
          <w:b/>
        </w:rPr>
        <w:t xml:space="preserve">(b)  </w:t>
      </w:r>
      <w:r>
        <w:t>Operations teams shall have the authority and staffing needed to suspend unsafe operation and preserve the integrity of scientific measurements.</w:t>
      </w:r>
    </w:p>
    <w:p>
      <w:pPr>
        <w:pStyle w:val="LegClause"/>
      </w:pPr>
      <w:r>
        <w:rPr>
          <w:b/>
        </w:rPr>
        <w:t xml:space="preserve">(c)  </w:t>
      </w:r>
      <w:r>
        <w:t>Maintenance and recovery budgets shall not be diverted to new demonstrations without a documented continuity risk assessment.</w:t>
      </w:r>
    </w:p>
    <w:p>
      <w:pPr>
        <w:pStyle w:val="LegSection"/>
      </w:pPr>
      <w:r>
        <w:t>SEC. 3408. RESEARCH TRANSITION EVIDENCE STANDARD.</w:t>
      </w:r>
    </w:p>
    <w:p>
      <w:pPr>
        <w:pStyle w:val="LegClause"/>
      </w:pPr>
      <w:r>
        <w:rPr>
          <w:b/>
        </w:rPr>
        <w:t xml:space="preserve">(a)  </w:t>
      </w:r>
      <w:r>
        <w:t>Before a major Federal first-customer or pilot-manufacturing agreement, the sponsoring agency shall identify the evidence that the technology performs as claimed and the remaining manufacturing, safety, standards, and user-adoption uncertainties.</w:t>
      </w:r>
    </w:p>
    <w:p>
      <w:pPr>
        <w:pStyle w:val="LegClause"/>
      </w:pPr>
      <w:r>
        <w:rPr>
          <w:b/>
        </w:rPr>
        <w:t xml:space="preserve">(b)  </w:t>
      </w:r>
      <w:r>
        <w:t>The agreement shall include milestones, price reasonableness, Government data rights, audit access, and a rational termination or repayment provision.</w:t>
      </w:r>
    </w:p>
    <w:p>
      <w:pPr>
        <w:pStyle w:val="LegClause"/>
      </w:pPr>
      <w:r>
        <w:rPr>
          <w:b/>
        </w:rPr>
        <w:t xml:space="preserve">(c)  </w:t>
      </w:r>
      <w:r>
        <w:t>A successful laboratory demonstration alone shall not be considered proof of large-scale economic viability.</w:t>
      </w:r>
    </w:p>
    <w:p>
      <w:pPr>
        <w:pStyle w:val="LegSection"/>
      </w:pPr>
      <w:r>
        <w:t>SEC. 3409. INTERDISCIPLINARY MOONSHOT INTEGRATION.</w:t>
      </w:r>
    </w:p>
    <w:p>
      <w:pPr>
        <w:pStyle w:val="LegClause"/>
      </w:pPr>
      <w:r>
        <w:rPr>
          <w:b/>
        </w:rPr>
        <w:t xml:space="preserve">(a)  </w:t>
      </w:r>
      <w:r>
        <w:t>Grand Challenge charters shall identify which institutions provide basic science, design, systems engineering, instruments, computing, field trials, standards, independent validation, and operational transition.</w:t>
      </w:r>
    </w:p>
    <w:p>
      <w:pPr>
        <w:pStyle w:val="LegClause"/>
      </w:pPr>
      <w:r>
        <w:rPr>
          <w:b/>
        </w:rPr>
        <w:t xml:space="preserve">(b)  </w:t>
      </w:r>
      <w:r>
        <w:t>A central program office may coordinate milestones but may not suppress independent peer-reviewed technical criticism or replace agency organic statutory responsibilities.</w:t>
      </w:r>
    </w:p>
    <w:p>
      <w:pPr>
        <w:pStyle w:val="LegClause"/>
      </w:pPr>
      <w:r>
        <w:rPr>
          <w:b/>
        </w:rPr>
        <w:t xml:space="preserve">(c)  </w:t>
      </w:r>
      <w:r>
        <w:t>Cross-agency projects shall use the single-ledger accounting system required by section 3115.</w:t>
      </w:r>
    </w:p>
    <w:p>
      <w:pPr>
        <w:pStyle w:val="LegSection"/>
      </w:pPr>
      <w:r>
        <w:t>SEC. 3410. TECHNOLOGY STOP AND RESET PROCEDURES.</w:t>
      </w:r>
    </w:p>
    <w:p>
      <w:pPr>
        <w:pStyle w:val="LegClause"/>
      </w:pPr>
      <w:r>
        <w:rPr>
          <w:b/>
        </w:rPr>
        <w:t xml:space="preserve">(a)  </w:t>
      </w:r>
      <w:r>
        <w:t>When a major technical assumption is falsified, the program manager shall promptly review whether to redesign, perform a narrower experiment, return to foundational research, or terminate.</w:t>
      </w:r>
    </w:p>
    <w:p>
      <w:pPr>
        <w:pStyle w:val="LegClause"/>
      </w:pPr>
      <w:r>
        <w:rPr>
          <w:b/>
        </w:rPr>
        <w:t xml:space="preserve">(b)  </w:t>
      </w:r>
      <w:r>
        <w:t>The review shall consider costs to continue, probability of resolving uncertainty, competing options, safety, and the value of learning.</w:t>
      </w:r>
    </w:p>
    <w:p>
      <w:pPr>
        <w:pStyle w:val="LegClause"/>
      </w:pPr>
      <w:r>
        <w:rPr>
          <w:b/>
        </w:rPr>
        <w:t xml:space="preserve">(c)  </w:t>
      </w:r>
      <w:r>
        <w:t>No agency shall award continuation solely to avoid admitting that earlier projections were incorrect.</w:t>
      </w:r>
    </w:p>
    <w:p>
      <w:pPr>
        <w:pStyle w:val="LegSection"/>
      </w:pPr>
      <w:r>
        <w:t>SEC. 3411. FRONTIER RESEARCH CLAIMS AND PUBLIC EVIDENCE.</w:t>
      </w:r>
    </w:p>
    <w:p>
      <w:pPr>
        <w:pStyle w:val="LegClause"/>
      </w:pPr>
      <w:r>
        <w:rPr>
          <w:b/>
        </w:rPr>
        <w:t xml:space="preserve">(a)  </w:t>
      </w:r>
      <w:r>
        <w:t>Public scientific progress statements shall differentiate hypotheses, simulations, laboratory observations, field demonstrations, operational capabilities, and deployed systems.</w:t>
      </w:r>
    </w:p>
    <w:p>
      <w:pPr>
        <w:pStyle w:val="LegClause"/>
      </w:pPr>
      <w:r>
        <w:rPr>
          <w:b/>
        </w:rPr>
        <w:t xml:space="preserve">(b)  </w:t>
      </w:r>
      <w:r>
        <w:t>Uncertainty, independent replication status, and material known limitations shall accompany claims on which the Government relies to justify a major procurement.</w:t>
      </w:r>
    </w:p>
    <w:p>
      <w:pPr>
        <w:pStyle w:val="LegClause"/>
      </w:pPr>
      <w:r>
        <w:rPr>
          <w:b/>
        </w:rPr>
        <w:t xml:space="preserve">(c)  </w:t>
      </w:r>
      <w:r>
        <w:t>This section does not require disclosure of legitimately classified information, protected personal data, or trade secrets contrary to law.</w:t>
      </w:r>
    </w:p>
    <w:p>
      <w:pPr>
        <w:pStyle w:val="LegSection"/>
      </w:pPr>
      <w:r>
        <w:t>SEC. 3412. FUTURE SCIENCE OPTIONALITY.</w:t>
      </w:r>
    </w:p>
    <w:p>
      <w:pPr>
        <w:pStyle w:val="LegClause"/>
      </w:pPr>
      <w:r>
        <w:rPr>
          <w:b/>
        </w:rPr>
        <w:t xml:space="preserve">(a)  </w:t>
      </w:r>
      <w:r>
        <w:t>Each agency shall periodically examine whether long-term commitments crowd out small exploratory research, alternate technical approaches, or scientific disciplines not yet represented in a flagship program.</w:t>
      </w:r>
    </w:p>
    <w:p>
      <w:pPr>
        <w:pStyle w:val="LegClause"/>
      </w:pPr>
      <w:r>
        <w:rPr>
          <w:b/>
        </w:rPr>
        <w:t xml:space="preserve">(b)  </w:t>
      </w:r>
      <w:r>
        <w:t>The agency may retain modest spare laboratory, instrument, and compute capacity for urgent new discoveries where the expected learning value justifies it.</w:t>
      </w:r>
    </w:p>
    <w:p>
      <w:pPr>
        <w:pStyle w:val="LegClause"/>
      </w:pPr>
      <w:r>
        <w:rPr>
          <w:b/>
        </w:rPr>
        <w:t xml:space="preserve">(c)  </w:t>
      </w:r>
      <w:r>
        <w:t>Scientific diversity is not a requirement to finance scientifically unsound claims; proposals remain subject to appropriate expert evaluation.</w:t>
      </w:r>
    </w:p>
    <w:p>
      <w:pPr>
        <w:pStyle w:val="LegTitle"/>
      </w:pPr>
      <w:r>
        <w:t>TITLE XXXV — PEACEFUL SPACE OPERATIONS, ORBITAL STEWARDSHIP, AND PLANETARY PROTECTION</w:t>
      </w:r>
    </w:p>
    <w:p>
      <w:pPr>
        <w:pStyle w:val="LegSection"/>
      </w:pPr>
      <w:r>
        <w:t>SEC. 3501. CIVILIAN SPACE STEWARDSHIP POLICY.</w:t>
      </w:r>
    </w:p>
    <w:p>
      <w:pPr>
        <w:pStyle w:val="LegClause"/>
      </w:pPr>
      <w:r>
        <w:rPr>
          <w:b/>
        </w:rPr>
        <w:t xml:space="preserve">(a)  </w:t>
      </w:r>
      <w:r>
        <w:t>Civilian activity under this Act shall observe the policy of peaceful uses for the benefit of humanity stated in section 20102 of title 51, United States Code, and applicable United States international obligations.</w:t>
      </w:r>
    </w:p>
    <w:p>
      <w:pPr>
        <w:pStyle w:val="LegClause"/>
      </w:pPr>
      <w:r>
        <w:rPr>
          <w:b/>
        </w:rPr>
        <w:t xml:space="preserve">(b)  </w:t>
      </w:r>
      <w:r>
        <w:t>Scientific and commercial benefits of exploration shall be pursued with due regard for safety, orbital debris, harmful interference, environmental consequences, and access by other lawful operators.</w:t>
      </w:r>
    </w:p>
    <w:p>
      <w:pPr>
        <w:pStyle w:val="LegClause"/>
      </w:pPr>
      <w:r>
        <w:rPr>
          <w:b/>
        </w:rPr>
        <w:t xml:space="preserve">(c)  </w:t>
      </w:r>
      <w:r>
        <w:t>This Act does not create title to celestial territory or a right to appropriate outer space or celestial bodies contrary to applicable international law.</w:t>
      </w:r>
    </w:p>
    <w:p>
      <w:pPr>
        <w:pStyle w:val="LegSection"/>
      </w:pPr>
      <w:r>
        <w:t>SEC. 3502. ORBITAL DEBRIS AND DISPOSAL.</w:t>
      </w:r>
    </w:p>
    <w:p>
      <w:pPr>
        <w:pStyle w:val="LegClause"/>
      </w:pPr>
      <w:r>
        <w:rPr>
          <w:b/>
        </w:rPr>
        <w:t xml:space="preserve">(a)  </w:t>
      </w:r>
      <w:r>
        <w:t>NASA-funded spacecraft and facilities shall implement mission-specific debris mitigation, collision-avoidance, passivation, disposal, and end-of-mission planning under applicable law and recognized technical practices.</w:t>
      </w:r>
    </w:p>
    <w:p>
      <w:pPr>
        <w:pStyle w:val="LegClause"/>
      </w:pPr>
      <w:r>
        <w:rPr>
          <w:b/>
        </w:rPr>
        <w:t xml:space="preserve">(b)  </w:t>
      </w:r>
      <w:r>
        <w:t>Operators shall report anomalies that materially increase long-lived debris or collision risk to the responsible national authorities.</w:t>
      </w:r>
    </w:p>
    <w:p>
      <w:pPr>
        <w:pStyle w:val="LegClause"/>
      </w:pPr>
      <w:r>
        <w:rPr>
          <w:b/>
        </w:rPr>
        <w:t xml:space="preserve">(c)  </w:t>
      </w:r>
      <w:r>
        <w:t>A demonstration creating elevated debris risk requires independent review and a documented public-interest justification.</w:t>
      </w:r>
    </w:p>
    <w:p>
      <w:pPr>
        <w:pStyle w:val="LegSection"/>
      </w:pPr>
      <w:r>
        <w:t>SEC. 3503. SPACE TRAFFIC DATA SCIENCE.</w:t>
      </w:r>
    </w:p>
    <w:p>
      <w:pPr>
        <w:pStyle w:val="LegClause"/>
      </w:pPr>
      <w:r>
        <w:rPr>
          <w:b/>
        </w:rPr>
        <w:t xml:space="preserve">(a)  </w:t>
      </w:r>
      <w:r>
        <w:t>NASA may support scientific observation, orbital modeling, sensors, standards, and international exchange of nonrestricted space situational data.</w:t>
      </w:r>
    </w:p>
    <w:p>
      <w:pPr>
        <w:pStyle w:val="LegClause"/>
      </w:pPr>
      <w:r>
        <w:rPr>
          <w:b/>
        </w:rPr>
        <w:t xml:space="preserve">(b)  </w:t>
      </w:r>
      <w:r>
        <w:t>This funding does not transfer statutory regulatory authority over commercial space traffic or military space operations to NASA.</w:t>
      </w:r>
    </w:p>
    <w:p>
      <w:pPr>
        <w:pStyle w:val="LegClause"/>
      </w:pPr>
      <w:r>
        <w:rPr>
          <w:b/>
        </w:rPr>
        <w:t xml:space="preserve">(c)  </w:t>
      </w:r>
      <w:r>
        <w:t>Data-access agreements shall protect sensitive national-security information while permitting the widest lawful dissemination of hazard information.</w:t>
      </w:r>
    </w:p>
    <w:p>
      <w:pPr>
        <w:pStyle w:val="LegSection"/>
      </w:pPr>
      <w:r>
        <w:t>SEC. 3504. PLANETARY PROTECTION AND BIOLOGICAL CONTAINMENT.</w:t>
      </w:r>
    </w:p>
    <w:p>
      <w:pPr>
        <w:pStyle w:val="LegClause"/>
      </w:pPr>
      <w:r>
        <w:rPr>
          <w:b/>
        </w:rPr>
        <w:t xml:space="preserve">(a)  </w:t>
      </w:r>
      <w:r>
        <w:t>Robotic and human exploration missions shall use contamination controls proportionate to their target environment, scientific purpose, and plausible risks.</w:t>
      </w:r>
    </w:p>
    <w:p>
      <w:pPr>
        <w:pStyle w:val="LegClause"/>
      </w:pPr>
      <w:r>
        <w:rPr>
          <w:b/>
        </w:rPr>
        <w:t xml:space="preserve">(b)  </w:t>
      </w:r>
      <w:r>
        <w:t>Potentially hazardous sample-return activities shall have independently evaluated containment facilities, emergency plans, chain of custody, and material handling controls before launch or receipt.</w:t>
      </w:r>
    </w:p>
    <w:p>
      <w:pPr>
        <w:pStyle w:val="LegClause"/>
      </w:pPr>
      <w:r>
        <w:rPr>
          <w:b/>
        </w:rPr>
        <w:t xml:space="preserve">(c)  </w:t>
      </w:r>
      <w:r>
        <w:t>Scientific access to returned samples shall be governed by safety, scientific merit, international commitments, and preservation of reference material.</w:t>
      </w:r>
    </w:p>
    <w:p>
      <w:pPr>
        <w:pStyle w:val="LegSection"/>
      </w:pPr>
      <w:r>
        <w:t>SEC. 3505. CISLUNAR AND LUNAR RESOURCE EXPERIMENTS.</w:t>
      </w:r>
    </w:p>
    <w:p>
      <w:pPr>
        <w:pStyle w:val="LegClause"/>
      </w:pPr>
      <w:r>
        <w:rPr>
          <w:b/>
        </w:rPr>
        <w:t xml:space="preserve">(a)  </w:t>
      </w:r>
      <w:r>
        <w:t>Research on local materials, extraction, processing, energy, manufacturing, and logistics may be conducted where authorized and consistent with international obligations.</w:t>
      </w:r>
    </w:p>
    <w:p>
      <w:pPr>
        <w:pStyle w:val="LegClause"/>
      </w:pPr>
      <w:r>
        <w:rPr>
          <w:b/>
        </w:rPr>
        <w:t xml:space="preserve">(b)  </w:t>
      </w:r>
      <w:r>
        <w:t>Programs shall evaluate contamination, scientific preservation, interference with other users, dust and surface effects, and long-duration waste management.</w:t>
      </w:r>
    </w:p>
    <w:p>
      <w:pPr>
        <w:pStyle w:val="LegClause"/>
      </w:pPr>
      <w:r>
        <w:rPr>
          <w:b/>
        </w:rPr>
        <w:t xml:space="preserve">(c)  </w:t>
      </w:r>
      <w:r>
        <w:t>An exploration research grant alone conveys no sovereign property title or power to exclude other nations from celestial territory.</w:t>
      </w:r>
    </w:p>
    <w:p>
      <w:pPr>
        <w:pStyle w:val="LegSection"/>
      </w:pPr>
      <w:r>
        <w:t>SEC. 3506. CELESTIAL SCIENTIFIC HERITAGE AND NONINTERFERENCE.</w:t>
      </w:r>
    </w:p>
    <w:p>
      <w:pPr>
        <w:pStyle w:val="LegClause"/>
      </w:pPr>
      <w:r>
        <w:rPr>
          <w:b/>
        </w:rPr>
        <w:t xml:space="preserve">(a)  </w:t>
      </w:r>
      <w:r>
        <w:t>NASA shall assess the scientific and historic value of human and robotic exploration sites, unusual geological sites, and sensitive prospective observatory locations when planning operations.</w:t>
      </w:r>
    </w:p>
    <w:p>
      <w:pPr>
        <w:pStyle w:val="LegClause"/>
      </w:pPr>
      <w:r>
        <w:rPr>
          <w:b/>
        </w:rPr>
        <w:t xml:space="preserve">(b)  </w:t>
      </w:r>
      <w:r>
        <w:t>Mission plans shall avoid unnecessary damage or interference with uniquely valuable scientific records and shall coordinate lawful international notice where appropriate.</w:t>
      </w:r>
    </w:p>
    <w:p>
      <w:pPr>
        <w:pStyle w:val="LegClause"/>
      </w:pPr>
      <w:r>
        <w:rPr>
          <w:b/>
        </w:rPr>
        <w:t xml:space="preserve">(c)  </w:t>
      </w:r>
      <w:r>
        <w:t>Heritage protection shall not be interpreted as a claim of territorial sovereignty.</w:t>
      </w:r>
    </w:p>
    <w:p>
      <w:pPr>
        <w:pStyle w:val="LegSection"/>
      </w:pPr>
      <w:r>
        <w:t>SEC. 3507. SCIENTIFIC RESEARCH BEYOND EARTH ORBIT.</w:t>
      </w:r>
    </w:p>
    <w:p>
      <w:pPr>
        <w:pStyle w:val="LegClause"/>
      </w:pPr>
      <w:r>
        <w:rPr>
          <w:b/>
        </w:rPr>
        <w:t xml:space="preserve">(a)  </w:t>
      </w:r>
      <w:r>
        <w:t>The Government may develop scientific communications, astronomy, heliophysics, robotic exploration, sample return, and autonomous research infrastructure at cislunar, planetary, or deep-space locations.</w:t>
      </w:r>
    </w:p>
    <w:p>
      <w:pPr>
        <w:pStyle w:val="LegClause"/>
      </w:pPr>
      <w:r>
        <w:rPr>
          <w:b/>
        </w:rPr>
        <w:t xml:space="preserve">(b)  </w:t>
      </w:r>
      <w:r>
        <w:t>Programs shall maintain credible assumptions for radiation, communications latency, hardware reliability, power, navigation, software aging, and institutional continuity.</w:t>
      </w:r>
    </w:p>
    <w:p>
      <w:pPr>
        <w:pStyle w:val="LegClause"/>
      </w:pPr>
      <w:r>
        <w:rPr>
          <w:b/>
        </w:rPr>
        <w:t xml:space="preserve">(c)  </w:t>
      </w:r>
      <w:r>
        <w:t>Where human exploration is contemplated, independent medical and mission assurance shall evaluate credible abort, rescue, and sustainment strategies.</w:t>
      </w:r>
    </w:p>
    <w:p>
      <w:pPr>
        <w:pStyle w:val="LegSection"/>
      </w:pPr>
      <w:r>
        <w:t>SEC. 3508. DEEP-SPACE INFRASTRUCTURE COMMONS.</w:t>
      </w:r>
    </w:p>
    <w:p>
      <w:pPr>
        <w:pStyle w:val="LegClause"/>
      </w:pPr>
      <w:r>
        <w:rPr>
          <w:b/>
        </w:rPr>
        <w:t xml:space="preserve">(a)  </w:t>
      </w:r>
      <w:r>
        <w:t>The Government may finance publicly accessible navigation references, timing, communications, scientific relays, interoperability standards, and rescue-oriented information services where they promote multiple lawful missions.</w:t>
      </w:r>
    </w:p>
    <w:p>
      <w:pPr>
        <w:pStyle w:val="LegClause"/>
      </w:pPr>
      <w:r>
        <w:rPr>
          <w:b/>
        </w:rPr>
        <w:t xml:space="preserve">(b)  </w:t>
      </w:r>
      <w:r>
        <w:t>Access conditions may account for cost recovery, scarce capacity, safety, national security, and technically reasonable service priorities.</w:t>
      </w:r>
    </w:p>
    <w:p>
      <w:pPr>
        <w:pStyle w:val="LegClause"/>
      </w:pPr>
      <w:r>
        <w:rPr>
          <w:b/>
        </w:rPr>
        <w:t xml:space="preserve">(c)  </w:t>
      </w:r>
      <w:r>
        <w:t>A common-service contract shall preserve Federal fallback rights and avoid unnecessary exclusivity.</w:t>
      </w:r>
    </w:p>
    <w:p>
      <w:pPr>
        <w:pStyle w:val="LegSection"/>
      </w:pPr>
      <w:r>
        <w:t>SEC. 3509. ENVIRONMENTAL AND SCIENTIFIC REVIEW OF SPACE POWER.</w:t>
      </w:r>
    </w:p>
    <w:p>
      <w:pPr>
        <w:pStyle w:val="LegClause"/>
      </w:pPr>
      <w:r>
        <w:rPr>
          <w:b/>
        </w:rPr>
        <w:t xml:space="preserve">(a)  </w:t>
      </w:r>
      <w:r>
        <w:t>Nuclear, beamed-energy, high-output propulsion, large orbital power, and comparable systems require technical hazard evaluation appropriate to launch, operation, failure, disposal, and return-to-Earth risk.</w:t>
      </w:r>
    </w:p>
    <w:p>
      <w:pPr>
        <w:pStyle w:val="LegClause"/>
      </w:pPr>
      <w:r>
        <w:rPr>
          <w:b/>
        </w:rPr>
        <w:t xml:space="preserve">(b)  </w:t>
      </w:r>
      <w:r>
        <w:t>The Government shall not issue an operational approval under this Act alone if another statute assigns licensing or safety authority to a different agency.</w:t>
      </w:r>
    </w:p>
    <w:p>
      <w:pPr>
        <w:pStyle w:val="LegClause"/>
      </w:pPr>
      <w:r>
        <w:rPr>
          <w:b/>
        </w:rPr>
        <w:t xml:space="preserve">(c)  </w:t>
      </w:r>
      <w:r>
        <w:t>The responsible agency shall publish a nonrestricted risk explanation where feasible and preserve independent test evidence.</w:t>
      </w:r>
    </w:p>
    <w:p>
      <w:pPr>
        <w:pStyle w:val="LegSection"/>
      </w:pPr>
      <w:r>
        <w:t>SEC. 3510. INTERSTELLAR PRECURSOR GOVERNANCE.</w:t>
      </w:r>
    </w:p>
    <w:p>
      <w:pPr>
        <w:pStyle w:val="LegClause"/>
      </w:pPr>
      <w:r>
        <w:rPr>
          <w:b/>
        </w:rPr>
        <w:t xml:space="preserve">(a)  </w:t>
      </w:r>
      <w:r>
        <w:t>An interstellar precursor project shall identify scientific objectives that can be measured during development or flight, even where ultimate mission duration exceeds the career of its original designers.</w:t>
      </w:r>
    </w:p>
    <w:p>
      <w:pPr>
        <w:pStyle w:val="LegClause"/>
      </w:pPr>
      <w:r>
        <w:rPr>
          <w:b/>
        </w:rPr>
        <w:t xml:space="preserve">(b)  </w:t>
      </w:r>
      <w:r>
        <w:t>The project shall preserve hardware and software design, coding environments, command authority succession, documentation, scientific instruments, and downlink plans for long-duration operation.</w:t>
      </w:r>
    </w:p>
    <w:p>
      <w:pPr>
        <w:pStyle w:val="LegClause"/>
      </w:pPr>
      <w:r>
        <w:rPr>
          <w:b/>
        </w:rPr>
        <w:t xml:space="preserve">(c)  </w:t>
      </w:r>
      <w:r>
        <w:t>The Act does not make crewed interstellar travel a mandatory deliverable or authorize spending based solely on an untestable extraordinary propulsion assertion.</w:t>
      </w:r>
    </w:p>
    <w:p>
      <w:pPr>
        <w:pStyle w:val="LegSection"/>
      </w:pPr>
      <w:r>
        <w:t>SEC. 3511. PLANETARY AND ORBITAL ENVIRONMENTAL RESEARCH STANDARDS.</w:t>
      </w:r>
    </w:p>
    <w:p>
      <w:pPr>
        <w:pStyle w:val="LegClause"/>
      </w:pPr>
      <w:r>
        <w:rPr>
          <w:b/>
        </w:rPr>
        <w:t xml:space="preserve">(a)  </w:t>
      </w:r>
      <w:r>
        <w:t>NASA, NOAA, NSF, and international partners may establish reference measures for debris, contamination, radiation, plasma, dust, exospheres, and other scientifically relevant environmental conditions.</w:t>
      </w:r>
    </w:p>
    <w:p>
      <w:pPr>
        <w:pStyle w:val="LegClause"/>
      </w:pPr>
      <w:r>
        <w:rPr>
          <w:b/>
        </w:rPr>
        <w:t xml:space="preserve">(b)  </w:t>
      </w:r>
      <w:r>
        <w:t>Research instruments shall be designed to minimize avoidable interference with other observations and missions.</w:t>
      </w:r>
    </w:p>
    <w:p>
      <w:pPr>
        <w:pStyle w:val="LegClause"/>
      </w:pPr>
      <w:r>
        <w:rPr>
          <w:b/>
        </w:rPr>
        <w:t xml:space="preserve">(c)  </w:t>
      </w:r>
      <w:r>
        <w:t>No domestic research standard shall be represented as binding other nations without an applicable agreement or rule of international law.</w:t>
      </w:r>
    </w:p>
    <w:p>
      <w:pPr>
        <w:pStyle w:val="LegTitle"/>
      </w:pPr>
      <w:r>
        <w:t>TITLE XXXVI — INTERNATIONAL SCIENCE GOVERNANCE, COMMON FACILITIES, AND TREATY IMPLEMENTATION</w:t>
      </w:r>
    </w:p>
    <w:p>
      <w:pPr>
        <w:pStyle w:val="LegSection"/>
      </w:pPr>
      <w:r>
        <w:t>SEC. 3601. INTERNATIONAL SCIENTIFIC CONVENTION AUTHORITY.</w:t>
      </w:r>
    </w:p>
    <w:p>
      <w:pPr>
        <w:pStyle w:val="LegClause"/>
      </w:pPr>
      <w:r>
        <w:rPr>
          <w:b/>
        </w:rPr>
        <w:t xml:space="preserve">(a)  </w:t>
      </w:r>
      <w:r>
        <w:t>The President may pursue an International SPACE Convention focused on peaceful frontier science, major shared facilities, and sustained scientific opportunity, substantially consistent with the model annexed to this Act.</w:t>
      </w:r>
    </w:p>
    <w:p>
      <w:pPr>
        <w:pStyle w:val="LegClause"/>
      </w:pPr>
      <w:r>
        <w:rPr>
          <w:b/>
        </w:rPr>
        <w:t xml:space="preserve">(b)  </w:t>
      </w:r>
      <w:r>
        <w:t>The negotiation authority does not ratify a treaty, provide consent to an international tax, or displace Senate advice and consent or later implementing legislation where required.</w:t>
      </w:r>
    </w:p>
    <w:p>
      <w:pPr>
        <w:pStyle w:val="LegClause"/>
      </w:pPr>
      <w:r>
        <w:rPr>
          <w:b/>
        </w:rPr>
        <w:t xml:space="preserve">(c)  </w:t>
      </w:r>
      <w:r>
        <w:t>The Secretary of State shall consult relevant agencies and report proposed commitments, host liabilities, budget implications, and security provisions before signature.</w:t>
      </w:r>
    </w:p>
    <w:p>
      <w:pPr>
        <w:pStyle w:val="LegSection"/>
      </w:pPr>
      <w:r>
        <w:t>SEC. 3602. COMMON AND OPTIONAL SCIENTIFIC PROGRAMS.</w:t>
      </w:r>
    </w:p>
    <w:p>
      <w:pPr>
        <w:pStyle w:val="LegClause"/>
      </w:pPr>
      <w:r>
        <w:rPr>
          <w:b/>
        </w:rPr>
        <w:t xml:space="preserve">(a)  </w:t>
      </w:r>
      <w:r>
        <w:t>International common programs may include governance, shared observations, reference measurements, archives, education, safety, computing interfaces, and scientifically justified infrastructure.</w:t>
      </w:r>
    </w:p>
    <w:p>
      <w:pPr>
        <w:pStyle w:val="LegClause"/>
      </w:pPr>
      <w:r>
        <w:rPr>
          <w:b/>
        </w:rPr>
        <w:t xml:space="preserve">(b)  </w:t>
      </w:r>
      <w:r>
        <w:t>Optional programs may include particular observatories, spacecraft, accelerators, laboratories, vessels, energy testbeds, or planetary missions with separately accepted commitments.</w:t>
      </w:r>
    </w:p>
    <w:p>
      <w:pPr>
        <w:pStyle w:val="LegClause"/>
      </w:pPr>
      <w:r>
        <w:rPr>
          <w:b/>
        </w:rPr>
        <w:t xml:space="preserve">(c)  </w:t>
      </w:r>
      <w:r>
        <w:t>A project charter shall state member costs, termination rights, withdrawal obligations, IP, data access, safety authority, operating lifetime, and decommissioning.</w:t>
      </w:r>
    </w:p>
    <w:p>
      <w:pPr>
        <w:pStyle w:val="LegSection"/>
      </w:pPr>
      <w:r>
        <w:t>SEC. 3603. CONTRIBUTION FORMULAS AND BUDGETARY SOVEREIGNTY.</w:t>
      </w:r>
    </w:p>
    <w:p>
      <w:pPr>
        <w:pStyle w:val="LegClause"/>
      </w:pPr>
      <w:r>
        <w:rPr>
          <w:b/>
        </w:rPr>
        <w:t xml:space="preserve">(a)  </w:t>
      </w:r>
      <w:r>
        <w:t>The United States may propose economic-capacity-based contributions, minimum and maximum contribution bands, and distinct voluntary project subscriptions.</w:t>
      </w:r>
    </w:p>
    <w:p>
      <w:pPr>
        <w:pStyle w:val="LegClause"/>
      </w:pPr>
      <w:r>
        <w:rPr>
          <w:b/>
        </w:rPr>
        <w:t xml:space="preserve">(b)  </w:t>
      </w:r>
      <w:r>
        <w:t>No officer may pledge U.S. funds beyond legally available amounts, and international assessments shall be reported within the $10,000,000,000 account unless separately provided by Congress.</w:t>
      </w:r>
    </w:p>
    <w:p>
      <w:pPr>
        <w:pStyle w:val="LegClause"/>
      </w:pPr>
      <w:r>
        <w:rPr>
          <w:b/>
        </w:rPr>
        <w:t xml:space="preserve">(c)  </w:t>
      </w:r>
      <w:r>
        <w:t>The United States shall seek public budget, independent audit, and member-government oversight of any organization supported by this Act.</w:t>
      </w:r>
    </w:p>
    <w:p>
      <w:pPr>
        <w:pStyle w:val="LegSection"/>
      </w:pPr>
      <w:r>
        <w:t>SEC. 3604. SCIENTIFIC GOVERNANCE AND MINORITY PROTECTION.</w:t>
      </w:r>
    </w:p>
    <w:p>
      <w:pPr>
        <w:pStyle w:val="LegClause"/>
      </w:pPr>
      <w:r>
        <w:rPr>
          <w:b/>
        </w:rPr>
        <w:t xml:space="preserve">(a)  </w:t>
      </w:r>
      <w:r>
        <w:t>An international scientific council should comprise independent experts selected on competence and conflict-of-interest standards, with published scientific recommendations and appropriate minority views.</w:t>
      </w:r>
    </w:p>
    <w:p>
      <w:pPr>
        <w:pStyle w:val="LegClause"/>
      </w:pPr>
      <w:r>
        <w:rPr>
          <w:b/>
        </w:rPr>
        <w:t xml:space="preserve">(b)  </w:t>
      </w:r>
      <w:r>
        <w:t>Decisions creating extraordinary multiyear capital obligations should require enhanced government approval, while ordinary technical selections remain subject to expert scientific and engineering review.</w:t>
      </w:r>
    </w:p>
    <w:p>
      <w:pPr>
        <w:pStyle w:val="LegClause"/>
      </w:pPr>
      <w:r>
        <w:rPr>
          <w:b/>
        </w:rPr>
        <w:t xml:space="preserve">(c)  </w:t>
      </w:r>
      <w:r>
        <w:t>No member government shall obtain the power to falsify research results or suppress legitimate scientific criticism by virtue of its financial contribution.</w:t>
      </w:r>
    </w:p>
    <w:p>
      <w:pPr>
        <w:pStyle w:val="LegSection"/>
      </w:pPr>
      <w:r>
        <w:t>SEC. 3605. HOST STATE FACILITIES AND LEGAL RESPONSIBILITY.</w:t>
      </w:r>
    </w:p>
    <w:p>
      <w:pPr>
        <w:pStyle w:val="LegClause"/>
      </w:pPr>
      <w:r>
        <w:rPr>
          <w:b/>
        </w:rPr>
        <w:t xml:space="preserve">(a)  </w:t>
      </w:r>
      <w:r>
        <w:t>Every international facility shall have a host agreement defining land use, personnel status, customs, taxation, insurance, accident response, environmental law, worker rights, data rules, liability, and access for government auditors.</w:t>
      </w:r>
    </w:p>
    <w:p>
      <w:pPr>
        <w:pStyle w:val="LegClause"/>
      </w:pPr>
      <w:r>
        <w:rPr>
          <w:b/>
        </w:rPr>
        <w:t xml:space="preserve">(b)  </w:t>
      </w:r>
      <w:r>
        <w:t>The United States shall not presume that host immunities extend to private contractors, criminal conduct, or unrelated commercial activities unless valid law so provides.</w:t>
      </w:r>
    </w:p>
    <w:p>
      <w:pPr>
        <w:pStyle w:val="LegClause"/>
      </w:pPr>
      <w:r>
        <w:rPr>
          <w:b/>
        </w:rPr>
        <w:t xml:space="preserve">(c)  </w:t>
      </w:r>
      <w:r>
        <w:t>Decommissioning cost shares and post-closure environmental responsibilities shall be identified before the facility is constructed.</w:t>
      </w:r>
    </w:p>
    <w:p>
      <w:pPr>
        <w:pStyle w:val="LegSection"/>
      </w:pPr>
      <w:r>
        <w:t>SEC. 3606. CROSS-BORDER TECHNOLOGY AND SCIENCE CONTROLS.</w:t>
      </w:r>
    </w:p>
    <w:p>
      <w:pPr>
        <w:pStyle w:val="LegClause"/>
      </w:pPr>
      <w:r>
        <w:rPr>
          <w:b/>
        </w:rPr>
        <w:t xml:space="preserve">(a)  </w:t>
      </w:r>
      <w:r>
        <w:t>International projects shall maintain approved technology-control plans for classified information, export-controlled items, sanctions restrictions, sensitive biological or cyber capabilities, and personal research data.</w:t>
      </w:r>
    </w:p>
    <w:p>
      <w:pPr>
        <w:pStyle w:val="LegClause"/>
      </w:pPr>
      <w:r>
        <w:rPr>
          <w:b/>
        </w:rPr>
        <w:t xml:space="preserve">(b)  </w:t>
      </w:r>
      <w:r>
        <w:t>Restrictions shall be matched to actual legally defined risk and shall preserve open fundamental research to the maximum extent compatible with law.</w:t>
      </w:r>
    </w:p>
    <w:p>
      <w:pPr>
        <w:pStyle w:val="LegClause"/>
      </w:pPr>
      <w:r>
        <w:rPr>
          <w:b/>
        </w:rPr>
        <w:t xml:space="preserve">(c)  </w:t>
      </w:r>
      <w:r>
        <w:t>No open-science clause compels a person to violate United States sanctions, export controls, or classified-information laws.</w:t>
      </w:r>
    </w:p>
    <w:p>
      <w:pPr>
        <w:pStyle w:val="LegSection"/>
      </w:pPr>
      <w:r>
        <w:t>SEC. 3607. ACCESS FOR LOWER-RESOURCE SCIENTIFIC SYSTEMS.</w:t>
      </w:r>
    </w:p>
    <w:p>
      <w:pPr>
        <w:pStyle w:val="LegClause"/>
      </w:pPr>
      <w:r>
        <w:rPr>
          <w:b/>
        </w:rPr>
        <w:t xml:space="preserve">(a)  </w:t>
      </w:r>
      <w:r>
        <w:t>Participating multilateral projects may reserve instrument time, training placements, remote computing, educational materials, and basic metrology services for qualified researchers from lower-resource member systems.</w:t>
      </w:r>
    </w:p>
    <w:p>
      <w:pPr>
        <w:pStyle w:val="LegClause"/>
      </w:pPr>
      <w:r>
        <w:rPr>
          <w:b/>
        </w:rPr>
        <w:t xml:space="preserve">(b)  </w:t>
      </w:r>
      <w:r>
        <w:t>Access shall be based on transparent scientific criteria and shall not require politically conditioned scientific conclusions.</w:t>
      </w:r>
    </w:p>
    <w:p>
      <w:pPr>
        <w:pStyle w:val="LegClause"/>
      </w:pPr>
      <w:r>
        <w:rPr>
          <w:b/>
        </w:rPr>
        <w:t xml:space="preserve">(c)  </w:t>
      </w:r>
      <w:r>
        <w:t>Capacity-building awards shall finance maintenance, local technician training, and institutional continuity, not equipment purchases without support.</w:t>
      </w:r>
    </w:p>
    <w:p>
      <w:pPr>
        <w:pStyle w:val="LegSection"/>
      </w:pPr>
      <w:r>
        <w:t>SEC. 3608. INTERNATIONAL RESEARCH MOBILITY.</w:t>
      </w:r>
    </w:p>
    <w:p>
      <w:pPr>
        <w:pStyle w:val="LegClause"/>
      </w:pPr>
      <w:r>
        <w:rPr>
          <w:b/>
        </w:rPr>
        <w:t xml:space="preserve">(a)  </w:t>
      </w:r>
      <w:r>
        <w:t>The Secretary of State and Homeland Security may seek reciprocal lawful research travel, temporary appointment, and credential agreements consistent with existing immigration, national security, and labor protections.</w:t>
      </w:r>
    </w:p>
    <w:p>
      <w:pPr>
        <w:pStyle w:val="LegClause"/>
      </w:pPr>
      <w:r>
        <w:rPr>
          <w:b/>
        </w:rPr>
        <w:t xml:space="preserve">(b)  </w:t>
      </w:r>
      <w:r>
        <w:t>Institutions shall coordinate visiting-scientist intellectual property, publication, safety, data access, and conflicts before foreign research placements.</w:t>
      </w:r>
    </w:p>
    <w:p>
      <w:pPr>
        <w:pStyle w:val="LegClause"/>
      </w:pPr>
      <w:r>
        <w:rPr>
          <w:b/>
        </w:rPr>
        <w:t xml:space="preserve">(c)  </w:t>
      </w:r>
      <w:r>
        <w:t>Participation in an international project alone grants no U.S. entry, work authorization, security clearance, or citizenship status.</w:t>
      </w:r>
    </w:p>
    <w:p>
      <w:pPr>
        <w:pStyle w:val="LegSection"/>
      </w:pPr>
      <w:r>
        <w:t>SEC. 3609. TRANSNATIONAL FRAUD, AUDIT, AND DISPUTE PROCEDURES.</w:t>
      </w:r>
    </w:p>
    <w:p>
      <w:pPr>
        <w:pStyle w:val="LegClause"/>
      </w:pPr>
      <w:r>
        <w:rPr>
          <w:b/>
        </w:rPr>
        <w:t xml:space="preserve">(a)  </w:t>
      </w:r>
      <w:r>
        <w:t>Projects shall maintain common accounting standards, external audit, corruption complaint mechanisms, independent technical review, and access to responsible national authorities.</w:t>
      </w:r>
    </w:p>
    <w:p>
      <w:pPr>
        <w:pStyle w:val="LegClause"/>
      </w:pPr>
      <w:r>
        <w:rPr>
          <w:b/>
        </w:rPr>
        <w:t xml:space="preserve">(b)  </w:t>
      </w:r>
      <w:r>
        <w:t>Contracts shall specify procurement challenge procedures, governing law, dispute mediation, and arbitration only where authorized.</w:t>
      </w:r>
    </w:p>
    <w:p>
      <w:pPr>
        <w:pStyle w:val="LegClause"/>
      </w:pPr>
      <w:r>
        <w:rPr>
          <w:b/>
        </w:rPr>
        <w:t xml:space="preserve">(c)  </w:t>
      </w:r>
      <w:r>
        <w:t>A disagreement over a project shall not automatically extinguish obligations to secure scientific data, hazardous materials, worker rights, or decommissioning.</w:t>
      </w:r>
    </w:p>
    <w:p>
      <w:pPr>
        <w:pStyle w:val="LegSection"/>
      </w:pPr>
      <w:r>
        <w:t>SEC. 3610. INTERNATIONAL MULTIGENERATIONAL SCIENTIFIC STEWARDSHIP.</w:t>
      </w:r>
    </w:p>
    <w:p>
      <w:pPr>
        <w:pStyle w:val="LegClause"/>
      </w:pPr>
      <w:r>
        <w:rPr>
          <w:b/>
        </w:rPr>
        <w:t xml:space="preserve">(a)  </w:t>
      </w:r>
      <w:r>
        <w:t>Long-lived international assets shall have arrangements for future contributions, archives, maintenance, equipment obsolescence, scientific succession, and orderly closure.</w:t>
      </w:r>
    </w:p>
    <w:p>
      <w:pPr>
        <w:pStyle w:val="LegClause"/>
      </w:pPr>
      <w:r>
        <w:rPr>
          <w:b/>
        </w:rPr>
        <w:t xml:space="preserve">(b)  </w:t>
      </w:r>
      <w:r>
        <w:t>Members shall periodically assess whether the facility remains scientifically valuable, technologically current, financially sustainable, and consistent with applicable human-rights and security commitments.</w:t>
      </w:r>
    </w:p>
    <w:p>
      <w:pPr>
        <w:pStyle w:val="LegClause"/>
      </w:pPr>
      <w:r>
        <w:rPr>
          <w:b/>
        </w:rPr>
        <w:t xml:space="preserve">(c)  </w:t>
      </w:r>
      <w:r>
        <w:t>No present member-state commitment shall be interpreted as legally binding future legislatures beyond the applicable agreement and domestic constitutional law.</w:t>
      </w:r>
    </w:p>
    <w:p>
      <w:pPr>
        <w:pStyle w:val="LegTitle"/>
      </w:pPr>
      <w:r>
        <w:t>TITLE XXXVII — OPEN-SCIENCE SYSTEMS, DATA RIGHTS, RESPONSIBLE COMPUTING, AND ADVANCED TECHNOLOGY SAFETY</w:t>
      </w:r>
    </w:p>
    <w:p>
      <w:pPr>
        <w:pStyle w:val="LegSection"/>
      </w:pPr>
      <w:r>
        <w:t>SEC. 3701. OPEN SCIENTIFIC INFORMATION ARCHITECTURE.</w:t>
      </w:r>
    </w:p>
    <w:p>
      <w:pPr>
        <w:pStyle w:val="LegClause"/>
      </w:pPr>
      <w:r>
        <w:rPr>
          <w:b/>
        </w:rPr>
        <w:t xml:space="preserve">(a)  </w:t>
      </w:r>
      <w:r>
        <w:t>Federally supported open science shall use discoverable datasets, documented experiments, persistent identifiers, reproducible methods, accessible publications, and durable software where practicable.</w:t>
      </w:r>
    </w:p>
    <w:p>
      <w:pPr>
        <w:pStyle w:val="LegClause"/>
      </w:pPr>
      <w:r>
        <w:rPr>
          <w:b/>
        </w:rPr>
        <w:t xml:space="preserve">(b)  </w:t>
      </w:r>
      <w:r>
        <w:t>The Network shall maintain secure repositories with graduated access controls for public, protected personal, proprietary, export-controlled, and classified material.</w:t>
      </w:r>
    </w:p>
    <w:p>
      <w:pPr>
        <w:pStyle w:val="LegClause"/>
      </w:pPr>
      <w:r>
        <w:rPr>
          <w:b/>
        </w:rPr>
        <w:t xml:space="preserve">(c)  </w:t>
      </w:r>
      <w:r>
        <w:t>No single company shall acquire exclusive control of a nationally essential scientific dataset without a specific statutory and public-interest justification.</w:t>
      </w:r>
    </w:p>
    <w:p>
      <w:pPr>
        <w:pStyle w:val="LegSection"/>
      </w:pPr>
      <w:r>
        <w:t>SEC. 3702. RESEARCH PERSONAL INFORMATION PROTECTIONS.</w:t>
      </w:r>
    </w:p>
    <w:p>
      <w:pPr>
        <w:pStyle w:val="LegClause"/>
      </w:pPr>
      <w:r>
        <w:rPr>
          <w:b/>
        </w:rPr>
        <w:t xml:space="preserve">(a)  </w:t>
      </w:r>
      <w:r>
        <w:t>Personal research data shall be collected only for a defined lawful purpose, maintained with appropriate security, and retained no longer than necessary for legal, scientific, or archival requirements.</w:t>
      </w:r>
    </w:p>
    <w:p>
      <w:pPr>
        <w:pStyle w:val="LegClause"/>
      </w:pPr>
      <w:r>
        <w:rPr>
          <w:b/>
        </w:rPr>
        <w:t xml:space="preserve">(b)  </w:t>
      </w:r>
      <w:r>
        <w:t>High-sensitivity genetic, neural, biometric, behavioral, and health data shall receive enhanced access controls, reidentification risk assessment, and consent processes under applicable law.</w:t>
      </w:r>
    </w:p>
    <w:p>
      <w:pPr>
        <w:pStyle w:val="LegClause"/>
      </w:pPr>
      <w:r>
        <w:rPr>
          <w:b/>
        </w:rPr>
        <w:t xml:space="preserve">(c)  </w:t>
      </w:r>
      <w:r>
        <w:t>The Act does not authorize domestic surveillance or secondary law-enforcement collection beyond independent legal authority.</w:t>
      </w:r>
    </w:p>
    <w:p>
      <w:pPr>
        <w:pStyle w:val="LegSection"/>
      </w:pPr>
      <w:r>
        <w:t>SEC. 3703. RESEARCH AI EVALUATION SYSTEM.</w:t>
      </w:r>
    </w:p>
    <w:p>
      <w:pPr>
        <w:pStyle w:val="LegClause"/>
      </w:pPr>
      <w:r>
        <w:rPr>
          <w:b/>
        </w:rPr>
        <w:t xml:space="preserve">(a)  </w:t>
      </w:r>
      <w:r>
        <w:t>Agencies shall use risk-tiered testing for AI systems that control experimental apparatus, advise major engineering decisions, process sensitive personal information, or operate autonomously in hazardous environments.</w:t>
      </w:r>
    </w:p>
    <w:p>
      <w:pPr>
        <w:pStyle w:val="LegClause"/>
      </w:pPr>
      <w:r>
        <w:rPr>
          <w:b/>
        </w:rPr>
        <w:t xml:space="preserve">(b)  </w:t>
      </w:r>
      <w:r>
        <w:t>Evaluation shall measure performance under distribution shift, uncertainty, cyber compromise, hardware failure, misuse, and human override where relevant.</w:t>
      </w:r>
    </w:p>
    <w:p>
      <w:pPr>
        <w:pStyle w:val="LegClause"/>
      </w:pPr>
      <w:r>
        <w:rPr>
          <w:b/>
        </w:rPr>
        <w:t xml:space="preserve">(c)  </w:t>
      </w:r>
      <w:r>
        <w:t>Independent testers shall be able to report material flaws without retaliation or improper suppression, subject to lawful security and proprietary safeguards.</w:t>
      </w:r>
    </w:p>
    <w:p>
      <w:pPr>
        <w:pStyle w:val="LegSection"/>
      </w:pPr>
      <w:r>
        <w:t>SEC. 3704. AUTONOMOUS LABORATORY SAFETY AND ACCOUNTABILITY.</w:t>
      </w:r>
    </w:p>
    <w:p>
      <w:pPr>
        <w:pStyle w:val="LegClause"/>
      </w:pPr>
      <w:r>
        <w:rPr>
          <w:b/>
        </w:rPr>
        <w:t xml:space="preserve">(a)  </w:t>
      </w:r>
      <w:r>
        <w:t>A laboratory employing AI or robots to select or execute experiments shall maintain human authority over containment, emergency shutdown, hazardous-material procurement, and legally required ethical approvals.</w:t>
      </w:r>
    </w:p>
    <w:p>
      <w:pPr>
        <w:pStyle w:val="LegClause"/>
      </w:pPr>
      <w:r>
        <w:rPr>
          <w:b/>
        </w:rPr>
        <w:t xml:space="preserve">(b)  </w:t>
      </w:r>
      <w:r>
        <w:t>The system shall log experimental instructions, instrument state, safety interlocks, anomalies, and data provenance in a manner appropriate to potential harm.</w:t>
      </w:r>
    </w:p>
    <w:p>
      <w:pPr>
        <w:pStyle w:val="LegClause"/>
      </w:pPr>
      <w:r>
        <w:rPr>
          <w:b/>
        </w:rPr>
        <w:t xml:space="preserve">(c)  </w:t>
      </w:r>
      <w:r>
        <w:t>A research model is not a legal substitute for an accountable principal investigator, facility operator, or safety officer.</w:t>
      </w:r>
    </w:p>
    <w:p>
      <w:pPr>
        <w:pStyle w:val="LegSection"/>
      </w:pPr>
      <w:r>
        <w:t>SEC. 3705. ADVANCED BIOLOGICAL AND CYBER CAPABILITY CONTROLS.</w:t>
      </w:r>
    </w:p>
    <w:p>
      <w:pPr>
        <w:pStyle w:val="LegClause"/>
      </w:pPr>
      <w:r>
        <w:rPr>
          <w:b/>
        </w:rPr>
        <w:t xml:space="preserve">(a)  </w:t>
      </w:r>
      <w:r>
        <w:t>Sponsors shall establish proportionate review of biological or cyber research capable of materially increasing harmful capability, dissemination, autonomy, persistence, or ease of misuse.</w:t>
      </w:r>
    </w:p>
    <w:p>
      <w:pPr>
        <w:pStyle w:val="LegClause"/>
      </w:pPr>
      <w:r>
        <w:rPr>
          <w:b/>
        </w:rPr>
        <w:t xml:space="preserve">(b)  </w:t>
      </w:r>
      <w:r>
        <w:t>Review shall address scientific benefit, credible misuse pathways, safer alternatives, required controls, independent assessors, release decisions, and re-review when the capability materially changes.</w:t>
      </w:r>
    </w:p>
    <w:p>
      <w:pPr>
        <w:pStyle w:val="LegClause"/>
      </w:pPr>
      <w:r>
        <w:rPr>
          <w:b/>
        </w:rPr>
        <w:t xml:space="preserve">(c)  </w:t>
      </w:r>
      <w:r>
        <w:t>No reviewer may restrict ordinary fundamental research solely by invoking generalized anxiety about a scientific field, institutional affiliation, or nationality.</w:t>
      </w:r>
    </w:p>
    <w:p>
      <w:pPr>
        <w:pStyle w:val="LegSection"/>
      </w:pPr>
      <w:r>
        <w:t>SEC. 3706. RESEARCH-SECURITY ADJUDICATION AND APPEALS.</w:t>
      </w:r>
    </w:p>
    <w:p>
      <w:pPr>
        <w:pStyle w:val="LegClause"/>
      </w:pPr>
      <w:r>
        <w:rPr>
          <w:b/>
        </w:rPr>
        <w:t xml:space="preserve">(a)  </w:t>
      </w:r>
      <w:r>
        <w:t>A materially restrictive research-security designation shall provide an unclassified statement of the applicable legal or risk basis to the extent compatible with national security and other protected interests.</w:t>
      </w:r>
    </w:p>
    <w:p>
      <w:pPr>
        <w:pStyle w:val="LegClause"/>
      </w:pPr>
      <w:r>
        <w:rPr>
          <w:b/>
        </w:rPr>
        <w:t xml:space="preserve">(b)  </w:t>
      </w:r>
      <w:r>
        <w:t>An affected researcher shall have access to reconsideration by an independent officer not responsible for the initial decision and to judicial review when otherwise authorized by law.</w:t>
      </w:r>
    </w:p>
    <w:p>
      <w:pPr>
        <w:pStyle w:val="LegClause"/>
      </w:pPr>
      <w:r>
        <w:rPr>
          <w:b/>
        </w:rPr>
        <w:t xml:space="preserve">(c)  </w:t>
      </w:r>
      <w:r>
        <w:t>The process shall preserve due process appropriate to the affected interest without creating unlawful access to classified information.</w:t>
      </w:r>
    </w:p>
    <w:p>
      <w:pPr>
        <w:pStyle w:val="LegSection"/>
      </w:pPr>
      <w:r>
        <w:t>SEC. 3707. CYBER RESILIENCE AND TRUSTWORTHY RESEARCH SOFTWARE.</w:t>
      </w:r>
    </w:p>
    <w:p>
      <w:pPr>
        <w:pStyle w:val="LegClause"/>
      </w:pPr>
      <w:r>
        <w:rPr>
          <w:b/>
        </w:rPr>
        <w:t xml:space="preserve">(a)  </w:t>
      </w:r>
      <w:r>
        <w:t>Critical scientific software and infrastructure shall use proportionate code provenance, dependency management, configuration control, vulnerability response, access review, and incident response.</w:t>
      </w:r>
    </w:p>
    <w:p>
      <w:pPr>
        <w:pStyle w:val="LegClause"/>
      </w:pPr>
      <w:r>
        <w:rPr>
          <w:b/>
        </w:rPr>
        <w:t xml:space="preserve">(b)  </w:t>
      </w:r>
      <w:r>
        <w:t>Research code may remain experimental where not used operationally; controls shall distinguish exploratory use from life-critical or national-infrastructure deployment.</w:t>
      </w:r>
    </w:p>
    <w:p>
      <w:pPr>
        <w:pStyle w:val="LegClause"/>
      </w:pPr>
      <w:r>
        <w:rPr>
          <w:b/>
        </w:rPr>
        <w:t xml:space="preserve">(c)  </w:t>
      </w:r>
      <w:r>
        <w:t>Government-controlled repositories shall preserve source access and reproducible build information necessary to restore mission operations after a supplier or platform failure.</w:t>
      </w:r>
    </w:p>
    <w:p>
      <w:pPr>
        <w:pStyle w:val="LegSection"/>
      </w:pPr>
      <w:r>
        <w:t>SEC. 3708. PUBLICATION CONTROLS AND SCIENTIFIC DISSENT.</w:t>
      </w:r>
    </w:p>
    <w:p>
      <w:pPr>
        <w:pStyle w:val="LegClause"/>
      </w:pPr>
      <w:r>
        <w:rPr>
          <w:b/>
        </w:rPr>
        <w:t xml:space="preserve">(a)  </w:t>
      </w:r>
      <w:r>
        <w:t>Publication restrictions shall rely on identifiable statutory classification, export, privacy, or proprietary grounds and shall have a responsible decision-maker, narrow subject, and review date.</w:t>
      </w:r>
    </w:p>
    <w:p>
      <w:pPr>
        <w:pStyle w:val="LegClause"/>
      </w:pPr>
      <w:r>
        <w:rPr>
          <w:b/>
        </w:rPr>
        <w:t xml:space="preserve">(b)  </w:t>
      </w:r>
      <w:r>
        <w:t>An agency shall not restrict publication merely because data are politically controversial, reveal project error, or conflict with a program claim.</w:t>
      </w:r>
    </w:p>
    <w:p>
      <w:pPr>
        <w:pStyle w:val="LegClause"/>
      </w:pPr>
      <w:r>
        <w:rPr>
          <w:b/>
        </w:rPr>
        <w:t xml:space="preserve">(c)  </w:t>
      </w:r>
      <w:r>
        <w:t>Technical dissent and protected disclosures shall have channels independent of the management chain of the challenged program.</w:t>
      </w:r>
    </w:p>
    <w:p>
      <w:pPr>
        <w:pStyle w:val="LegSection"/>
      </w:pPr>
      <w:r>
        <w:t>SEC. 3709. PUBLIC TECHNOLOGY-RISK REPORTING.</w:t>
      </w:r>
    </w:p>
    <w:p>
      <w:pPr>
        <w:pStyle w:val="LegClause"/>
      </w:pPr>
      <w:r>
        <w:rPr>
          <w:b/>
        </w:rPr>
        <w:t xml:space="preserve">(a)  </w:t>
      </w:r>
      <w:r>
        <w:t>The Network shall publish annual summaries of significant frontier-technology safety research, incidents, tested mitigations, limitations, and emerging technical questions, with legally justified redactions.</w:t>
      </w:r>
    </w:p>
    <w:p>
      <w:pPr>
        <w:pStyle w:val="LegClause"/>
      </w:pPr>
      <w:r>
        <w:rPr>
          <w:b/>
        </w:rPr>
        <w:t xml:space="preserve">(b)  </w:t>
      </w:r>
      <w:r>
        <w:t>Reports shall distinguish hypothetical hazards from demonstrated risk and shall not imply certainty where evidence remains incomplete.</w:t>
      </w:r>
    </w:p>
    <w:p>
      <w:pPr>
        <w:pStyle w:val="LegClause"/>
      </w:pPr>
      <w:r>
        <w:rPr>
          <w:b/>
        </w:rPr>
        <w:t xml:space="preserve">(c)  </w:t>
      </w:r>
      <w:r>
        <w:t>The report shall not furnish operational detail that would materially facilitate unlawful harmful conduct.</w:t>
      </w:r>
    </w:p>
    <w:p>
      <w:pPr>
        <w:pStyle w:val="LegSection"/>
      </w:pPr>
      <w:r>
        <w:t>SEC. 3710. SCIENTIFIC REPRODUCIBILITY AND EXTERNAL ASSURANCE.</w:t>
      </w:r>
    </w:p>
    <w:p>
      <w:pPr>
        <w:pStyle w:val="LegClause"/>
      </w:pPr>
      <w:r>
        <w:rPr>
          <w:b/>
        </w:rPr>
        <w:t xml:space="preserve">(a)  </w:t>
      </w:r>
      <w:r>
        <w:t>Results used to justify projects above $1,000,000,000 shall have documentation adequate for an independent scientist or engineering team to examine key assumptions and repeat feasible tests.</w:t>
      </w:r>
    </w:p>
    <w:p>
      <w:pPr>
        <w:pStyle w:val="LegClause"/>
      </w:pPr>
      <w:r>
        <w:rPr>
          <w:b/>
        </w:rPr>
        <w:t xml:space="preserve">(b)  </w:t>
      </w:r>
      <w:r>
        <w:t>Where independent replication cannot be performed because the system is unique, inaccessible, or hazardous, the agency shall use alternative verification and disclose its limitations.</w:t>
      </w:r>
    </w:p>
    <w:p>
      <w:pPr>
        <w:pStyle w:val="LegClause"/>
      </w:pPr>
      <w:r>
        <w:rPr>
          <w:b/>
        </w:rPr>
        <w:t xml:space="preserve">(c)  </w:t>
      </w:r>
      <w:r>
        <w:t>An independent assurance report may include uncertainty ranges and qualified findings rather than an unsupported binary approval.</w:t>
      </w:r>
    </w:p>
    <w:p>
      <w:pPr>
        <w:pStyle w:val="LegSection"/>
      </w:pPr>
      <w:r>
        <w:t>SEC. 3711. DIGITAL CIVIL RIGHTS AND ACCESSIBILITY.</w:t>
      </w:r>
    </w:p>
    <w:p>
      <w:pPr>
        <w:pStyle w:val="LegClause"/>
      </w:pPr>
      <w:r>
        <w:rPr>
          <w:b/>
        </w:rPr>
        <w:t xml:space="preserve">(a)  </w:t>
      </w:r>
      <w:r>
        <w:t>Public-facing scientific data, grant processes, educational materials, and facility-reservation systems shall comply with applicable accessibility, privacy, security, and nondiscrimination law.</w:t>
      </w:r>
    </w:p>
    <w:p>
      <w:pPr>
        <w:pStyle w:val="LegClause"/>
      </w:pPr>
      <w:r>
        <w:rPr>
          <w:b/>
        </w:rPr>
        <w:t xml:space="preserve">(b)  </w:t>
      </w:r>
      <w:r>
        <w:t>No grant condition shall require surrender of protected speech, lawful academic criticism, or unrelated personal privacy rights.</w:t>
      </w:r>
    </w:p>
    <w:p>
      <w:pPr>
        <w:pStyle w:val="LegClause"/>
      </w:pPr>
      <w:r>
        <w:rPr>
          <w:b/>
        </w:rPr>
        <w:t xml:space="preserve">(c)  </w:t>
      </w:r>
      <w:r>
        <w:t>Technical access limits shall be written, reviewable, and reasonably related to safety, scientific purpose, security, or scarce facility capacity.</w:t>
      </w:r>
    </w:p>
    <w:p>
      <w:pPr>
        <w:pStyle w:val="LegSection"/>
      </w:pPr>
      <w:r>
        <w:t>SEC. 3712. INDEPENDENT DUAL-USE STANDARDS REVISION.</w:t>
      </w:r>
    </w:p>
    <w:p>
      <w:pPr>
        <w:pStyle w:val="LegClause"/>
      </w:pPr>
      <w:r>
        <w:rPr>
          <w:b/>
        </w:rPr>
        <w:t xml:space="preserve">(a)  </w:t>
      </w:r>
      <w:r>
        <w:t>Not less than every three years, the responsible safety and research-security officials shall review whether designated technology-risk tiers remain proportionate to the evidence and scientific state of the art.</w:t>
      </w:r>
    </w:p>
    <w:p>
      <w:pPr>
        <w:pStyle w:val="LegClause"/>
      </w:pPr>
      <w:r>
        <w:rPr>
          <w:b/>
        </w:rPr>
        <w:t xml:space="preserve">(b)  </w:t>
      </w:r>
      <w:r>
        <w:t>Controls found ineffective, redundant, or unjustifiably burdensome shall be revised through lawful procedure; newly demonstrated severe capabilities may support increased controls on a documented basis.</w:t>
      </w:r>
    </w:p>
    <w:p>
      <w:pPr>
        <w:pStyle w:val="LegClause"/>
      </w:pPr>
      <w:r>
        <w:rPr>
          <w:b/>
        </w:rPr>
        <w:t xml:space="preserve">(c)  </w:t>
      </w:r>
      <w:r>
        <w:t>The review shall seek input from researchers, safety professionals, civil-liberties experts, lawful industry participants, and independent technical assessors.</w:t>
      </w:r>
    </w:p>
    <w:p>
      <w:pPr>
        <w:pStyle w:val="LegTitle"/>
      </w:pPr>
      <w:r>
        <w:t>TITLE XXXVIII — INTERGENERATIONAL SCIENCE, PERPETUAL INSTITUTIONAL CAPACITY, AND CONTINUITY</w:t>
      </w:r>
    </w:p>
    <w:p>
      <w:pPr>
        <w:pStyle w:val="LegSection"/>
      </w:pPr>
      <w:r>
        <w:t>SEC. 3801. PURPOSE OF INTERGENERATIONAL STEWARDSHIP.</w:t>
      </w:r>
    </w:p>
    <w:p>
      <w:pPr>
        <w:pStyle w:val="LegClause"/>
      </w:pPr>
      <w:r>
        <w:rPr>
          <w:b/>
        </w:rPr>
        <w:t xml:space="preserve">(a)  </w:t>
      </w:r>
      <w:r>
        <w:t>The policy of the United States is that science institutions should preserve, improve, and transmit knowledge, equipment, technical competence, and financial capacity so that future generations inherit meaningful options for discovery.</w:t>
      </w:r>
    </w:p>
    <w:p>
      <w:pPr>
        <w:pStyle w:val="LegClause"/>
      </w:pPr>
      <w:r>
        <w:rPr>
          <w:b/>
        </w:rPr>
        <w:t xml:space="preserve">(b)  </w:t>
      </w:r>
      <w:r>
        <w:t>A 500-year planning horizon is a repeated duty of stewardship and analysis, not a claim that a Congress may bind all future Congresses or that five centuries of macroeconomic conditions can be forecast.</w:t>
      </w:r>
    </w:p>
    <w:p>
      <w:pPr>
        <w:pStyle w:val="LegClause"/>
      </w:pPr>
      <w:r>
        <w:rPr>
          <w:b/>
        </w:rPr>
        <w:t xml:space="preserve">(c)  </w:t>
      </w:r>
      <w:r>
        <w:t>Short-term success measures shall not systematically extinguish valuable long-duration observations, scientific archives, or fundamental theoretical work.</w:t>
      </w:r>
    </w:p>
    <w:p>
      <w:pPr>
        <w:pStyle w:val="LegSection"/>
      </w:pPr>
      <w:r>
        <w:t>SEC. 3802. SCIENTIFIC KNOWLEDGE CONTINUITY PLAN.</w:t>
      </w:r>
    </w:p>
    <w:p>
      <w:pPr>
        <w:pStyle w:val="LegClause"/>
      </w:pPr>
      <w:r>
        <w:rPr>
          <w:b/>
        </w:rPr>
        <w:t xml:space="preserve">(a)  </w:t>
      </w:r>
      <w:r>
        <w:t>Every project with an expected operating life above 15 years shall maintain records of scientific purpose, critical assumptions, source data, design decisions, calibration, software, and technical responsibility.</w:t>
      </w:r>
    </w:p>
    <w:p>
      <w:pPr>
        <w:pStyle w:val="LegClause"/>
      </w:pPr>
      <w:r>
        <w:rPr>
          <w:b/>
        </w:rPr>
        <w:t xml:space="preserve">(b)  </w:t>
      </w:r>
      <w:r>
        <w:t>Succession shall identify how qualified new personnel will assume operational authority and how knowledge survives contractor exit, agency restructuring, or retirement of key staff.</w:t>
      </w:r>
    </w:p>
    <w:p>
      <w:pPr>
        <w:pStyle w:val="LegClause"/>
      </w:pPr>
      <w:r>
        <w:rPr>
          <w:b/>
        </w:rPr>
        <w:t xml:space="preserve">(c)  </w:t>
      </w:r>
      <w:r>
        <w:t>Classified and controlled research shall use equivalent secure preservation mechanisms where lawful.</w:t>
      </w:r>
    </w:p>
    <w:p>
      <w:pPr>
        <w:pStyle w:val="LegSection"/>
      </w:pPr>
      <w:r>
        <w:t>SEC. 3803. INSTITUTIONAL STRESS-TEST SCENARIOS.</w:t>
      </w:r>
    </w:p>
    <w:p>
      <w:pPr>
        <w:pStyle w:val="LegClause"/>
      </w:pPr>
      <w:r>
        <w:rPr>
          <w:b/>
        </w:rPr>
        <w:t xml:space="preserve">(a)  </w:t>
      </w:r>
      <w:r>
        <w:t>Every five years, each covered institution shall test scientific continuity under cyberattacks, loss of major contractors, launch-site disruption, economic recession, supply shortage, natural disaster, grid failure, severe workforce attrition, and loss of archival systems.</w:t>
      </w:r>
    </w:p>
    <w:p>
      <w:pPr>
        <w:pStyle w:val="LegClause"/>
      </w:pPr>
      <w:r>
        <w:rPr>
          <w:b/>
        </w:rPr>
        <w:t xml:space="preserve">(b)  </w:t>
      </w:r>
      <w:r>
        <w:t>Exercises shall identify realistic recovery times, financial buffers, replacement equipment, backup communications, safe shutdown processes, and personnel succession.</w:t>
      </w:r>
    </w:p>
    <w:p>
      <w:pPr>
        <w:pStyle w:val="LegClause"/>
      </w:pPr>
      <w:r>
        <w:rPr>
          <w:b/>
        </w:rPr>
        <w:t xml:space="preserve">(c)  </w:t>
      </w:r>
      <w:r>
        <w:t>The institution shall adopt corrective actions after each test and report implementation status to the applicable Inspector General.</w:t>
      </w:r>
    </w:p>
    <w:p>
      <w:pPr>
        <w:pStyle w:val="LegSection"/>
      </w:pPr>
      <w:r>
        <w:t>SEC. 3804. LONG-DURATION EXPERIMENT PRESERVATION.</w:t>
      </w:r>
    </w:p>
    <w:p>
      <w:pPr>
        <w:pStyle w:val="LegClause"/>
      </w:pPr>
      <w:r>
        <w:rPr>
          <w:b/>
        </w:rPr>
        <w:t xml:space="preserve">(a)  </w:t>
      </w:r>
      <w:r>
        <w:t>The Network shall identify observational series, experimental cultures, scientific facilities, unique test objects, biological reference collections, and archives that cannot be readily re-created after a shutdown.</w:t>
      </w:r>
    </w:p>
    <w:p>
      <w:pPr>
        <w:pStyle w:val="LegClause"/>
      </w:pPr>
      <w:r>
        <w:rPr>
          <w:b/>
        </w:rPr>
        <w:t xml:space="preserve">(b)  </w:t>
      </w:r>
      <w:r>
        <w:t>The responsible agency shall include continuity costs and a closure plan before withdrawing material support from such a program.</w:t>
      </w:r>
    </w:p>
    <w:p>
      <w:pPr>
        <w:pStyle w:val="LegClause"/>
      </w:pPr>
      <w:r>
        <w:rPr>
          <w:b/>
        </w:rPr>
        <w:t xml:space="preserve">(c)  </w:t>
      </w:r>
      <w:r>
        <w:t>The designation of irreplaceable scientific value creates a duty of careful assessment, not an unconditional entitlement to perpetual funding regardless of scientific merit or safety.</w:t>
      </w:r>
    </w:p>
    <w:p>
      <w:pPr>
        <w:pStyle w:val="LegSection"/>
      </w:pPr>
      <w:r>
        <w:t>SEC. 3805. ENDOWMENT AND RESERVE INTEGRITY.</w:t>
      </w:r>
    </w:p>
    <w:p>
      <w:pPr>
        <w:pStyle w:val="LegClause"/>
      </w:pPr>
      <w:r>
        <w:rPr>
          <w:b/>
        </w:rPr>
        <w:t xml:space="preserve">(a)  </w:t>
      </w:r>
      <w:r>
        <w:t>The Intergenerational Endowment and Stabilization Account shall be reported separately from annual appropriations, program outlays, and obligations.</w:t>
      </w:r>
    </w:p>
    <w:p>
      <w:pPr>
        <w:pStyle w:val="LegClause"/>
      </w:pPr>
      <w:r>
        <w:rPr>
          <w:b/>
        </w:rPr>
        <w:t xml:space="preserve">(b)  </w:t>
      </w:r>
      <w:r>
        <w:t>The statutory 50-times target and 30-month reserve target shall not be represented as currently funded assets until audited balances meet those standards.</w:t>
      </w:r>
    </w:p>
    <w:p>
      <w:pPr>
        <w:pStyle w:val="LegClause"/>
      </w:pPr>
      <w:r>
        <w:rPr>
          <w:b/>
        </w:rPr>
        <w:t xml:space="preserve">(c)  </w:t>
      </w:r>
      <w:r>
        <w:t>Capitalization decisions shall consider general Federal debt costs, public liquidity needs, revenue uncertainty, and the difference between Government-held Treasury obligations and net national wealth.</w:t>
      </w:r>
    </w:p>
    <w:p>
      <w:pPr>
        <w:pStyle w:val="LegSection"/>
      </w:pPr>
      <w:r>
        <w:t>SEC. 3806. SCIENTIFIC OPTION-VALUE REVIEW.</w:t>
      </w:r>
    </w:p>
    <w:p>
      <w:pPr>
        <w:pStyle w:val="LegClause"/>
      </w:pPr>
      <w:r>
        <w:rPr>
          <w:b/>
        </w:rPr>
        <w:t xml:space="preserve">(a)  </w:t>
      </w:r>
      <w:r>
        <w:t>Every ten years, an independent scientific council shall examine whether the distribution of research spending preserves sufficient optionality across mature disciplines, unproven concepts, common facilities, and the development of new fields.</w:t>
      </w:r>
    </w:p>
    <w:p>
      <w:pPr>
        <w:pStyle w:val="LegClause"/>
      </w:pPr>
      <w:r>
        <w:rPr>
          <w:b/>
        </w:rPr>
        <w:t xml:space="preserve">(b)  </w:t>
      </w:r>
      <w:r>
        <w:t>The review may recommend new fields, ending obsolete programs, sharing assets, improving peer-review methods, or rebalancing programs, but changes in statutory accounts require lawful authority.</w:t>
      </w:r>
    </w:p>
    <w:p>
      <w:pPr>
        <w:pStyle w:val="LegClause"/>
      </w:pPr>
      <w:r>
        <w:rPr>
          <w:b/>
        </w:rPr>
        <w:t xml:space="preserve">(c)  </w:t>
      </w:r>
      <w:r>
        <w:t>The review shall use multiple expert perspectives rather than a single forecast of technological progress.</w:t>
      </w:r>
    </w:p>
    <w:p>
      <w:pPr>
        <w:pStyle w:val="LegSection"/>
      </w:pPr>
      <w:r>
        <w:t>SEC. 3807. FIFTY-YEAR SCIENCE AND INFRASTRUCTURE OUTLOOK.</w:t>
      </w:r>
    </w:p>
    <w:p>
      <w:pPr>
        <w:pStyle w:val="LegClause"/>
      </w:pPr>
      <w:r>
        <w:rPr>
          <w:b/>
        </w:rPr>
        <w:t xml:space="preserve">(a)  </w:t>
      </w:r>
      <w:r>
        <w:t>The President shall transmit a 50-year high-level public outlook identifying possible research facilities, instrument succession, energy and computing constraints, environmental change, demographics, and scientific workforce considerations.</w:t>
      </w:r>
    </w:p>
    <w:p>
      <w:pPr>
        <w:pStyle w:val="LegClause"/>
      </w:pPr>
      <w:r>
        <w:rPr>
          <w:b/>
        </w:rPr>
        <w:t xml:space="preserve">(b)  </w:t>
      </w:r>
      <w:r>
        <w:t>The outlook shall contain uncertainty ranges and alternative scientific paths and shall be renewed at least every ten years.</w:t>
      </w:r>
    </w:p>
    <w:p>
      <w:pPr>
        <w:pStyle w:val="LegClause"/>
      </w:pPr>
      <w:r>
        <w:rPr>
          <w:b/>
        </w:rPr>
        <w:t xml:space="preserve">(c)  </w:t>
      </w:r>
      <w:r>
        <w:t>The outlook does not itself authorize a procurement, construction, tax, appropriation, or international obligation.</w:t>
      </w:r>
    </w:p>
    <w:p>
      <w:pPr>
        <w:pStyle w:val="LegSection"/>
      </w:pPr>
      <w:r>
        <w:t>SEC. 3808. CENTENNIAL SCIENCE SCENARIO PROCESS.</w:t>
      </w:r>
    </w:p>
    <w:p>
      <w:pPr>
        <w:pStyle w:val="LegClause"/>
      </w:pPr>
      <w:r>
        <w:rPr>
          <w:b/>
        </w:rPr>
        <w:t xml:space="preserve">(a)  </w:t>
      </w:r>
      <w:r>
        <w:t>Every 20 years an independent panel drawn from science, engineering, economics, history, law, ethics, and institutional operations shall conduct 100-year scenario assessments.</w:t>
      </w:r>
    </w:p>
    <w:p>
      <w:pPr>
        <w:pStyle w:val="LegClause"/>
      </w:pPr>
      <w:r>
        <w:rPr>
          <w:b/>
        </w:rPr>
        <w:t xml:space="preserve">(b)  </w:t>
      </w:r>
      <w:r>
        <w:t>The scenarios shall address scientific discovery, resource use, human space activity, computational technologies, environmental constraints, social consequences, public finance, and institutional failure modes.</w:t>
      </w:r>
    </w:p>
    <w:p>
      <w:pPr>
        <w:pStyle w:val="LegClause"/>
      </w:pPr>
      <w:r>
        <w:rPr>
          <w:b/>
        </w:rPr>
        <w:t xml:space="preserve">(c)  </w:t>
      </w:r>
      <w:r>
        <w:t>The panel shall distinguish plausible options, unresolved questions, low-probability hazards, and imaginative hypotheses and shall publish methodology.</w:t>
      </w:r>
    </w:p>
    <w:p>
      <w:pPr>
        <w:pStyle w:val="LegSection"/>
      </w:pPr>
      <w:r>
        <w:t>SEC. 3809. ROLLING FIVE-CENTURY STEWARDSHIP STATEMENT.</w:t>
      </w:r>
    </w:p>
    <w:p>
      <w:pPr>
        <w:pStyle w:val="LegClause"/>
      </w:pPr>
      <w:r>
        <w:rPr>
          <w:b/>
        </w:rPr>
        <w:t xml:space="preserve">(a)  </w:t>
      </w:r>
      <w:r>
        <w:t>Every 25 years, the President shall transmit to Congress a nonbinding 500-year stewardship statement covering fiscal sustainability, long-lived facilities, archives, scientific education, human rights, planetary environmental effects, and institutional continuity.</w:t>
      </w:r>
    </w:p>
    <w:p>
      <w:pPr>
        <w:pStyle w:val="LegClause"/>
      </w:pPr>
      <w:r>
        <w:rPr>
          <w:b/>
        </w:rPr>
        <w:t xml:space="preserve">(b)  </w:t>
      </w:r>
      <w:r>
        <w:t>The statement shall identify the limitations of long-range economic and technological forecasting and shall propose present-day actions that are robust across plausible futures.</w:t>
      </w:r>
    </w:p>
    <w:p>
      <w:pPr>
        <w:pStyle w:val="LegClause"/>
      </w:pPr>
      <w:r>
        <w:rPr>
          <w:b/>
        </w:rPr>
        <w:t xml:space="preserve">(c)  </w:t>
      </w:r>
      <w:r>
        <w:t>Nothing in the statement binds future legislatures or gives any institution sovereign authority over descendants who have not consented.</w:t>
      </w:r>
    </w:p>
    <w:p>
      <w:pPr>
        <w:pStyle w:val="LegSection"/>
      </w:pPr>
      <w:r>
        <w:t>SEC. 3810. REVIEW OF PERMANENT INSTITUTIONS.</w:t>
      </w:r>
    </w:p>
    <w:p>
      <w:pPr>
        <w:pStyle w:val="LegClause"/>
      </w:pPr>
      <w:r>
        <w:rPr>
          <w:b/>
        </w:rPr>
        <w:t xml:space="preserve">(a)  </w:t>
      </w:r>
      <w:r>
        <w:t>Every ten years, GAO and an independent scientific review panel shall assess whether the institutional design of this Act remains effective for new technologies, scientific fields, fiscal conditions, and governance needs.</w:t>
      </w:r>
    </w:p>
    <w:p>
      <w:pPr>
        <w:pStyle w:val="LegClause"/>
      </w:pPr>
      <w:r>
        <w:rPr>
          <w:b/>
        </w:rPr>
        <w:t xml:space="preserve">(b)  </w:t>
      </w:r>
      <w:r>
        <w:t>The review shall identify obsolete administrative arrangements, excessive concentration, conflicts, gaps in research safety, duplicated facilities, and burdens that no longer produce public benefits.</w:t>
      </w:r>
    </w:p>
    <w:p>
      <w:pPr>
        <w:pStyle w:val="LegClause"/>
      </w:pPr>
      <w:r>
        <w:rPr>
          <w:b/>
        </w:rPr>
        <w:t xml:space="preserve">(c)  </w:t>
      </w:r>
      <w:r>
        <w:t>Recommended reforms may be transmitted to Congress but may not be implemented in violation of existing law or statutory account allocations.</w:t>
      </w:r>
    </w:p>
    <w:p>
      <w:pPr>
        <w:pStyle w:val="LegSection"/>
      </w:pPr>
      <w:r>
        <w:t>SEC. 3811. SCIENTIFIC PUBLIC MEMORY AND DISSEMINATION.</w:t>
      </w:r>
    </w:p>
    <w:p>
      <w:pPr>
        <w:pStyle w:val="LegClause"/>
      </w:pPr>
      <w:r>
        <w:rPr>
          <w:b/>
        </w:rPr>
        <w:t xml:space="preserve">(a)  </w:t>
      </w:r>
      <w:r>
        <w:t>The Government shall preserve publicly usable explanations of important discoveries, failed technical programs, experimental methods, historical engineering designs, major facilities, and Federal scientific decisions.</w:t>
      </w:r>
    </w:p>
    <w:p>
      <w:pPr>
        <w:pStyle w:val="LegClause"/>
      </w:pPr>
      <w:r>
        <w:rPr>
          <w:b/>
        </w:rPr>
        <w:t xml:space="preserve">(b)  </w:t>
      </w:r>
      <w:r>
        <w:t>The National Archives, Library of Congress, Federal research repositories, museums, and educational partners may cooperate in durable public scientific memory systems with redundant storage and periodic format migration.</w:t>
      </w:r>
    </w:p>
    <w:p>
      <w:pPr>
        <w:pStyle w:val="LegClause"/>
      </w:pPr>
      <w:r>
        <w:rPr>
          <w:b/>
        </w:rPr>
        <w:t xml:space="preserve">(c)  </w:t>
      </w:r>
      <w:r>
        <w:t>Scientific public memory shall protect lawful classified information, personal privacy, cultural heritage, and the legitimate rights of research participants.</w:t>
      </w:r>
    </w:p>
    <w:p>
      <w:pPr>
        <w:pStyle w:val="LegTitle"/>
      </w:pPr>
      <w:r>
        <w:t>TITLE XXXIX — CONSTITUTIONAL AUTHORITY, JUDICIAL REVIEW, SEVERABILITY, AND EFFECTIVE DATES</w:t>
      </w:r>
    </w:p>
    <w:p>
      <w:pPr>
        <w:pStyle w:val="LegSection"/>
      </w:pPr>
      <w:r>
        <w:t>SEC. 3901. CONSTITUTIONAL AUTHORITY AND PUBLIC PURPOSES.</w:t>
      </w:r>
    </w:p>
    <w:p>
      <w:pPr>
        <w:pStyle w:val="LegClause"/>
      </w:pPr>
      <w:r>
        <w:rPr>
          <w:b/>
        </w:rPr>
        <w:t xml:space="preserve">(a)  </w:t>
      </w:r>
      <w:r>
        <w:t>Congress enacts this Act pursuant to its authority under article I of the Constitution to tax and spend for the general welfare, regulate interstate and foreign commerce, provide for the common defense, legislate concerning Federal property, and make laws necessary and proper to execute enumerated Federal powers.</w:t>
      </w:r>
    </w:p>
    <w:p>
      <w:pPr>
        <w:pStyle w:val="LegClause"/>
      </w:pPr>
      <w:r>
        <w:rPr>
          <w:b/>
        </w:rPr>
        <w:t xml:space="preserve">(b)  </w:t>
      </w:r>
      <w:r>
        <w:t>The Act implements civilian space, Federal scientific, and defense research functions within their respective organic statutory authorities. Nothing in this Act grants Congress an unlimited power to dictate scientific conclusions or to regulate all private research.</w:t>
      </w:r>
    </w:p>
    <w:p>
      <w:pPr>
        <w:pStyle w:val="LegClause"/>
      </w:pPr>
      <w:r>
        <w:rPr>
          <w:b/>
        </w:rPr>
        <w:t xml:space="preserve">(c)  </w:t>
      </w:r>
      <w:r>
        <w:t>International programs shall be administered through lawful spending, foreign affairs, commerce, and treaty mechanisms, without bypassing constitutional ratification or required implementing legislation.</w:t>
      </w:r>
    </w:p>
    <w:p>
      <w:pPr>
        <w:pStyle w:val="LegSection"/>
      </w:pPr>
      <w:r>
        <w:t>SEC. 3902. APPROPRIATIONS AND BUDGET ENFORCEMENT.</w:t>
      </w:r>
    </w:p>
    <w:p>
      <w:pPr>
        <w:pStyle w:val="LegClause"/>
      </w:pPr>
      <w:r>
        <w:rPr>
          <w:b/>
        </w:rPr>
        <w:t xml:space="preserve">(a)  </w:t>
      </w:r>
      <w:r>
        <w:t>The appropriation in section 213 is permanent, self-executing budget authority for the amounts and purposes specified by law, subject to ordinary appropriations, debt, fiscal, and expenditure restrictions and to subsequent amendment by Congress.</w:t>
      </w:r>
    </w:p>
    <w:p>
      <w:pPr>
        <w:pStyle w:val="LegClause"/>
      </w:pPr>
      <w:r>
        <w:rPr>
          <w:b/>
        </w:rPr>
        <w:t xml:space="preserve">(b)  </w:t>
      </w:r>
      <w:r>
        <w:t>The availability of funds does not permit obligations beyond the statutory account amount, acceleration of outlays without valid legal obligations, or commitments for international projects beyond available legal authority.</w:t>
      </w:r>
    </w:p>
    <w:p>
      <w:pPr>
        <w:pStyle w:val="LegClause"/>
      </w:pPr>
      <w:r>
        <w:rPr>
          <w:b/>
        </w:rPr>
        <w:t xml:space="preserve">(c)  </w:t>
      </w:r>
      <w:r>
        <w:t>This Act claims no exemption from the Budget Control Act, Congressional Budget Act, statutory PAYGO requirements, or other applicable budget enforcement provisions to the extent those provisions are in force and apply.</w:t>
      </w:r>
    </w:p>
    <w:p>
      <w:pPr>
        <w:pStyle w:val="LegClause"/>
      </w:pPr>
      <w:r>
        <w:rPr>
          <w:b/>
        </w:rPr>
        <w:t xml:space="preserve">(d)  </w:t>
      </w:r>
      <w:r>
        <w:t>The Congressional Budget Office and Joint Committee on Taxation estimates shall be requested before final enactment for budget compliance; however, this Act is drafted without asserting that tax revenue already matches expenditures.</w:t>
      </w:r>
    </w:p>
    <w:p>
      <w:pPr>
        <w:pStyle w:val="LegSection"/>
      </w:pPr>
      <w:r>
        <w:t>SEC. 3903. TAX ADMINISTRATION AND BOUNDED REGULATORY AUTHORITY.</w:t>
      </w:r>
    </w:p>
    <w:p>
      <w:pPr>
        <w:pStyle w:val="LegClause"/>
      </w:pPr>
      <w:r>
        <w:rPr>
          <w:b/>
        </w:rPr>
        <w:t xml:space="preserve">(a)  </w:t>
      </w:r>
      <w:r>
        <w:t>The Secretary shall administer the contributions imposed under sections 403 and 404 using lawful assessment, collection, information-return, penalty, refund, and judicial-review procedures generally applicable to Federal excise taxes, except where this Act provides a specific rule.</w:t>
      </w:r>
    </w:p>
    <w:p>
      <w:pPr>
        <w:pStyle w:val="LegClause"/>
      </w:pPr>
      <w:r>
        <w:rPr>
          <w:b/>
        </w:rPr>
        <w:t xml:space="preserve">(b)  </w:t>
      </w:r>
      <w:r>
        <w:t>The Secretary may prescribe valuation, reporting, clearing, and anti-avoidance rules necessary to implement the statutory transaction-tax base, but may not increase the tax rates or create additional taxable categories not fairly included in the statutory language.</w:t>
      </w:r>
    </w:p>
    <w:p>
      <w:pPr>
        <w:pStyle w:val="LegClause"/>
      </w:pPr>
      <w:r>
        <w:rPr>
          <w:b/>
        </w:rPr>
        <w:t xml:space="preserve">(c)  </w:t>
      </w:r>
      <w:r>
        <w:t>Material tax disputes shall remain subject to the procedural protections and judicial remedies provided by applicable Federal tax law.</w:t>
      </w:r>
    </w:p>
    <w:p>
      <w:pPr>
        <w:pStyle w:val="LegClause"/>
      </w:pPr>
      <w:r>
        <w:rPr>
          <w:b/>
        </w:rPr>
        <w:t xml:space="preserve">(d)  </w:t>
      </w:r>
      <w:r>
        <w:t>If a tax-base term creates a constitutional or substantial administrability problem, Treasury shall report proposed legislative language rather than claim authority to rewrite the tax by regulation.</w:t>
      </w:r>
    </w:p>
    <w:p>
      <w:pPr>
        <w:pStyle w:val="LegSection"/>
      </w:pPr>
      <w:r>
        <w:t>SEC. 3904. ADMINISTRATIVE PROCEDURE ACT AND JUDICIAL REVIEW.</w:t>
      </w:r>
    </w:p>
    <w:p>
      <w:pPr>
        <w:pStyle w:val="LegClause"/>
      </w:pPr>
      <w:r>
        <w:rPr>
          <w:b/>
        </w:rPr>
        <w:t xml:space="preserve">(a)  </w:t>
      </w:r>
      <w:r>
        <w:t>Except where a provision of this Act expressly states otherwise, rulemaking and final agency action are subject to chapter 5 of title 5, United States Code, and to review under chapter 7 of such title to the extent otherwise provided by law.</w:t>
      </w:r>
    </w:p>
    <w:p>
      <w:pPr>
        <w:pStyle w:val="LegClause"/>
      </w:pPr>
      <w:r>
        <w:rPr>
          <w:b/>
        </w:rPr>
        <w:t xml:space="preserve">(b)  </w:t>
      </w:r>
      <w:r>
        <w:t>No scientific autonomy rule is an exemption from lawful public notice, comment, or reasoned decisionmaking requirements.</w:t>
      </w:r>
    </w:p>
    <w:p>
      <w:pPr>
        <w:pStyle w:val="LegClause"/>
      </w:pPr>
      <w:r>
        <w:rPr>
          <w:b/>
        </w:rPr>
        <w:t xml:space="preserve">(c)  </w:t>
      </w:r>
      <w:r>
        <w:t>An action involving classified materials or agency discretion shall remain subject to existing justiciability and review limitations; this Act does not require unlawful disclosure of protected information.</w:t>
      </w:r>
    </w:p>
    <w:p>
      <w:pPr>
        <w:pStyle w:val="LegSection"/>
      </w:pPr>
      <w:r>
        <w:t>SEC. 3905. DUE PROCESS AND RIGHTS OF AFFECTED PERSONS.</w:t>
      </w:r>
    </w:p>
    <w:p>
      <w:pPr>
        <w:pStyle w:val="LegClause"/>
      </w:pPr>
      <w:r>
        <w:rPr>
          <w:b/>
        </w:rPr>
        <w:t xml:space="preserve">(a)  </w:t>
      </w:r>
      <w:r>
        <w:t>A material adverse determination concerning debarment, suspension, grant recovery, classified-access eligibility, program participation, or publication restriction shall include notice, reasons, opportunity for reconsideration, and review as required by applicable law.</w:t>
      </w:r>
    </w:p>
    <w:p>
      <w:pPr>
        <w:pStyle w:val="LegClause"/>
      </w:pPr>
      <w:r>
        <w:rPr>
          <w:b/>
        </w:rPr>
        <w:t xml:space="preserve">(b)  </w:t>
      </w:r>
      <w:r>
        <w:t>Nothing in this Act authorizes discriminatory exclusion, suppression of protected speech, compelled human experimentation, or unreviewable domestic surveillance.</w:t>
      </w:r>
    </w:p>
    <w:p>
      <w:pPr>
        <w:pStyle w:val="LegClause"/>
      </w:pPr>
      <w:r>
        <w:rPr>
          <w:b/>
        </w:rPr>
        <w:t xml:space="preserve">(c)  </w:t>
      </w:r>
      <w:r>
        <w:t>The Government may suspend or restrict activity presenting an imminent serious hazard under existing authority, subject to a prompt written record and independent review appropriate to the risk.</w:t>
      </w:r>
    </w:p>
    <w:p>
      <w:pPr>
        <w:pStyle w:val="LegSection"/>
      </w:pPr>
      <w:r>
        <w:t>SEC. 3906. FEDERALISM, ENVIRONMENTAL LAW, AND TRIBAL SOVEREIGNTY.</w:t>
      </w:r>
    </w:p>
    <w:p>
      <w:pPr>
        <w:pStyle w:val="LegClause"/>
      </w:pPr>
      <w:r>
        <w:rPr>
          <w:b/>
        </w:rPr>
        <w:t xml:space="preserve">(a)  </w:t>
      </w:r>
      <w:r>
        <w:t>This Act does not generally preempt State, territorial, tribal, or local law concerning labor, safety, the environment, privacy, property, professional licensing, or civil rights.</w:t>
      </w:r>
    </w:p>
    <w:p>
      <w:pPr>
        <w:pStyle w:val="LegClause"/>
      </w:pPr>
      <w:r>
        <w:rPr>
          <w:b/>
        </w:rPr>
        <w:t xml:space="preserve">(b)  </w:t>
      </w:r>
      <w:r>
        <w:t>Existing constitutional doctrines governing Federal property, sovereign immunity, intergovernmental relations, and the supremacy of valid Federal law remain applicable.</w:t>
      </w:r>
    </w:p>
    <w:p>
      <w:pPr>
        <w:pStyle w:val="LegClause"/>
      </w:pPr>
      <w:r>
        <w:rPr>
          <w:b/>
        </w:rPr>
        <w:t xml:space="preserve">(c)  </w:t>
      </w:r>
      <w:r>
        <w:t>No Federal construction or scientific research provision waives applicable environmental review, tribal consultation, cultural preservation, or public participation requirements.</w:t>
      </w:r>
    </w:p>
    <w:p>
      <w:pPr>
        <w:pStyle w:val="LegSection"/>
      </w:pPr>
      <w:r>
        <w:t>SEC. 3907. NO IMPLIED PRIVATE RIGHT OR WAIVER OF DEFENSES.</w:t>
      </w:r>
    </w:p>
    <w:p>
      <w:pPr>
        <w:pStyle w:val="LegClause"/>
      </w:pPr>
      <w:r>
        <w:rPr>
          <w:b/>
        </w:rPr>
        <w:t xml:space="preserve">(a)  </w:t>
      </w:r>
      <w:r>
        <w:t>No private right of action, right to an award, entitlement to employment, private monetary remedy, or sovereign-immunity waiver arises solely from this Act unless expressly granted.</w:t>
      </w:r>
    </w:p>
    <w:p>
      <w:pPr>
        <w:pStyle w:val="LegClause"/>
      </w:pPr>
      <w:r>
        <w:rPr>
          <w:b/>
        </w:rPr>
        <w:t xml:space="preserve">(b)  </w:t>
      </w:r>
      <w:r>
        <w:t>Nothing in this section restricts rights or remedies that exist independently under the Constitution, Administrative Procedure Act, employment law, civil-rights law, procurement law, contract law, tax law, or other applicable statutes.</w:t>
      </w:r>
    </w:p>
    <w:p>
      <w:pPr>
        <w:pStyle w:val="LegClause"/>
      </w:pPr>
      <w:r>
        <w:rPr>
          <w:b/>
        </w:rPr>
        <w:t xml:space="preserve">(c)  </w:t>
      </w:r>
      <w:r>
        <w:t>Federal agencies shall provide applicable administrative appeals and internal whistleblower channels specified by law.</w:t>
      </w:r>
    </w:p>
    <w:p>
      <w:pPr>
        <w:pStyle w:val="LegSection"/>
      </w:pPr>
      <w:r>
        <w:t>SEC. 3908. SEVERABILITY AND FISCAL CONTINUITY.</w:t>
      </w:r>
    </w:p>
    <w:p>
      <w:pPr>
        <w:pStyle w:val="LegClause"/>
      </w:pPr>
      <w:r>
        <w:rPr>
          <w:b/>
        </w:rPr>
        <w:t xml:space="preserve">(a)  </w:t>
      </w:r>
      <w:r>
        <w:t>If any provision or application of this Act is held invalid, the remainder and other valid applications shall remain effective to the greatest extent consistent with congressional purpose.</w:t>
      </w:r>
    </w:p>
    <w:p>
      <w:pPr>
        <w:pStyle w:val="LegClause"/>
      </w:pPr>
      <w:r>
        <w:rPr>
          <w:b/>
        </w:rPr>
        <w:t xml:space="preserve">(b)  </w:t>
      </w:r>
      <w:r>
        <w:t>If a dedicated tax is invalidated, the permanent general Treasury appropriation in sections 213 and 401 remains effective; the Secretary shall report increased net financing needs to Congress.</w:t>
      </w:r>
    </w:p>
    <w:p>
      <w:pPr>
        <w:pStyle w:val="LegClause"/>
      </w:pPr>
      <w:r>
        <w:rPr>
          <w:b/>
        </w:rPr>
        <w:t xml:space="preserve">(c)  </w:t>
      </w:r>
      <w:r>
        <w:t>If a program account or institutional provision is invalidated, funds appropriated for that purpose remain available only for lawful purposes pending congressional direction, and no executive officer may transfer the amount to a prohibited activity.</w:t>
      </w:r>
    </w:p>
    <w:p>
      <w:pPr>
        <w:pStyle w:val="LegClause"/>
      </w:pPr>
      <w:r>
        <w:rPr>
          <w:b/>
        </w:rPr>
        <w:t xml:space="preserve">(d)  </w:t>
      </w:r>
      <w:r>
        <w:t>If the permanent appropriation itself is held invalid, no officer may obligate funds in excess of other lawfully available authority; Congress shall receive an expedited explanation of affected contracts and mission continuity.</w:t>
      </w:r>
    </w:p>
    <w:p>
      <w:pPr>
        <w:pStyle w:val="LegSection"/>
      </w:pPr>
      <w:r>
        <w:t>SEC. 3909. STATUTORY CONTINUITY AND NON-ENTRENCHMENT.</w:t>
      </w:r>
    </w:p>
    <w:p>
      <w:pPr>
        <w:pStyle w:val="LegClause"/>
      </w:pPr>
      <w:r>
        <w:rPr>
          <w:b/>
        </w:rPr>
        <w:t xml:space="preserve">(a)  </w:t>
      </w:r>
      <w:r>
        <w:t>Congress intends long-term consistency and institutional independence within constitutional limits, but no section prevents a subsequent Congress from amending, suspending, or repealing this Act by later law.</w:t>
      </w:r>
    </w:p>
    <w:p>
      <w:pPr>
        <w:pStyle w:val="LegClause"/>
      </w:pPr>
      <w:r>
        <w:rPr>
          <w:b/>
        </w:rPr>
        <w:t xml:space="preserve">(b)  </w:t>
      </w:r>
      <w:r>
        <w:t>A later statute altering an account shall be construed under ordinary principles of statutory interpretation; a statement recommending express cross-reference does not create an unamendable rule.</w:t>
      </w:r>
    </w:p>
    <w:p>
      <w:pPr>
        <w:pStyle w:val="LegClause"/>
      </w:pPr>
      <w:r>
        <w:rPr>
          <w:b/>
        </w:rPr>
        <w:t xml:space="preserve">(c)  </w:t>
      </w:r>
      <w:r>
        <w:t>A scientific advisory council, investment board, or international organization under this Act may not exercise legislative power or impose a tax beyond valid enacted authority.</w:t>
      </w:r>
    </w:p>
    <w:p>
      <w:pPr>
        <w:pStyle w:val="LegSection"/>
      </w:pPr>
      <w:r>
        <w:t>SEC. 3910. EFFECTIVE DATES AND FIRST FULL FISCAL YEAR.</w:t>
      </w:r>
    </w:p>
    <w:p>
      <w:pPr>
        <w:pStyle w:val="LegClause"/>
      </w:pPr>
      <w:r>
        <w:rPr>
          <w:b/>
        </w:rPr>
        <w:t xml:space="preserve">(a)  </w:t>
      </w:r>
      <w:r>
        <w:t>Except as provided in subsection (b), this Act takes effect 180 days after enactment. The $309,748,000,000 annual account schedule and indexed permanent appropriations apply beginning on October 1 immediately following the effective date.</w:t>
      </w:r>
    </w:p>
    <w:p>
      <w:pPr>
        <w:pStyle w:val="LegClause"/>
      </w:pPr>
      <w:r>
        <w:rPr>
          <w:b/>
        </w:rPr>
        <w:t xml:space="preserve">(b)  </w:t>
      </w:r>
      <w:r>
        <w:t>Baseline certification, temporary implementation planning, rulemaking preparations, audit organization, and technical workforce inventories are authorized beginning on enactment, but expenditures before the first full fiscal year remain subject to other lawfully available appropriations.</w:t>
      </w:r>
    </w:p>
    <w:p>
      <w:pPr>
        <w:pStyle w:val="LegClause"/>
      </w:pPr>
      <w:r>
        <w:rPr>
          <w:b/>
        </w:rPr>
        <w:t xml:space="preserve">(c)  </w:t>
      </w:r>
      <w:r>
        <w:t>A first fiscal year under this Act shall be the full twelve-month period used for annual budget authority; no officer shall infer a proportional partial-year appropriation absent express law.</w:t>
      </w:r>
    </w:p>
    <w:p>
      <w:pPr>
        <w:pStyle w:val="LegClause"/>
      </w:pPr>
      <w:r>
        <w:rPr>
          <w:b/>
        </w:rPr>
        <w:t xml:space="preserve">(d)  </w:t>
      </w:r>
      <w:r>
        <w:t>Congress shall receive a comprehensive implementation and fiscal review not later than five years after the first full fiscal year and every five years thereafter.</w:t>
      </w:r>
    </w:p>
    <w:p>
      <w:pPr>
        <w:pStyle w:val="LegSection"/>
      </w:pPr>
      <w:r>
        <w:t>SEC. 3911. PRESERVATION OF NASA AND DARPA STATUTORY AUTHORITIES.</w:t>
      </w:r>
    </w:p>
    <w:p>
      <w:pPr>
        <w:pStyle w:val="LegClause"/>
      </w:pPr>
      <w:r>
        <w:rPr>
          <w:b/>
        </w:rPr>
        <w:t xml:space="preserve">(a)  </w:t>
      </w:r>
      <w:r>
        <w:t>Nothing in this Act repeals the National Aeronautics and Space Act as codified in title 51, United States Code, or the Department of Defense research transaction authorities of title 10, United States Code, except to the extent expressly stated.</w:t>
      </w:r>
    </w:p>
    <w:p>
      <w:pPr>
        <w:pStyle w:val="LegClause"/>
      </w:pPr>
      <w:r>
        <w:rPr>
          <w:b/>
        </w:rPr>
        <w:t xml:space="preserve">(b)  </w:t>
      </w:r>
      <w:r>
        <w:t>A new program under this Act shall specify the agency responsible for technical safety, acquisition, operational control, research security, and public reporting.</w:t>
      </w:r>
    </w:p>
    <w:p>
      <w:pPr>
        <w:pStyle w:val="LegClause"/>
      </w:pPr>
      <w:r>
        <w:rPr>
          <w:b/>
        </w:rPr>
        <w:t xml:space="preserve">(c)  </w:t>
      </w:r>
      <w:r>
        <w:t>If a conflict between agency statutes is identified, the agency heads shall propose a legislative correction rather than use a memorandum to assert an authority not granted by Congress.</w:t>
      </w:r>
    </w:p>
    <w:p>
      <w:pPr>
        <w:pStyle w:val="LegSection"/>
      </w:pPr>
      <w:r>
        <w:t>SEC. 3912. INTERNATIONAL TREATY AND AGREEMENT SAVINGS.</w:t>
      </w:r>
    </w:p>
    <w:p>
      <w:pPr>
        <w:pStyle w:val="LegClause"/>
      </w:pPr>
      <w:r>
        <w:rPr>
          <w:b/>
        </w:rPr>
        <w:t xml:space="preserve">(a)  </w:t>
      </w:r>
      <w:r>
        <w:t>Nothing in this Act ratifies, modifies, or terminates an existing international treaty by implication.</w:t>
      </w:r>
    </w:p>
    <w:p>
      <w:pPr>
        <w:pStyle w:val="LegClause"/>
      </w:pPr>
      <w:r>
        <w:rPr>
          <w:b/>
        </w:rPr>
        <w:t xml:space="preserve">(b)  </w:t>
      </w:r>
      <w:r>
        <w:t>International facilities shall comply with obligations applicable to the United States, including relevant provisions of the Outer Space Treaty and other agreements as lawfully applicable.</w:t>
      </w:r>
    </w:p>
    <w:p>
      <w:pPr>
        <w:pStyle w:val="LegClause"/>
      </w:pPr>
      <w:r>
        <w:rPr>
          <w:b/>
        </w:rPr>
        <w:t xml:space="preserve">(c)  </w:t>
      </w:r>
      <w:r>
        <w:t>No contribution to an international organization under this Act gives that organization U.S. regulatory, military, police, or fiscal authority without separate constitutional process.</w:t>
      </w:r>
    </w:p>
    <w:p>
      <w:pPr>
        <w:pStyle w:val="LegSection"/>
      </w:pPr>
      <w:r>
        <w:t>SEC. 3913. GOVERNMENT ETHICS AND APPROPRIATED FUNDS.</w:t>
      </w:r>
    </w:p>
    <w:p>
      <w:pPr>
        <w:pStyle w:val="LegClause"/>
      </w:pPr>
      <w:r>
        <w:rPr>
          <w:b/>
        </w:rPr>
        <w:t xml:space="preserve">(a)  </w:t>
      </w:r>
      <w:r>
        <w:t>All Federal personnel and recipients remain subject to applicable financial-conflict, procurement-integrity, anti-corruption, gratuity, lobbying, and whistleblower laws.</w:t>
      </w:r>
    </w:p>
    <w:p>
      <w:pPr>
        <w:pStyle w:val="LegClause"/>
      </w:pPr>
      <w:r>
        <w:rPr>
          <w:b/>
        </w:rPr>
        <w:t xml:space="preserve">(b)  </w:t>
      </w:r>
      <w:r>
        <w:t>The Fund Board, scientific councils, and implementation offices shall publish written recusal and outside-interest procedures, and shall refer evidence of unlawful conduct to appropriate enforcement authorities.</w:t>
      </w:r>
    </w:p>
    <w:p>
      <w:pPr>
        <w:pStyle w:val="LegClause"/>
      </w:pPr>
      <w:r>
        <w:rPr>
          <w:b/>
        </w:rPr>
        <w:t xml:space="preserve">(c)  </w:t>
      </w:r>
      <w:r>
        <w:t>A scientific or economic benefit projected by an agency is not a legal justification for improper personal gain.</w:t>
      </w:r>
    </w:p>
    <w:p>
      <w:pPr>
        <w:pStyle w:val="LegSection"/>
      </w:pPr>
      <w:r>
        <w:t>SEC. 3914. RULEMAKING DEADLINES AND COORDINATED IMPLEMENTATION.</w:t>
      </w:r>
    </w:p>
    <w:p>
      <w:pPr>
        <w:pStyle w:val="LegClause"/>
      </w:pPr>
      <w:r>
        <w:rPr>
          <w:b/>
        </w:rPr>
        <w:t xml:space="preserve">(a)  </w:t>
      </w:r>
      <w:r>
        <w:t>Lead agencies shall publish interim implementation guidance within 180 days after enactment and proposed regulations within 270 days where notice-and-comment rulemaking is required.</w:t>
      </w:r>
    </w:p>
    <w:p>
      <w:pPr>
        <w:pStyle w:val="LegClause"/>
      </w:pPr>
      <w:r>
        <w:rPr>
          <w:b/>
        </w:rPr>
        <w:t xml:space="preserve">(b)  </w:t>
      </w:r>
      <w:r>
        <w:t>Final regulations shall ordinarily be issued within one year after enactment, except where a statute provides another deadline or the record supports a documented additional period.</w:t>
      </w:r>
    </w:p>
    <w:p>
      <w:pPr>
        <w:pStyle w:val="LegClause"/>
      </w:pPr>
      <w:r>
        <w:rPr>
          <w:b/>
        </w:rPr>
        <w:t xml:space="preserve">(c)  </w:t>
      </w:r>
      <w:r>
        <w:t>Administrative simplification under this Act shall not replace legally required public participation or independent scientific and safety review.</w:t>
      </w:r>
    </w:p>
    <w:p>
      <w:pPr>
        <w:pStyle w:val="LegSection"/>
      </w:pPr>
      <w:r>
        <w:t>SEC. 3915. SAVINGS FOR EXISTING OBLIGATIONS AND CONTRACTS.</w:t>
      </w:r>
    </w:p>
    <w:p>
      <w:pPr>
        <w:pStyle w:val="LegClause"/>
      </w:pPr>
      <w:r>
        <w:rPr>
          <w:b/>
        </w:rPr>
        <w:t xml:space="preserve">(a)  </w:t>
      </w:r>
      <w:r>
        <w:t>Lawful contracts, grants, cooperative agreements, personnel rights, and international commitments entered before enactment shall remain in effect according to their terms unless lawfully modified or terminated.</w:t>
      </w:r>
    </w:p>
    <w:p>
      <w:pPr>
        <w:pStyle w:val="LegClause"/>
      </w:pPr>
      <w:r>
        <w:rPr>
          <w:b/>
        </w:rPr>
        <w:t xml:space="preserve">(b)  </w:t>
      </w:r>
      <w:r>
        <w:t>No party acquires a guaranteed renewal solely because the annual aggregate appropriation increases.</w:t>
      </w:r>
    </w:p>
    <w:p>
      <w:pPr>
        <w:pStyle w:val="LegClause"/>
      </w:pPr>
      <w:r>
        <w:rPr>
          <w:b/>
        </w:rPr>
        <w:t xml:space="preserve">(c)  </w:t>
      </w:r>
      <w:r>
        <w:t>Agencies shall reconcile prior obligations and present appropriations without double counting under section 3115.</w:t>
      </w:r>
    </w:p>
    <w:p>
      <w:r>
        <w:br w:type="page"/>
      </w:r>
    </w:p>
    <w:p>
      <w:pPr>
        <w:pStyle w:val="Heading1"/>
      </w:pPr>
      <w:r>
        <w:t>ANNEX A — RESEARCH BASIS, VERIFICATION, AND INSTITUTIONAL DESIGN</w:t>
      </w:r>
    </w:p>
    <w:p>
      <w:pPr>
        <w:pStyle w:val="Heading2"/>
      </w:pPr>
      <w:r>
        <w:t>Purpose and evidentiary boundaries</w:t>
      </w:r>
    </w:p>
    <w:p>
      <w:r>
        <w:rPr>
          <w:b w:val="0"/>
          <w:i w:val="0"/>
        </w:rPr>
        <w:t>This consolidated Act was structured against primary agency budget, Federal audit, statutory and comparative-institution sources. Its new dollar amounts are proposed law, not official agency budget requests or enacted spending. Its legal mechanisms are legislative design judgments and should receive congressional counsel, OMB, GAO, CBO, JCT, and agency technical review before introduction.</w:t>
      </w:r>
    </w:p>
    <w:p>
      <w:r>
        <w:rPr>
          <w:b w:val="0"/>
          <w:i w:val="0"/>
        </w:rPr>
        <w:t>The Act uses the FY2025 regular NASA appropriation of $24.838 billion, not NASA’s all-in FY2025 total that includes supplemental and special mandatory funds largely unavailable for obligation in that fiscal year. It uses DARPA’s FY2025 enacted RDT&amp;E amount of $4.145693 billion, not the FY2025 President’s request.</w:t>
      </w:r>
    </w:p>
    <w:p>
      <w:pPr>
        <w:pStyle w:val="Heading2"/>
      </w:pPr>
      <w:r>
        <w:t>Research findings and statutory response</w:t>
      </w:r>
    </w:p>
    <w:tbl>
      <w:tblPr>
        <w:tblStyle w:val="TableGrid"/>
        <w:tblW w:type="auto" w:w="0"/>
        <w:jc w:val="center"/>
        <w:tblLayout w:type="fixed"/>
        <w:tblLook w:firstColumn="1" w:firstRow="1" w:lastColumn="0" w:lastRow="0" w:noHBand="0" w:noVBand="1" w:val="04A0"/>
      </w:tblPr>
      <w:tblGrid>
        <w:gridCol w:w="4925"/>
        <w:gridCol w:w="4925"/>
      </w:tblGrid>
      <w:tr>
        <w:trPr>
          <w:tblHeader w:val="true"/>
          <w:cantSplit/>
        </w:trPr>
        <w:tc>
          <w:tcPr>
            <w:tcW w:type="dxa" w:w="4409"/>
            <w:shd w:fill="E8EBED"/>
          </w:tcPr>
          <w:p>
            <w:pPr>
              <w:spacing w:after="0"/>
            </w:pPr>
            <w:r>
              <w:rPr>
                <w:rFonts w:ascii="Times New Roman" w:hAnsi="Times New Roman"/>
                <w:b/>
                <w:color w:val="172C3C"/>
                <w:sz w:val="16"/>
              </w:rPr>
              <w:t>Verified context</w:t>
            </w:r>
          </w:p>
        </w:tc>
        <w:tc>
          <w:tcPr>
            <w:tcW w:type="dxa" w:w="5426"/>
            <w:shd w:fill="E8EBED"/>
          </w:tcPr>
          <w:p>
            <w:pPr>
              <w:spacing w:after="0"/>
            </w:pPr>
            <w:r>
              <w:rPr>
                <w:rFonts w:ascii="Times New Roman" w:hAnsi="Times New Roman"/>
                <w:b/>
                <w:color w:val="172C3C"/>
                <w:sz w:val="16"/>
              </w:rPr>
              <w:t>Legislative consequence</w:t>
            </w:r>
          </w:p>
        </w:tc>
      </w:tr>
      <w:tr>
        <w:trPr>
          <w:cantSplit/>
        </w:trPr>
        <w:tc>
          <w:tcPr>
            <w:tcW w:type="dxa" w:w="4409"/>
            <w:vAlign w:val="center"/>
          </w:tcPr>
          <w:p>
            <w:pPr>
              <w:spacing w:after="0" w:before="0"/>
            </w:pPr>
            <w:r>
              <w:rPr>
                <w:rFonts w:ascii="Times New Roman" w:hAnsi="Times New Roman"/>
                <w:color w:val="14191C"/>
                <w:sz w:val="15"/>
              </w:rPr>
              <w:t>NASA FY2025 regular recurring baseline is $24.838B</w:t>
            </w:r>
          </w:p>
        </w:tc>
        <w:tc>
          <w:tcPr>
            <w:tcW w:type="dxa" w:w="5426"/>
            <w:vAlign w:val="center"/>
          </w:tcPr>
          <w:p>
            <w:pPr>
              <w:spacing w:after="0" w:before="0"/>
            </w:pPr>
            <w:r>
              <w:rPr>
                <w:rFonts w:ascii="Times New Roman" w:hAnsi="Times New Roman"/>
                <w:color w:val="14191C"/>
                <w:sz w:val="15"/>
              </w:rPr>
              <w:t>The NASA statutory account is $149.028B real, six times the recurring baseline.</w:t>
            </w:r>
          </w:p>
        </w:tc>
      </w:tr>
      <w:tr>
        <w:trPr>
          <w:cantSplit/>
        </w:trPr>
        <w:tc>
          <w:tcPr>
            <w:tcW w:type="dxa" w:w="4409"/>
            <w:vAlign w:val="center"/>
          </w:tcPr>
          <w:p>
            <w:pPr>
              <w:spacing w:after="0" w:before="0"/>
            </w:pPr>
            <w:r>
              <w:rPr>
                <w:rFonts w:ascii="Times New Roman" w:hAnsi="Times New Roman"/>
                <w:color w:val="14191C"/>
                <w:sz w:val="15"/>
              </w:rPr>
              <w:t>DARPA FY2025 enacted RDT&amp;E is $4.145693B</w:t>
            </w:r>
          </w:p>
        </w:tc>
        <w:tc>
          <w:tcPr>
            <w:tcW w:type="dxa" w:w="5426"/>
            <w:vAlign w:val="center"/>
          </w:tcPr>
          <w:p>
            <w:pPr>
              <w:spacing w:after="0" w:before="0"/>
            </w:pPr>
            <w:r>
              <w:rPr>
                <w:rFonts w:ascii="Times New Roman" w:hAnsi="Times New Roman"/>
                <w:color w:val="14191C"/>
                <w:sz w:val="15"/>
              </w:rPr>
              <w:t>The DARPA statutory account is $24.875B real, exceeding six times enacted FY2025 authority.</w:t>
            </w:r>
          </w:p>
        </w:tc>
      </w:tr>
      <w:tr>
        <w:trPr>
          <w:cantSplit/>
        </w:trPr>
        <w:tc>
          <w:tcPr>
            <w:tcW w:type="dxa" w:w="4409"/>
            <w:vAlign w:val="center"/>
          </w:tcPr>
          <w:p>
            <w:pPr>
              <w:spacing w:after="0" w:before="0"/>
            </w:pPr>
            <w:r>
              <w:rPr>
                <w:rFonts w:ascii="Times New Roman" w:hAnsi="Times New Roman"/>
                <w:color w:val="14191C"/>
                <w:sz w:val="15"/>
              </w:rPr>
              <w:t>GAO documented serious effects of NASA workforce reductions</w:t>
            </w:r>
          </w:p>
        </w:tc>
        <w:tc>
          <w:tcPr>
            <w:tcW w:type="dxa" w:w="5426"/>
            <w:vAlign w:val="center"/>
          </w:tcPr>
          <w:p>
            <w:pPr>
              <w:spacing w:after="0" w:before="0"/>
            </w:pPr>
            <w:r>
              <w:rPr>
                <w:rFonts w:ascii="Times New Roman" w:hAnsi="Times New Roman"/>
                <w:color w:val="14191C"/>
                <w:sz w:val="15"/>
              </w:rPr>
              <w:t>Scientific and acquisition staffing is funded alongside facilities and spacecraft, with independent Federal technical competence retained.</w:t>
            </w:r>
          </w:p>
        </w:tc>
      </w:tr>
      <w:tr>
        <w:trPr>
          <w:cantSplit/>
        </w:trPr>
        <w:tc>
          <w:tcPr>
            <w:tcW w:type="dxa" w:w="4409"/>
            <w:vAlign w:val="center"/>
          </w:tcPr>
          <w:p>
            <w:pPr>
              <w:spacing w:after="0" w:before="0"/>
            </w:pPr>
            <w:r>
              <w:rPr>
                <w:rFonts w:ascii="Times New Roman" w:hAnsi="Times New Roman"/>
                <w:color w:val="14191C"/>
                <w:sz w:val="15"/>
              </w:rPr>
              <w:t>NASA OIG documented launch infrastructure constraints</w:t>
            </w:r>
          </w:p>
        </w:tc>
        <w:tc>
          <w:tcPr>
            <w:tcW w:type="dxa" w:w="5426"/>
            <w:vAlign w:val="center"/>
          </w:tcPr>
          <w:p>
            <w:pPr>
              <w:spacing w:after="0" w:before="0"/>
            </w:pPr>
            <w:r>
              <w:rPr>
                <w:rFonts w:ascii="Times New Roman" w:hAnsi="Times New Roman"/>
                <w:color w:val="14191C"/>
                <w:sz w:val="15"/>
              </w:rPr>
              <w:t>Common-use facility investments, cost recovery, independent estimates, and lifecycle maintenance are mandatory capital architecture.</w:t>
            </w:r>
          </w:p>
        </w:tc>
      </w:tr>
      <w:tr>
        <w:trPr>
          <w:cantSplit/>
        </w:trPr>
        <w:tc>
          <w:tcPr>
            <w:tcW w:type="dxa" w:w="4409"/>
            <w:vAlign w:val="center"/>
          </w:tcPr>
          <w:p>
            <w:pPr>
              <w:spacing w:after="0" w:before="0"/>
            </w:pPr>
            <w:r>
              <w:rPr>
                <w:rFonts w:ascii="Times New Roman" w:hAnsi="Times New Roman"/>
                <w:color w:val="14191C"/>
                <w:sz w:val="15"/>
              </w:rPr>
              <w:t>DARPA depends on small, agile, technically led portfolios</w:t>
            </w:r>
          </w:p>
        </w:tc>
        <w:tc>
          <w:tcPr>
            <w:tcW w:type="dxa" w:w="5426"/>
            <w:vAlign w:val="center"/>
          </w:tcPr>
          <w:p>
            <w:pPr>
              <w:spacing w:after="0" w:before="0"/>
            </w:pPr>
            <w:r>
              <w:rPr>
                <w:rFonts w:ascii="Times New Roman" w:hAnsi="Times New Roman"/>
                <w:color w:val="14191C"/>
                <w:sz w:val="15"/>
              </w:rPr>
              <w:t>Program-manager primacy, flexible milestone decisions, rapid experiments, independent test capacity, and portfolio learning are preserved.</w:t>
            </w:r>
          </w:p>
        </w:tc>
      </w:tr>
      <w:tr>
        <w:trPr>
          <w:cantSplit/>
        </w:trPr>
        <w:tc>
          <w:tcPr>
            <w:tcW w:type="dxa" w:w="4409"/>
            <w:vAlign w:val="center"/>
          </w:tcPr>
          <w:p>
            <w:pPr>
              <w:spacing w:after="0" w:before="0"/>
            </w:pPr>
            <w:r>
              <w:rPr>
                <w:rFonts w:ascii="Times New Roman" w:hAnsi="Times New Roman"/>
                <w:color w:val="14191C"/>
                <w:sz w:val="15"/>
              </w:rPr>
              <w:t>Scientific institutions have distinct governance needs</w:t>
            </w:r>
          </w:p>
        </w:tc>
        <w:tc>
          <w:tcPr>
            <w:tcW w:type="dxa" w:w="5426"/>
            <w:vAlign w:val="center"/>
          </w:tcPr>
          <w:p>
            <w:pPr>
              <w:spacing w:after="0" w:before="0"/>
            </w:pPr>
            <w:r>
              <w:rPr>
                <w:rFonts w:ascii="Times New Roman" w:hAnsi="Times New Roman"/>
                <w:color w:val="14191C"/>
                <w:sz w:val="15"/>
              </w:rPr>
              <w:t>The National Frontier Science Network is a federation rather than a super-agency; investigator-led science is separately protected.</w:t>
            </w:r>
          </w:p>
        </w:tc>
      </w:tr>
      <w:tr>
        <w:trPr>
          <w:cantSplit/>
        </w:trPr>
        <w:tc>
          <w:tcPr>
            <w:tcW w:type="dxa" w:w="4409"/>
            <w:vAlign w:val="center"/>
          </w:tcPr>
          <w:p>
            <w:pPr>
              <w:spacing w:after="0" w:before="0"/>
            </w:pPr>
            <w:r>
              <w:rPr>
                <w:rFonts w:ascii="Times New Roman" w:hAnsi="Times New Roman"/>
                <w:color w:val="14191C"/>
                <w:sz w:val="15"/>
              </w:rPr>
              <w:t>International megaproject governance requires trusted public finance</w:t>
            </w:r>
          </w:p>
        </w:tc>
        <w:tc>
          <w:tcPr>
            <w:tcW w:type="dxa" w:w="5426"/>
            <w:vAlign w:val="center"/>
          </w:tcPr>
          <w:p>
            <w:pPr>
              <w:spacing w:after="0" w:before="0"/>
            </w:pPr>
            <w:r>
              <w:rPr>
                <w:rFonts w:ascii="Times New Roman" w:hAnsi="Times New Roman"/>
                <w:color w:val="14191C"/>
                <w:sz w:val="15"/>
              </w:rPr>
              <w:t>A model convention separates mandatory common programs, optional subscriptions, scientific governance, audited finance, and national sovereignty.</w:t>
            </w:r>
          </w:p>
        </w:tc>
      </w:tr>
      <w:tr>
        <w:trPr>
          <w:cantSplit/>
        </w:trPr>
        <w:tc>
          <w:tcPr>
            <w:tcW w:type="dxa" w:w="4409"/>
            <w:vAlign w:val="center"/>
          </w:tcPr>
          <w:p>
            <w:pPr>
              <w:spacing w:after="0" w:before="0"/>
            </w:pPr>
            <w:r>
              <w:rPr>
                <w:rFonts w:ascii="Times New Roman" w:hAnsi="Times New Roman"/>
                <w:color w:val="14191C"/>
                <w:sz w:val="15"/>
              </w:rPr>
              <w:t>Dedicated levy receipts are uncertain</w:t>
            </w:r>
          </w:p>
        </w:tc>
        <w:tc>
          <w:tcPr>
            <w:tcW w:type="dxa" w:w="5426"/>
            <w:vAlign w:val="center"/>
          </w:tcPr>
          <w:p>
            <w:pPr>
              <w:spacing w:after="0" w:before="0"/>
            </w:pPr>
            <w:r>
              <w:rPr>
                <w:rFonts w:ascii="Times New Roman" w:hAnsi="Times New Roman"/>
                <w:color w:val="14191C"/>
                <w:sz w:val="15"/>
              </w:rPr>
              <w:t>The statute provides the $309.748B annual appropriation directly, records receipts as offsets, and requires independent net-deficit scoring.</w:t>
            </w:r>
          </w:p>
        </w:tc>
      </w:tr>
    </w:tbl>
    <w:p>
      <w:pPr>
        <w:spacing w:after="20"/>
      </w:pPr>
    </w:p>
    <w:p>
      <w:pPr>
        <w:pStyle w:val="Heading2"/>
      </w:pPr>
      <w:r>
        <w:t>Why large appropriations do not equal immediate science</w:t>
      </w:r>
    </w:p>
    <w:p>
      <w:r>
        <w:rPr>
          <w:b w:val="0"/>
          <w:i w:val="0"/>
        </w:rPr>
        <w:t>Science capacity has bottlenecks: trained mission-acceptance and contracting officers, fabrication, laboratory safety, high-specification construction, utility interconnections, advanced instrument suppliers, cyber and software specialists, independent test range time, and institutional capacity to manage multiple competing programs. A lawful appropriation can create budget authority immediately; it cannot instantly create reliable personnel, an operating accelerator, or a flight-qualified spacecraft.</w:t>
      </w:r>
    </w:p>
    <w:p>
      <w:r>
        <w:rPr>
          <w:b w:val="0"/>
          <w:i w:val="0"/>
        </w:rPr>
        <w:t>The Act accordingly permits long-lived budget authority and requires stage gates, independent cost estimates, skilled-labor readiness, lifecycle operating plans, and separate reporting of budget authority, obligations, and cash outlays. It does not require agencies to exhaust balances within the fiscal year.</w:t>
      </w:r>
    </w:p>
    <w:p>
      <w:pPr>
        <w:pStyle w:val="Heading2"/>
      </w:pPr>
      <w:r>
        <w:t>Source register</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2374"/>
            <w:shd w:fill="E8EBED"/>
          </w:tcPr>
          <w:p>
            <w:pPr>
              <w:spacing w:after="0"/>
            </w:pPr>
            <w:r>
              <w:rPr>
                <w:rFonts w:ascii="Times New Roman" w:hAnsi="Times New Roman"/>
                <w:b/>
                <w:color w:val="172C3C"/>
                <w:sz w:val="16"/>
              </w:rPr>
              <w:t>Source</w:t>
            </w:r>
          </w:p>
        </w:tc>
        <w:tc>
          <w:tcPr>
            <w:tcW w:type="dxa" w:w="4205"/>
            <w:shd w:fill="E8EBED"/>
          </w:tcPr>
          <w:p>
            <w:pPr>
              <w:spacing w:after="0"/>
            </w:pPr>
            <w:r>
              <w:rPr>
                <w:rFonts w:ascii="Times New Roman" w:hAnsi="Times New Roman"/>
                <w:b/>
                <w:color w:val="172C3C"/>
                <w:sz w:val="16"/>
              </w:rPr>
              <w:t>Primary claim or legal basis</w:t>
            </w:r>
          </w:p>
        </w:tc>
        <w:tc>
          <w:tcPr>
            <w:tcW w:type="dxa" w:w="3256"/>
            <w:shd w:fill="E8EBED"/>
          </w:tcPr>
          <w:p>
            <w:pPr>
              <w:spacing w:after="0"/>
            </w:pPr>
            <w:r>
              <w:rPr>
                <w:rFonts w:ascii="Times New Roman" w:hAnsi="Times New Roman"/>
                <w:b/>
                <w:color w:val="172C3C"/>
                <w:sz w:val="16"/>
              </w:rPr>
              <w:t>Locator</w:t>
            </w:r>
          </w:p>
        </w:tc>
      </w:tr>
      <w:tr>
        <w:trPr>
          <w:cantSplit/>
        </w:trPr>
        <w:tc>
          <w:tcPr>
            <w:tcW w:type="dxa" w:w="2374"/>
            <w:vAlign w:val="center"/>
          </w:tcPr>
          <w:p>
            <w:pPr>
              <w:spacing w:after="0" w:before="0"/>
            </w:pPr>
            <w:r>
              <w:rPr>
                <w:rFonts w:ascii="Times New Roman" w:hAnsi="Times New Roman"/>
                <w:color w:val="14191C"/>
                <w:sz w:val="15"/>
              </w:rPr>
              <w:t>NASA recurring FY2025 appropriations</w:t>
            </w:r>
          </w:p>
        </w:tc>
        <w:tc>
          <w:tcPr>
            <w:tcW w:type="dxa" w:w="4205"/>
            <w:vAlign w:val="center"/>
          </w:tcPr>
          <w:p>
            <w:pPr>
              <w:spacing w:after="0" w:before="0"/>
            </w:pPr>
            <w:r>
              <w:rPr>
                <w:rFonts w:ascii="Times New Roman" w:hAnsi="Times New Roman"/>
                <w:color w:val="14191C"/>
                <w:sz w:val="15"/>
              </w:rPr>
              <w:t>NASA FY2025 Agency Financial Report, page 8</w:t>
            </w:r>
          </w:p>
        </w:tc>
        <w:tc>
          <w:tcPr>
            <w:tcW w:type="dxa" w:w="3256"/>
            <w:vAlign w:val="center"/>
          </w:tcPr>
          <w:p>
            <w:pPr>
              <w:spacing w:after="0" w:before="0"/>
            </w:pPr>
            <w:r>
              <w:rPr>
                <w:rFonts w:ascii="Times New Roman" w:hAnsi="Times New Roman"/>
                <w:color w:val="14191C"/>
                <w:sz w:val="15"/>
              </w:rPr>
              <w:t>FY2025 recurring discretionary appropriation $24.838B; the same report separately identifies nonrecurring/special FY2025 funds</w:t>
            </w:r>
          </w:p>
        </w:tc>
      </w:tr>
      <w:tr>
        <w:trPr>
          <w:cantSplit/>
        </w:trPr>
        <w:tc>
          <w:tcPr>
            <w:tcW w:type="dxa" w:w="2374"/>
            <w:vAlign w:val="center"/>
          </w:tcPr>
          <w:p>
            <w:pPr>
              <w:spacing w:after="0" w:before="0"/>
            </w:pPr>
            <w:r>
              <w:rPr>
                <w:rFonts w:ascii="Times New Roman" w:hAnsi="Times New Roman"/>
                <w:color w:val="14191C"/>
                <w:sz w:val="15"/>
              </w:rPr>
              <w:t>DARPA enacted FY2025 RDT&amp;E</w:t>
            </w:r>
          </w:p>
        </w:tc>
        <w:tc>
          <w:tcPr>
            <w:tcW w:type="dxa" w:w="4205"/>
            <w:vAlign w:val="center"/>
          </w:tcPr>
          <w:p>
            <w:pPr>
              <w:spacing w:after="0" w:before="0"/>
            </w:pPr>
            <w:r>
              <w:rPr>
                <w:rFonts w:ascii="Times New Roman" w:hAnsi="Times New Roman"/>
                <w:color w:val="14191C"/>
                <w:sz w:val="15"/>
              </w:rPr>
              <w:t>Department of Defense FY2026 DARPA Defense-Wide Justification Book, Exhibit R-1 (page viii)</w:t>
            </w:r>
          </w:p>
        </w:tc>
        <w:tc>
          <w:tcPr>
            <w:tcW w:type="dxa" w:w="3256"/>
            <w:vAlign w:val="center"/>
          </w:tcPr>
          <w:p>
            <w:pPr>
              <w:spacing w:after="0" w:before="0"/>
            </w:pPr>
            <w:r>
              <w:rPr>
                <w:rFonts w:ascii="Times New Roman" w:hAnsi="Times New Roman"/>
                <w:color w:val="14191C"/>
                <w:sz w:val="15"/>
              </w:rPr>
              <w:t>FY2025 enacted $4,145,693,000; compare the request separately rather than substituting $4.369913B</w:t>
            </w:r>
          </w:p>
        </w:tc>
      </w:tr>
      <w:tr>
        <w:trPr>
          <w:cantSplit/>
        </w:trPr>
        <w:tc>
          <w:tcPr>
            <w:tcW w:type="dxa" w:w="2374"/>
            <w:vAlign w:val="center"/>
          </w:tcPr>
          <w:p>
            <w:pPr>
              <w:spacing w:after="0" w:before="0"/>
            </w:pPr>
            <w:r>
              <w:rPr>
                <w:rFonts w:ascii="Times New Roman" w:hAnsi="Times New Roman"/>
                <w:color w:val="14191C"/>
                <w:sz w:val="15"/>
              </w:rPr>
              <w:t>NASA management execution risk</w:t>
            </w:r>
          </w:p>
        </w:tc>
        <w:tc>
          <w:tcPr>
            <w:tcW w:type="dxa" w:w="4205"/>
            <w:vAlign w:val="center"/>
          </w:tcPr>
          <w:p>
            <w:pPr>
              <w:spacing w:after="0" w:before="0"/>
            </w:pPr>
            <w:r>
              <w:rPr>
                <w:rFonts w:ascii="Times New Roman" w:hAnsi="Times New Roman"/>
                <w:color w:val="14191C"/>
                <w:sz w:val="15"/>
              </w:rPr>
              <w:t>GAO-26-108556, NASA: Assessments of Major Projects (July 23, 2026)</w:t>
            </w:r>
          </w:p>
        </w:tc>
        <w:tc>
          <w:tcPr>
            <w:tcW w:type="dxa" w:w="3256"/>
            <w:vAlign w:val="center"/>
          </w:tcPr>
          <w:p>
            <w:pPr>
              <w:spacing w:after="0" w:before="0"/>
            </w:pPr>
            <w:r>
              <w:rPr>
                <w:rFonts w:ascii="Times New Roman" w:hAnsi="Times New Roman"/>
                <w:color w:val="14191C"/>
                <w:sz w:val="15"/>
              </w:rPr>
              <w:t>NASA reduced civil-service workforce by approximately 4,000; 25 of 36 major projects reported staffing effects</w:t>
            </w:r>
          </w:p>
        </w:tc>
      </w:tr>
      <w:tr>
        <w:trPr>
          <w:cantSplit/>
        </w:trPr>
        <w:tc>
          <w:tcPr>
            <w:tcW w:type="dxa" w:w="2374"/>
            <w:vAlign w:val="center"/>
          </w:tcPr>
          <w:p>
            <w:pPr>
              <w:spacing w:after="0" w:before="0"/>
            </w:pPr>
            <w:r>
              <w:rPr>
                <w:rFonts w:ascii="Times New Roman" w:hAnsi="Times New Roman"/>
                <w:color w:val="14191C"/>
                <w:sz w:val="15"/>
              </w:rPr>
              <w:t>NASA launch infrastructure constraints</w:t>
            </w:r>
          </w:p>
        </w:tc>
        <w:tc>
          <w:tcPr>
            <w:tcW w:type="dxa" w:w="4205"/>
            <w:vAlign w:val="center"/>
          </w:tcPr>
          <w:p>
            <w:pPr>
              <w:spacing w:after="0" w:before="0"/>
            </w:pPr>
            <w:r>
              <w:rPr>
                <w:rFonts w:ascii="Times New Roman" w:hAnsi="Times New Roman"/>
                <w:color w:val="14191C"/>
                <w:sz w:val="15"/>
              </w:rPr>
              <w:t>NASA OIG, NASA’s Aging Launch Infrastructure Faces Capacity Limits (June 22, 2026)</w:t>
            </w:r>
          </w:p>
        </w:tc>
        <w:tc>
          <w:tcPr>
            <w:tcW w:type="dxa" w:w="3256"/>
            <w:vAlign w:val="center"/>
          </w:tcPr>
          <w:p>
            <w:pPr>
              <w:spacing w:after="0" w:before="0"/>
            </w:pPr>
            <w:r>
              <w:rPr>
                <w:rFonts w:ascii="Times New Roman" w:hAnsi="Times New Roman"/>
                <w:color w:val="14191C"/>
                <w:sz w:val="15"/>
              </w:rPr>
              <w:t>Kennedy and Wallops launch cadence increases and possible 2028-2029 capacity limits</w:t>
            </w:r>
          </w:p>
        </w:tc>
      </w:tr>
      <w:tr>
        <w:trPr>
          <w:cantSplit/>
        </w:trPr>
        <w:tc>
          <w:tcPr>
            <w:tcW w:type="dxa" w:w="2374"/>
            <w:vAlign w:val="center"/>
          </w:tcPr>
          <w:p>
            <w:pPr>
              <w:spacing w:after="0" w:before="0"/>
            </w:pPr>
            <w:r>
              <w:rPr>
                <w:rFonts w:ascii="Times New Roman" w:hAnsi="Times New Roman"/>
                <w:color w:val="14191C"/>
                <w:sz w:val="15"/>
              </w:rPr>
              <w:t>DARPA nontraditional procurement</w:t>
            </w:r>
          </w:p>
        </w:tc>
        <w:tc>
          <w:tcPr>
            <w:tcW w:type="dxa" w:w="4205"/>
            <w:vAlign w:val="center"/>
          </w:tcPr>
          <w:p>
            <w:pPr>
              <w:spacing w:after="0" w:before="0"/>
            </w:pPr>
            <w:r>
              <w:rPr>
                <w:rFonts w:ascii="Times New Roman" w:hAnsi="Times New Roman"/>
                <w:color w:val="14191C"/>
                <w:sz w:val="15"/>
              </w:rPr>
              <w:t>10 U.S.C. §§ 4021-4022, as in force October 2026</w:t>
            </w:r>
          </w:p>
        </w:tc>
        <w:tc>
          <w:tcPr>
            <w:tcW w:type="dxa" w:w="3256"/>
            <w:vAlign w:val="center"/>
          </w:tcPr>
          <w:p>
            <w:pPr>
              <w:spacing w:after="0" w:before="0"/>
            </w:pPr>
            <w:r>
              <w:rPr>
                <w:rFonts w:ascii="Times New Roman" w:hAnsi="Times New Roman"/>
                <w:color w:val="14191C"/>
                <w:sz w:val="15"/>
              </w:rPr>
              <w:t>Research and prototype Other Transaction authorities have specific statutory conditions</w:t>
            </w:r>
          </w:p>
        </w:tc>
      </w:tr>
      <w:tr>
        <w:trPr>
          <w:cantSplit/>
        </w:trPr>
        <w:tc>
          <w:tcPr>
            <w:tcW w:type="dxa" w:w="2374"/>
            <w:vAlign w:val="center"/>
          </w:tcPr>
          <w:p>
            <w:pPr>
              <w:spacing w:after="0" w:before="0"/>
            </w:pPr>
            <w:r>
              <w:rPr>
                <w:rFonts w:ascii="Times New Roman" w:hAnsi="Times New Roman"/>
                <w:color w:val="14191C"/>
                <w:sz w:val="15"/>
              </w:rPr>
              <w:t>NASA civilian mission and agreements</w:t>
            </w:r>
          </w:p>
        </w:tc>
        <w:tc>
          <w:tcPr>
            <w:tcW w:type="dxa" w:w="4205"/>
            <w:vAlign w:val="center"/>
          </w:tcPr>
          <w:p>
            <w:pPr>
              <w:spacing w:after="0" w:before="0"/>
            </w:pPr>
            <w:r>
              <w:rPr>
                <w:rFonts w:ascii="Times New Roman" w:hAnsi="Times New Roman"/>
                <w:color w:val="14191C"/>
                <w:sz w:val="15"/>
              </w:rPr>
              <w:t>51 U.S.C. §§ 20102 and 20113</w:t>
            </w:r>
          </w:p>
        </w:tc>
        <w:tc>
          <w:tcPr>
            <w:tcW w:type="dxa" w:w="3256"/>
            <w:vAlign w:val="center"/>
          </w:tcPr>
          <w:p>
            <w:pPr>
              <w:spacing w:after="0" w:before="0"/>
            </w:pPr>
            <w:r>
              <w:rPr>
                <w:rFonts w:ascii="Times New Roman" w:hAnsi="Times New Roman"/>
                <w:color w:val="14191C"/>
                <w:sz w:val="15"/>
              </w:rPr>
              <w:t>Civilian peaceful-use policy and NASA grants, contracts, cooperative agreements, and Space Act Agreements</w:t>
            </w:r>
          </w:p>
        </w:tc>
      </w:tr>
      <w:tr>
        <w:trPr>
          <w:cantSplit/>
        </w:trPr>
        <w:tc>
          <w:tcPr>
            <w:tcW w:type="dxa" w:w="2374"/>
            <w:vAlign w:val="center"/>
          </w:tcPr>
          <w:p>
            <w:pPr>
              <w:spacing w:after="0" w:before="0"/>
            </w:pPr>
            <w:r>
              <w:rPr>
                <w:rFonts w:ascii="Times New Roman" w:hAnsi="Times New Roman"/>
                <w:color w:val="14191C"/>
                <w:sz w:val="15"/>
              </w:rPr>
              <w:t>Federal science enterprise</w:t>
            </w:r>
          </w:p>
        </w:tc>
        <w:tc>
          <w:tcPr>
            <w:tcW w:type="dxa" w:w="4205"/>
            <w:vAlign w:val="center"/>
          </w:tcPr>
          <w:p>
            <w:pPr>
              <w:spacing w:after="0" w:before="0"/>
            </w:pPr>
            <w:r>
              <w:rPr>
                <w:rFonts w:ascii="Times New Roman" w:hAnsi="Times New Roman"/>
                <w:color w:val="14191C"/>
                <w:sz w:val="15"/>
              </w:rPr>
              <w:t>National Science Board / NCSES, State of U.S. Science and Engineering 2026</w:t>
            </w:r>
          </w:p>
        </w:tc>
        <w:tc>
          <w:tcPr>
            <w:tcW w:type="dxa" w:w="3256"/>
            <w:vAlign w:val="center"/>
          </w:tcPr>
          <w:p>
            <w:pPr>
              <w:spacing w:after="0" w:before="0"/>
            </w:pPr>
            <w:r>
              <w:rPr>
                <w:rFonts w:ascii="Times New Roman" w:hAnsi="Times New Roman"/>
                <w:color w:val="14191C"/>
                <w:sz w:val="15"/>
              </w:rPr>
              <w:t>Federal obligations, basic research, R&amp;D sectors, and workforce scale</w:t>
            </w:r>
          </w:p>
        </w:tc>
      </w:tr>
      <w:tr>
        <w:trPr>
          <w:cantSplit/>
        </w:trPr>
        <w:tc>
          <w:tcPr>
            <w:tcW w:type="dxa" w:w="2374"/>
            <w:vAlign w:val="center"/>
          </w:tcPr>
          <w:p>
            <w:pPr>
              <w:spacing w:after="0" w:before="0"/>
            </w:pPr>
            <w:r>
              <w:rPr>
                <w:rFonts w:ascii="Times New Roman" w:hAnsi="Times New Roman"/>
                <w:color w:val="14191C"/>
                <w:sz w:val="15"/>
              </w:rPr>
              <w:t>Financial transactions tax benchmark</w:t>
            </w:r>
          </w:p>
        </w:tc>
        <w:tc>
          <w:tcPr>
            <w:tcW w:type="dxa" w:w="4205"/>
            <w:vAlign w:val="center"/>
          </w:tcPr>
          <w:p>
            <w:pPr>
              <w:spacing w:after="0" w:before="0"/>
            </w:pPr>
            <w:r>
              <w:rPr>
                <w:rFonts w:ascii="Times New Roman" w:hAnsi="Times New Roman"/>
                <w:color w:val="14191C"/>
                <w:sz w:val="15"/>
              </w:rPr>
              <w:t>CBO Budget Option, Impose a Tax on Financial Transactions (Dec. 12, 2024)</w:t>
            </w:r>
          </w:p>
        </w:tc>
        <w:tc>
          <w:tcPr>
            <w:tcW w:type="dxa" w:w="3256"/>
            <w:vAlign w:val="center"/>
          </w:tcPr>
          <w:p>
            <w:pPr>
              <w:spacing w:after="0" w:before="0"/>
            </w:pPr>
            <w:r>
              <w:rPr>
                <w:rFonts w:ascii="Times New Roman" w:hAnsi="Times New Roman"/>
                <w:color w:val="14191C"/>
                <w:sz w:val="15"/>
              </w:rPr>
              <w:t>A different, 0.01%-rate tax option was estimated to reduce deficits by $296.8B over 2025-2034; cannot be scaled mechanically</w:t>
            </w:r>
          </w:p>
        </w:tc>
      </w:tr>
      <w:tr>
        <w:trPr>
          <w:cantSplit/>
        </w:trPr>
        <w:tc>
          <w:tcPr>
            <w:tcW w:type="dxa" w:w="2374"/>
            <w:vAlign w:val="center"/>
          </w:tcPr>
          <w:p>
            <w:pPr>
              <w:spacing w:after="0" w:before="0"/>
            </w:pPr>
            <w:r>
              <w:rPr>
                <w:rFonts w:ascii="Times New Roman" w:hAnsi="Times New Roman"/>
                <w:color w:val="14191C"/>
                <w:sz w:val="15"/>
              </w:rPr>
              <w:t>Corporate stock repurchase excise tax</w:t>
            </w:r>
          </w:p>
        </w:tc>
        <w:tc>
          <w:tcPr>
            <w:tcW w:type="dxa" w:w="4205"/>
            <w:vAlign w:val="center"/>
          </w:tcPr>
          <w:p>
            <w:pPr>
              <w:spacing w:after="0" w:before="0"/>
            </w:pPr>
            <w:r>
              <w:rPr>
                <w:rFonts w:ascii="Times New Roman" w:hAnsi="Times New Roman"/>
                <w:color w:val="14191C"/>
                <w:sz w:val="15"/>
              </w:rPr>
              <w:t>26 U.S.C. § 4501 and CBO Budget and Economic Outlook 2026 to 2036</w:t>
            </w:r>
          </w:p>
        </w:tc>
        <w:tc>
          <w:tcPr>
            <w:tcW w:type="dxa" w:w="3256"/>
            <w:vAlign w:val="center"/>
          </w:tcPr>
          <w:p>
            <w:pPr>
              <w:spacing w:after="0" w:before="0"/>
            </w:pPr>
            <w:r>
              <w:rPr>
                <w:rFonts w:ascii="Times New Roman" w:hAnsi="Times New Roman"/>
                <w:color w:val="14191C"/>
                <w:sz w:val="15"/>
              </w:rPr>
              <w:t>Existing 1% tax; baseline roughly $9B annually in CBO decade projection, not an estimate of the supplemental levy</w:t>
            </w:r>
          </w:p>
        </w:tc>
      </w:tr>
      <w:tr>
        <w:trPr>
          <w:cantSplit/>
        </w:trPr>
        <w:tc>
          <w:tcPr>
            <w:tcW w:type="dxa" w:w="2374"/>
            <w:vAlign w:val="center"/>
          </w:tcPr>
          <w:p>
            <w:pPr>
              <w:spacing w:after="0" w:before="0"/>
            </w:pPr>
            <w:r>
              <w:rPr>
                <w:rFonts w:ascii="Times New Roman" w:hAnsi="Times New Roman"/>
                <w:color w:val="14191C"/>
                <w:sz w:val="15"/>
              </w:rPr>
              <w:t>Federal appropriations rules</w:t>
            </w:r>
          </w:p>
        </w:tc>
        <w:tc>
          <w:tcPr>
            <w:tcW w:type="dxa" w:w="4205"/>
            <w:vAlign w:val="center"/>
          </w:tcPr>
          <w:p>
            <w:pPr>
              <w:spacing w:after="0" w:before="0"/>
            </w:pPr>
            <w:r>
              <w:rPr>
                <w:rFonts w:ascii="Times New Roman" w:hAnsi="Times New Roman"/>
                <w:color w:val="14191C"/>
                <w:sz w:val="15"/>
              </w:rPr>
              <w:t>GAO, Principles of Federal Appropriations Law / Red Book</w:t>
            </w:r>
          </w:p>
        </w:tc>
        <w:tc>
          <w:tcPr>
            <w:tcW w:type="dxa" w:w="3256"/>
            <w:vAlign w:val="center"/>
          </w:tcPr>
          <w:p>
            <w:pPr>
              <w:spacing w:after="0" w:before="0"/>
            </w:pPr>
            <w:r>
              <w:rPr>
                <w:rFonts w:ascii="Times New Roman" w:hAnsi="Times New Roman"/>
                <w:color w:val="14191C"/>
                <w:sz w:val="15"/>
              </w:rPr>
              <w:t>Purpose, time, amount; Antideficiency Act; permanent appropriation and non-entrenchment principles</w:t>
            </w:r>
          </w:p>
        </w:tc>
      </w:tr>
      <w:tr>
        <w:trPr>
          <w:cantSplit/>
        </w:trPr>
        <w:tc>
          <w:tcPr>
            <w:tcW w:type="dxa" w:w="2374"/>
            <w:vAlign w:val="center"/>
          </w:tcPr>
          <w:p>
            <w:pPr>
              <w:spacing w:after="0" w:before="0"/>
            </w:pPr>
            <w:r>
              <w:rPr>
                <w:rFonts w:ascii="Times New Roman" w:hAnsi="Times New Roman"/>
                <w:color w:val="14191C"/>
                <w:sz w:val="15"/>
              </w:rPr>
              <w:t>Constitutional interpretation</w:t>
            </w:r>
          </w:p>
        </w:tc>
        <w:tc>
          <w:tcPr>
            <w:tcW w:type="dxa" w:w="4205"/>
            <w:vAlign w:val="center"/>
          </w:tcPr>
          <w:p>
            <w:pPr>
              <w:spacing w:after="0" w:before="0"/>
            </w:pPr>
            <w:r>
              <w:rPr>
                <w:rFonts w:ascii="Times New Roman" w:hAnsi="Times New Roman"/>
                <w:color w:val="14191C"/>
                <w:sz w:val="15"/>
              </w:rPr>
              <w:t>Congress Constitution Annotated</w:t>
            </w:r>
          </w:p>
        </w:tc>
        <w:tc>
          <w:tcPr>
            <w:tcW w:type="dxa" w:w="3256"/>
            <w:vAlign w:val="center"/>
          </w:tcPr>
          <w:p>
            <w:pPr>
              <w:spacing w:after="0" w:before="0"/>
            </w:pPr>
            <w:r>
              <w:rPr>
                <w:rFonts w:ascii="Times New Roman" w:hAnsi="Times New Roman"/>
                <w:color w:val="14191C"/>
                <w:sz w:val="15"/>
              </w:rPr>
              <w:t>Tax/spend, Commerce, Appropriations, Appointments, federalism, due process</w:t>
            </w:r>
          </w:p>
        </w:tc>
      </w:tr>
      <w:tr>
        <w:trPr>
          <w:cantSplit/>
        </w:trPr>
        <w:tc>
          <w:tcPr>
            <w:tcW w:type="dxa" w:w="2374"/>
            <w:vAlign w:val="center"/>
          </w:tcPr>
          <w:p>
            <w:pPr>
              <w:spacing w:after="0" w:before="0"/>
            </w:pPr>
            <w:r>
              <w:rPr>
                <w:rFonts w:ascii="Times New Roman" w:hAnsi="Times New Roman"/>
                <w:color w:val="14191C"/>
                <w:sz w:val="15"/>
              </w:rPr>
              <w:t>ESA institutional contributions</w:t>
            </w:r>
          </w:p>
        </w:tc>
        <w:tc>
          <w:tcPr>
            <w:tcW w:type="dxa" w:w="4205"/>
            <w:vAlign w:val="center"/>
          </w:tcPr>
          <w:p>
            <w:pPr>
              <w:spacing w:after="0" w:before="0"/>
            </w:pPr>
            <w:r>
              <w:rPr>
                <w:rFonts w:ascii="Times New Roman" w:hAnsi="Times New Roman"/>
                <w:color w:val="14191C"/>
                <w:sz w:val="15"/>
              </w:rPr>
              <w:t>European Space Agency, institutional financing and facts</w:t>
            </w:r>
          </w:p>
        </w:tc>
        <w:tc>
          <w:tcPr>
            <w:tcW w:type="dxa" w:w="3256"/>
            <w:vAlign w:val="center"/>
          </w:tcPr>
          <w:p>
            <w:pPr>
              <w:spacing w:after="0" w:before="0"/>
            </w:pPr>
            <w:r>
              <w:rPr>
                <w:rFonts w:ascii="Times New Roman" w:hAnsi="Times New Roman"/>
                <w:color w:val="14191C"/>
                <w:sz w:val="15"/>
              </w:rPr>
              <w:t>Compulsory programs and voluntary/optional programs provide separate multilateral governance pathways</w:t>
            </w:r>
          </w:p>
        </w:tc>
      </w:tr>
      <w:tr>
        <w:trPr>
          <w:cantSplit/>
        </w:trPr>
        <w:tc>
          <w:tcPr>
            <w:tcW w:type="dxa" w:w="2374"/>
            <w:vAlign w:val="center"/>
          </w:tcPr>
          <w:p>
            <w:pPr>
              <w:spacing w:after="0" w:before="0"/>
            </w:pPr>
            <w:r>
              <w:rPr>
                <w:rFonts w:ascii="Times New Roman" w:hAnsi="Times New Roman"/>
                <w:color w:val="14191C"/>
                <w:sz w:val="15"/>
              </w:rPr>
              <w:t>CERN governance</w:t>
            </w:r>
          </w:p>
        </w:tc>
        <w:tc>
          <w:tcPr>
            <w:tcW w:type="dxa" w:w="4205"/>
            <w:vAlign w:val="center"/>
          </w:tcPr>
          <w:p>
            <w:pPr>
              <w:spacing w:after="0" w:before="0"/>
            </w:pPr>
            <w:r>
              <w:rPr>
                <w:rFonts w:ascii="Times New Roman" w:hAnsi="Times New Roman"/>
                <w:color w:val="14191C"/>
                <w:sz w:val="15"/>
              </w:rPr>
              <w:t>CERN, Our Governance</w:t>
            </w:r>
          </w:p>
        </w:tc>
        <w:tc>
          <w:tcPr>
            <w:tcW w:type="dxa" w:w="3256"/>
            <w:vAlign w:val="center"/>
          </w:tcPr>
          <w:p>
            <w:pPr>
              <w:spacing w:after="0" w:before="0"/>
            </w:pPr>
            <w:r>
              <w:rPr>
                <w:rFonts w:ascii="Times New Roman" w:hAnsi="Times New Roman"/>
                <w:color w:val="14191C"/>
                <w:sz w:val="15"/>
              </w:rPr>
              <w:t>Member-state Council with independent Scientific Policy Committee and Finance Committee</w:t>
            </w:r>
          </w:p>
        </w:tc>
      </w:tr>
    </w:tbl>
    <w:p>
      <w:pPr>
        <w:spacing w:after="20"/>
      </w:pPr>
    </w:p>
    <w:p>
      <w:r>
        <w:rPr>
          <w:b w:val="0"/>
          <w:i w:val="0"/>
        </w:rPr>
        <w:t>Exact primary URLs used for the source register are reproduced in Annex K. Source assessments should be revalidated during congressional committee drafting if new amended statutes, updated agency financial reports, or revised official estimates become available.</w:t>
      </w:r>
    </w:p>
    <w:p>
      <w:r>
        <w:br w:type="page"/>
      </w:r>
    </w:p>
    <w:p>
      <w:pPr>
        <w:pStyle w:val="Heading1"/>
      </w:pPr>
      <w:r>
        <w:t>ANNEX B — PRELIMINARY FISCAL NOTE, CASH FLOW, AND CAPITAL TARGETS</w:t>
      </w:r>
    </w:p>
    <w:p>
      <w:pPr>
        <w:pStyle w:val="Heading2"/>
      </w:pPr>
      <w:r>
        <w:t>Binding annual funding schedule in constant FY2025 dollars</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3145"/>
            <w:shd w:fill="E8EBED"/>
          </w:tcPr>
          <w:p>
            <w:pPr>
              <w:spacing w:after="0"/>
            </w:pPr>
            <w:r>
              <w:rPr>
                <w:rFonts w:ascii="Times New Roman" w:hAnsi="Times New Roman"/>
                <w:b/>
                <w:color w:val="172C3C"/>
                <w:sz w:val="16"/>
              </w:rPr>
              <w:t>Statutory account</w:t>
            </w:r>
          </w:p>
        </w:tc>
        <w:tc>
          <w:tcPr>
            <w:tcW w:type="dxa" w:w="1472"/>
            <w:shd w:fill="E8EBED"/>
          </w:tcPr>
          <w:p>
            <w:pPr>
              <w:spacing w:after="0"/>
            </w:pPr>
            <w:r>
              <w:rPr>
                <w:rFonts w:ascii="Times New Roman" w:hAnsi="Times New Roman"/>
                <w:b/>
                <w:color w:val="172C3C"/>
                <w:sz w:val="16"/>
              </w:rPr>
              <w:t>Billions of dollars</w:t>
            </w:r>
          </w:p>
        </w:tc>
        <w:tc>
          <w:tcPr>
            <w:tcW w:type="dxa" w:w="5219"/>
            <w:shd w:fill="E8EBED"/>
          </w:tcPr>
          <w:p>
            <w:pPr>
              <w:spacing w:after="0"/>
            </w:pPr>
            <w:r>
              <w:rPr>
                <w:rFonts w:ascii="Times New Roman" w:hAnsi="Times New Roman"/>
                <w:b/>
                <w:color w:val="172C3C"/>
                <w:sz w:val="16"/>
              </w:rPr>
              <w:t>Purpose</w:t>
            </w:r>
          </w:p>
        </w:tc>
      </w:tr>
      <w:tr>
        <w:trPr>
          <w:cantSplit/>
        </w:trPr>
        <w:tc>
          <w:tcPr>
            <w:tcW w:type="dxa" w:w="3145"/>
            <w:vAlign w:val="center"/>
          </w:tcPr>
          <w:p>
            <w:pPr>
              <w:spacing w:after="0" w:before="0"/>
            </w:pPr>
            <w:r>
              <w:rPr>
                <w:rFonts w:ascii="Times New Roman" w:hAnsi="Times New Roman"/>
                <w:color w:val="14191C"/>
                <w:sz w:val="15"/>
              </w:rPr>
              <w:t>Nasa Program Account</w:t>
            </w:r>
          </w:p>
        </w:tc>
        <w:tc>
          <w:tcPr>
            <w:tcW w:type="dxa" w:w="1472"/>
            <w:vAlign w:val="center"/>
          </w:tcPr>
          <w:p>
            <w:pPr>
              <w:spacing w:after="0" w:before="0"/>
            </w:pPr>
            <w:r>
              <w:rPr>
                <w:rFonts w:ascii="Times New Roman" w:hAnsi="Times New Roman"/>
                <w:color w:val="14191C"/>
                <w:sz w:val="15"/>
              </w:rPr>
              <w:t>$149.028B</w:t>
            </w:r>
          </w:p>
        </w:tc>
        <w:tc>
          <w:tcPr>
            <w:tcW w:type="dxa" w:w="5219"/>
            <w:vAlign w:val="center"/>
          </w:tcPr>
          <w:p>
            <w:pPr>
              <w:spacing w:after="0" w:before="0"/>
            </w:pPr>
            <w:r>
              <w:rPr>
                <w:rFonts w:ascii="Times New Roman" w:hAnsi="Times New Roman"/>
                <w:color w:val="14191C"/>
                <w:sz w:val="15"/>
              </w:rPr>
              <w:t>NASA missions and capacity; regular agency appropriations counted once</w:t>
            </w:r>
          </w:p>
        </w:tc>
      </w:tr>
      <w:tr>
        <w:trPr>
          <w:cantSplit/>
        </w:trPr>
        <w:tc>
          <w:tcPr>
            <w:tcW w:type="dxa" w:w="3145"/>
            <w:vAlign w:val="center"/>
          </w:tcPr>
          <w:p>
            <w:pPr>
              <w:spacing w:after="0" w:before="0"/>
            </w:pPr>
            <w:r>
              <w:rPr>
                <w:rFonts w:ascii="Times New Roman" w:hAnsi="Times New Roman"/>
                <w:color w:val="14191C"/>
                <w:sz w:val="15"/>
              </w:rPr>
              <w:t>Darpa Frontier Research Account</w:t>
            </w:r>
          </w:p>
        </w:tc>
        <w:tc>
          <w:tcPr>
            <w:tcW w:type="dxa" w:w="1472"/>
            <w:vAlign w:val="center"/>
          </w:tcPr>
          <w:p>
            <w:pPr>
              <w:spacing w:after="0" w:before="0"/>
            </w:pPr>
            <w:r>
              <w:rPr>
                <w:rFonts w:ascii="Times New Roman" w:hAnsi="Times New Roman"/>
                <w:color w:val="14191C"/>
                <w:sz w:val="15"/>
              </w:rPr>
              <w:t>$24.875B</w:t>
            </w:r>
          </w:p>
        </w:tc>
        <w:tc>
          <w:tcPr>
            <w:tcW w:type="dxa" w:w="5219"/>
            <w:vAlign w:val="center"/>
          </w:tcPr>
          <w:p>
            <w:pPr>
              <w:spacing w:after="0" w:before="0"/>
            </w:pPr>
            <w:r>
              <w:rPr>
                <w:rFonts w:ascii="Times New Roman" w:hAnsi="Times New Roman"/>
                <w:color w:val="14191C"/>
                <w:sz w:val="15"/>
              </w:rPr>
              <w:t>DARPA mission programs and technical capacity; regular agency appropriations counted once</w:t>
            </w:r>
          </w:p>
        </w:tc>
      </w:tr>
      <w:tr>
        <w:trPr>
          <w:cantSplit/>
        </w:trPr>
        <w:tc>
          <w:tcPr>
            <w:tcW w:type="dxa" w:w="3145"/>
            <w:vAlign w:val="center"/>
          </w:tcPr>
          <w:p>
            <w:pPr>
              <w:spacing w:after="0" w:before="0"/>
            </w:pPr>
            <w:r>
              <w:rPr>
                <w:rFonts w:ascii="Times New Roman" w:hAnsi="Times New Roman"/>
                <w:color w:val="14191C"/>
                <w:sz w:val="15"/>
              </w:rPr>
              <w:t>National Frontier Science Network</w:t>
            </w:r>
          </w:p>
        </w:tc>
        <w:tc>
          <w:tcPr>
            <w:tcW w:type="dxa" w:w="1472"/>
            <w:vAlign w:val="center"/>
          </w:tcPr>
          <w:p>
            <w:pPr>
              <w:spacing w:after="0" w:before="0"/>
            </w:pPr>
            <w:r>
              <w:rPr>
                <w:rFonts w:ascii="Times New Roman" w:hAnsi="Times New Roman"/>
                <w:color w:val="14191C"/>
                <w:sz w:val="15"/>
              </w:rPr>
              <w:t>$49.845B</w:t>
            </w:r>
          </w:p>
        </w:tc>
        <w:tc>
          <w:tcPr>
            <w:tcW w:type="dxa" w:w="5219"/>
            <w:vAlign w:val="center"/>
          </w:tcPr>
          <w:p>
            <w:pPr>
              <w:spacing w:after="0" w:before="0"/>
            </w:pPr>
            <w:r>
              <w:rPr>
                <w:rFonts w:ascii="Times New Roman" w:hAnsi="Times New Roman"/>
                <w:color w:val="14191C"/>
                <w:sz w:val="15"/>
              </w:rPr>
              <w:t>NSF, DOE, NIST, NOAA, USGS, and cross-disciplinary science</w:t>
            </w:r>
          </w:p>
        </w:tc>
      </w:tr>
      <w:tr>
        <w:trPr>
          <w:cantSplit/>
        </w:trPr>
        <w:tc>
          <w:tcPr>
            <w:tcW w:type="dxa" w:w="3145"/>
            <w:vAlign w:val="center"/>
          </w:tcPr>
          <w:p>
            <w:pPr>
              <w:spacing w:after="0" w:before="0"/>
            </w:pPr>
            <w:r>
              <w:rPr>
                <w:rFonts w:ascii="Times New Roman" w:hAnsi="Times New Roman"/>
                <w:color w:val="14191C"/>
                <w:sz w:val="15"/>
              </w:rPr>
              <w:t>Scientific Infrastructure And Capital Renewal</w:t>
            </w:r>
          </w:p>
        </w:tc>
        <w:tc>
          <w:tcPr>
            <w:tcW w:type="dxa" w:w="1472"/>
            <w:vAlign w:val="center"/>
          </w:tcPr>
          <w:p>
            <w:pPr>
              <w:spacing w:after="0" w:before="0"/>
            </w:pPr>
            <w:r>
              <w:rPr>
                <w:rFonts w:ascii="Times New Roman" w:hAnsi="Times New Roman"/>
                <w:color w:val="14191C"/>
                <w:sz w:val="15"/>
              </w:rPr>
              <w:t>$30.000B</w:t>
            </w:r>
          </w:p>
        </w:tc>
        <w:tc>
          <w:tcPr>
            <w:tcW w:type="dxa" w:w="5219"/>
            <w:vAlign w:val="center"/>
          </w:tcPr>
          <w:p>
            <w:pPr>
              <w:spacing w:after="0" w:before="0"/>
            </w:pPr>
            <w:r>
              <w:rPr>
                <w:rFonts w:ascii="Times New Roman" w:hAnsi="Times New Roman"/>
                <w:color w:val="14191C"/>
                <w:sz w:val="15"/>
              </w:rPr>
              <w:t>Shared facilities, laboratories, advanced instruments, resilience and maintenance</w:t>
            </w:r>
          </w:p>
        </w:tc>
      </w:tr>
      <w:tr>
        <w:trPr>
          <w:cantSplit/>
        </w:trPr>
        <w:tc>
          <w:tcPr>
            <w:tcW w:type="dxa" w:w="3145"/>
            <w:vAlign w:val="center"/>
          </w:tcPr>
          <w:p>
            <w:pPr>
              <w:spacing w:after="0" w:before="0"/>
            </w:pPr>
            <w:r>
              <w:rPr>
                <w:rFonts w:ascii="Times New Roman" w:hAnsi="Times New Roman"/>
                <w:color w:val="14191C"/>
                <w:sz w:val="15"/>
              </w:rPr>
              <w:t>Workforce, Education, And Talent</w:t>
            </w:r>
          </w:p>
        </w:tc>
        <w:tc>
          <w:tcPr>
            <w:tcW w:type="dxa" w:w="1472"/>
            <w:vAlign w:val="center"/>
          </w:tcPr>
          <w:p>
            <w:pPr>
              <w:spacing w:after="0" w:before="0"/>
            </w:pPr>
            <w:r>
              <w:rPr>
                <w:rFonts w:ascii="Times New Roman" w:hAnsi="Times New Roman"/>
                <w:color w:val="14191C"/>
                <w:sz w:val="15"/>
              </w:rPr>
              <w:t>$20.000B</w:t>
            </w:r>
          </w:p>
        </w:tc>
        <w:tc>
          <w:tcPr>
            <w:tcW w:type="dxa" w:w="5219"/>
            <w:vAlign w:val="center"/>
          </w:tcPr>
          <w:p>
            <w:pPr>
              <w:spacing w:after="0" w:before="0"/>
            </w:pPr>
            <w:r>
              <w:rPr>
                <w:rFonts w:ascii="Times New Roman" w:hAnsi="Times New Roman"/>
                <w:color w:val="14191C"/>
                <w:sz w:val="15"/>
              </w:rPr>
              <w:t>Scientists, technicians, apprenticeships, teachers, and support professionals</w:t>
            </w:r>
          </w:p>
        </w:tc>
      </w:tr>
      <w:tr>
        <w:trPr>
          <w:cantSplit/>
        </w:trPr>
        <w:tc>
          <w:tcPr>
            <w:tcW w:type="dxa" w:w="3145"/>
            <w:vAlign w:val="center"/>
          </w:tcPr>
          <w:p>
            <w:pPr>
              <w:spacing w:after="0" w:before="0"/>
            </w:pPr>
            <w:r>
              <w:rPr>
                <w:rFonts w:ascii="Times New Roman" w:hAnsi="Times New Roman"/>
                <w:color w:val="14191C"/>
                <w:sz w:val="15"/>
              </w:rPr>
              <w:t>Grand Challenges And Far-Horizon Research</w:t>
            </w:r>
          </w:p>
        </w:tc>
        <w:tc>
          <w:tcPr>
            <w:tcW w:type="dxa" w:w="1472"/>
            <w:vAlign w:val="center"/>
          </w:tcPr>
          <w:p>
            <w:pPr>
              <w:spacing w:after="0" w:before="0"/>
            </w:pPr>
            <w:r>
              <w:rPr>
                <w:rFonts w:ascii="Times New Roman" w:hAnsi="Times New Roman"/>
                <w:color w:val="14191C"/>
                <w:sz w:val="15"/>
              </w:rPr>
              <w:t>$20.000B</w:t>
            </w:r>
          </w:p>
        </w:tc>
        <w:tc>
          <w:tcPr>
            <w:tcW w:type="dxa" w:w="5219"/>
            <w:vAlign w:val="center"/>
          </w:tcPr>
          <w:p>
            <w:pPr>
              <w:spacing w:after="0" w:before="0"/>
            </w:pPr>
            <w:r>
              <w:rPr>
                <w:rFonts w:ascii="Times New Roman" w:hAnsi="Times New Roman"/>
                <w:color w:val="14191C"/>
                <w:sz w:val="15"/>
              </w:rPr>
              <w:t>Independent Grand Challenges and speculative discovery with validation</w:t>
            </w:r>
          </w:p>
        </w:tc>
      </w:tr>
      <w:tr>
        <w:trPr>
          <w:cantSplit/>
        </w:trPr>
        <w:tc>
          <w:tcPr>
            <w:tcW w:type="dxa" w:w="3145"/>
            <w:vAlign w:val="center"/>
          </w:tcPr>
          <w:p>
            <w:pPr>
              <w:spacing w:after="0" w:before="0"/>
            </w:pPr>
            <w:r>
              <w:rPr>
                <w:rFonts w:ascii="Times New Roman" w:hAnsi="Times New Roman"/>
                <w:color w:val="14191C"/>
                <w:sz w:val="15"/>
              </w:rPr>
              <w:t>International Cooperative Science</w:t>
            </w:r>
          </w:p>
        </w:tc>
        <w:tc>
          <w:tcPr>
            <w:tcW w:type="dxa" w:w="1472"/>
            <w:vAlign w:val="center"/>
          </w:tcPr>
          <w:p>
            <w:pPr>
              <w:spacing w:after="0" w:before="0"/>
            </w:pPr>
            <w:r>
              <w:rPr>
                <w:rFonts w:ascii="Times New Roman" w:hAnsi="Times New Roman"/>
                <w:color w:val="14191C"/>
                <w:sz w:val="15"/>
              </w:rPr>
              <w:t>$10.000B</w:t>
            </w:r>
          </w:p>
        </w:tc>
        <w:tc>
          <w:tcPr>
            <w:tcW w:type="dxa" w:w="5219"/>
            <w:vAlign w:val="center"/>
          </w:tcPr>
          <w:p>
            <w:pPr>
              <w:spacing w:after="0" w:before="0"/>
            </w:pPr>
            <w:r>
              <w:rPr>
                <w:rFonts w:ascii="Times New Roman" w:hAnsi="Times New Roman"/>
                <w:color w:val="14191C"/>
                <w:sz w:val="15"/>
              </w:rPr>
              <w:t>Shared peaceful multinational science and scientific access</w:t>
            </w:r>
          </w:p>
        </w:tc>
      </w:tr>
      <w:tr>
        <w:trPr>
          <w:cantSplit/>
        </w:trPr>
        <w:tc>
          <w:tcPr>
            <w:tcW w:type="dxa" w:w="3145"/>
            <w:vAlign w:val="center"/>
          </w:tcPr>
          <w:p>
            <w:pPr>
              <w:spacing w:after="0" w:before="0"/>
            </w:pPr>
            <w:r>
              <w:rPr>
                <w:rFonts w:ascii="Times New Roman" w:hAnsi="Times New Roman"/>
                <w:color w:val="14191C"/>
                <w:sz w:val="15"/>
              </w:rPr>
              <w:t>Safety, Security, Oversight, And Continuity</w:t>
            </w:r>
          </w:p>
        </w:tc>
        <w:tc>
          <w:tcPr>
            <w:tcW w:type="dxa" w:w="1472"/>
            <w:vAlign w:val="center"/>
          </w:tcPr>
          <w:p>
            <w:pPr>
              <w:spacing w:after="0" w:before="0"/>
            </w:pPr>
            <w:r>
              <w:rPr>
                <w:rFonts w:ascii="Times New Roman" w:hAnsi="Times New Roman"/>
                <w:color w:val="14191C"/>
                <w:sz w:val="15"/>
              </w:rPr>
              <w:t>$6.000B</w:t>
            </w:r>
          </w:p>
        </w:tc>
        <w:tc>
          <w:tcPr>
            <w:tcW w:type="dxa" w:w="5219"/>
            <w:vAlign w:val="center"/>
          </w:tcPr>
          <w:p>
            <w:pPr>
              <w:spacing w:after="0" w:before="0"/>
            </w:pPr>
            <w:r>
              <w:rPr>
                <w:rFonts w:ascii="Times New Roman" w:hAnsi="Times New Roman"/>
                <w:color w:val="14191C"/>
                <w:sz w:val="15"/>
              </w:rPr>
              <w:t>Cyber resilience, safety, audit, archives, and emergency science</w:t>
            </w:r>
          </w:p>
        </w:tc>
      </w:tr>
      <w:tr>
        <w:trPr>
          <w:cantSplit/>
        </w:trPr>
        <w:tc>
          <w:tcPr>
            <w:tcW w:type="dxa" w:w="3145"/>
            <w:vAlign w:val="center"/>
          </w:tcPr>
          <w:p>
            <w:pPr>
              <w:spacing w:after="0" w:before="0"/>
            </w:pPr>
            <w:r>
              <w:rPr>
                <w:rFonts w:ascii="Times New Roman" w:hAnsi="Times New Roman"/>
                <w:color w:val="14191C"/>
                <w:sz w:val="15"/>
              </w:rPr>
              <w:t>TOTAL</w:t>
            </w:r>
          </w:p>
        </w:tc>
        <w:tc>
          <w:tcPr>
            <w:tcW w:type="dxa" w:w="1472"/>
            <w:vAlign w:val="center"/>
          </w:tcPr>
          <w:p>
            <w:pPr>
              <w:spacing w:after="0" w:before="0"/>
            </w:pPr>
            <w:r>
              <w:rPr>
                <w:rFonts w:ascii="Times New Roman" w:hAnsi="Times New Roman"/>
                <w:color w:val="14191C"/>
                <w:sz w:val="15"/>
              </w:rPr>
              <w:t>$309.748B</w:t>
            </w:r>
          </w:p>
        </w:tc>
        <w:tc>
          <w:tcPr>
            <w:tcW w:type="dxa" w:w="5219"/>
            <w:vAlign w:val="center"/>
          </w:tcPr>
          <w:p>
            <w:pPr>
              <w:spacing w:after="0" w:before="0"/>
            </w:pPr>
            <w:r>
              <w:rPr>
                <w:rFonts w:ascii="Times New Roman" w:hAnsi="Times New Roman"/>
                <w:color w:val="14191C"/>
                <w:sz w:val="15"/>
              </w:rPr>
              <w:t>Exactly the statutory annual amount; all components indexed together</w:t>
            </w:r>
          </w:p>
        </w:tc>
      </w:tr>
    </w:tbl>
    <w:p>
      <w:pPr>
        <w:spacing w:after="20"/>
      </w:pPr>
    </w:p>
    <w:p>
      <w:r>
        <w:rPr>
          <w:b w:val="0"/>
          <w:i w:val="0"/>
        </w:rPr>
        <w:t>The annual aggregate is $309.748 billion. NASA regular FY2025 appropriations of $24.838 billion and DARPA FY2025 enacted authority of $4.145693 billion are historical accounting comparators. If those amounts remained available as ordinary new-year appropriations, the nominally unindexed difference would be approximately $280.764307 billion. Actual future Treasury top-ups require current-year accounting and price-index adjustments.</w:t>
      </w:r>
    </w:p>
    <w:p>
      <w:pPr>
        <w:pStyle w:val="Heading2"/>
      </w:pPr>
      <w:r>
        <w:t>Gross program-authority scenarios (not forecasts of outlays)</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1482"/>
            <w:shd w:fill="E8EBED"/>
          </w:tcPr>
          <w:p>
            <w:pPr>
              <w:spacing w:after="0"/>
            </w:pPr>
            <w:r>
              <w:rPr>
                <w:rFonts w:ascii="Times New Roman" w:hAnsi="Times New Roman"/>
                <w:b/>
                <w:color w:val="172C3C"/>
                <w:sz w:val="16"/>
              </w:rPr>
              <w:t>Horizon</w:t>
            </w:r>
          </w:p>
        </w:tc>
        <w:tc>
          <w:tcPr>
            <w:tcW w:type="dxa" w:w="3233"/>
            <w:shd w:fill="E8EBED"/>
          </w:tcPr>
          <w:p>
            <w:pPr>
              <w:spacing w:after="0"/>
            </w:pPr>
            <w:r>
              <w:rPr>
                <w:rFonts w:ascii="Times New Roman" w:hAnsi="Times New Roman"/>
                <w:b/>
                <w:color w:val="172C3C"/>
                <w:sz w:val="16"/>
              </w:rPr>
              <w:t>Mechanical real-dollar gross authority</w:t>
            </w:r>
          </w:p>
        </w:tc>
        <w:tc>
          <w:tcPr>
            <w:tcW w:type="dxa" w:w="5120"/>
            <w:shd w:fill="E8EBED"/>
          </w:tcPr>
          <w:p>
            <w:pPr>
              <w:spacing w:after="0"/>
            </w:pPr>
            <w:r>
              <w:rPr>
                <w:rFonts w:ascii="Times New Roman" w:hAnsi="Times New Roman"/>
                <w:b/>
                <w:color w:val="172C3C"/>
                <w:sz w:val="16"/>
              </w:rPr>
              <w:t>Interpretation</w:t>
            </w:r>
          </w:p>
        </w:tc>
      </w:tr>
      <w:tr>
        <w:trPr>
          <w:cantSplit/>
        </w:trPr>
        <w:tc>
          <w:tcPr>
            <w:tcW w:type="dxa" w:w="1482"/>
            <w:vAlign w:val="center"/>
          </w:tcPr>
          <w:p>
            <w:pPr>
              <w:spacing w:after="0" w:before="0"/>
            </w:pPr>
            <w:r>
              <w:rPr>
                <w:rFonts w:ascii="Times New Roman" w:hAnsi="Times New Roman"/>
                <w:color w:val="14191C"/>
                <w:sz w:val="15"/>
              </w:rPr>
              <w:t>1 year</w:t>
            </w:r>
          </w:p>
        </w:tc>
        <w:tc>
          <w:tcPr>
            <w:tcW w:type="dxa" w:w="3233"/>
            <w:vAlign w:val="center"/>
          </w:tcPr>
          <w:p>
            <w:pPr>
              <w:spacing w:after="0" w:before="0"/>
            </w:pPr>
            <w:r>
              <w:rPr>
                <w:rFonts w:ascii="Times New Roman" w:hAnsi="Times New Roman"/>
                <w:color w:val="14191C"/>
                <w:sz w:val="15"/>
              </w:rPr>
              <w:t>$0.30975T</w:t>
            </w:r>
          </w:p>
        </w:tc>
        <w:tc>
          <w:tcPr>
            <w:tcW w:type="dxa" w:w="5120"/>
            <w:vAlign w:val="center"/>
          </w:tcPr>
          <w:p>
            <w:pPr>
              <w:spacing w:after="0" w:before="0"/>
            </w:pPr>
            <w:r>
              <w:rPr>
                <w:rFonts w:ascii="Times New Roman" w:hAnsi="Times New Roman"/>
                <w:color w:val="14191C"/>
                <w:sz w:val="15"/>
              </w:rPr>
              <w:t>Statutory recurring base year</w:t>
            </w:r>
          </w:p>
        </w:tc>
      </w:tr>
      <w:tr>
        <w:trPr>
          <w:cantSplit/>
        </w:trPr>
        <w:tc>
          <w:tcPr>
            <w:tcW w:type="dxa" w:w="1482"/>
            <w:vAlign w:val="center"/>
          </w:tcPr>
          <w:p>
            <w:pPr>
              <w:spacing w:after="0" w:before="0"/>
            </w:pPr>
            <w:r>
              <w:rPr>
                <w:rFonts w:ascii="Times New Roman" w:hAnsi="Times New Roman"/>
                <w:color w:val="14191C"/>
                <w:sz w:val="15"/>
              </w:rPr>
              <w:t>5 years</w:t>
            </w:r>
          </w:p>
        </w:tc>
        <w:tc>
          <w:tcPr>
            <w:tcW w:type="dxa" w:w="3233"/>
            <w:vAlign w:val="center"/>
          </w:tcPr>
          <w:p>
            <w:pPr>
              <w:spacing w:after="0" w:before="0"/>
            </w:pPr>
            <w:r>
              <w:rPr>
                <w:rFonts w:ascii="Times New Roman" w:hAnsi="Times New Roman"/>
                <w:color w:val="14191C"/>
                <w:sz w:val="15"/>
              </w:rPr>
              <w:t>$1.54874T</w:t>
            </w:r>
          </w:p>
        </w:tc>
        <w:tc>
          <w:tcPr>
            <w:tcW w:type="dxa" w:w="5120"/>
            <w:vAlign w:val="center"/>
          </w:tcPr>
          <w:p>
            <w:pPr>
              <w:spacing w:after="0" w:before="0"/>
            </w:pPr>
            <w:r>
              <w:rPr>
                <w:rFonts w:ascii="Times New Roman" w:hAnsi="Times New Roman"/>
                <w:color w:val="14191C"/>
                <w:sz w:val="15"/>
              </w:rPr>
              <w:t>Aggregate gross authority, no indexed nominal growth</w:t>
            </w:r>
          </w:p>
        </w:tc>
      </w:tr>
      <w:tr>
        <w:trPr>
          <w:cantSplit/>
        </w:trPr>
        <w:tc>
          <w:tcPr>
            <w:tcW w:type="dxa" w:w="1482"/>
            <w:vAlign w:val="center"/>
          </w:tcPr>
          <w:p>
            <w:pPr>
              <w:spacing w:after="0" w:before="0"/>
            </w:pPr>
            <w:r>
              <w:rPr>
                <w:rFonts w:ascii="Times New Roman" w:hAnsi="Times New Roman"/>
                <w:color w:val="14191C"/>
                <w:sz w:val="15"/>
              </w:rPr>
              <w:t>10 years</w:t>
            </w:r>
          </w:p>
        </w:tc>
        <w:tc>
          <w:tcPr>
            <w:tcW w:type="dxa" w:w="3233"/>
            <w:vAlign w:val="center"/>
          </w:tcPr>
          <w:p>
            <w:pPr>
              <w:spacing w:after="0" w:before="0"/>
            </w:pPr>
            <w:r>
              <w:rPr>
                <w:rFonts w:ascii="Times New Roman" w:hAnsi="Times New Roman"/>
                <w:color w:val="14191C"/>
                <w:sz w:val="15"/>
              </w:rPr>
              <w:t>$3.09748T</w:t>
            </w:r>
          </w:p>
        </w:tc>
        <w:tc>
          <w:tcPr>
            <w:tcW w:type="dxa" w:w="5120"/>
            <w:vAlign w:val="center"/>
          </w:tcPr>
          <w:p>
            <w:pPr>
              <w:spacing w:after="0" w:before="0"/>
            </w:pPr>
            <w:r>
              <w:rPr>
                <w:rFonts w:ascii="Times New Roman" w:hAnsi="Times New Roman"/>
                <w:color w:val="14191C"/>
                <w:sz w:val="15"/>
              </w:rPr>
              <w:t>Aggregate gross authority, before offsets and debt service</w:t>
            </w:r>
          </w:p>
        </w:tc>
      </w:tr>
      <w:tr>
        <w:trPr>
          <w:cantSplit/>
        </w:trPr>
        <w:tc>
          <w:tcPr>
            <w:tcW w:type="dxa" w:w="1482"/>
            <w:vAlign w:val="center"/>
          </w:tcPr>
          <w:p>
            <w:pPr>
              <w:spacing w:after="0" w:before="0"/>
            </w:pPr>
            <w:r>
              <w:rPr>
                <w:rFonts w:ascii="Times New Roman" w:hAnsi="Times New Roman"/>
                <w:color w:val="14191C"/>
                <w:sz w:val="15"/>
              </w:rPr>
              <w:t>30 years</w:t>
            </w:r>
          </w:p>
        </w:tc>
        <w:tc>
          <w:tcPr>
            <w:tcW w:type="dxa" w:w="3233"/>
            <w:vAlign w:val="center"/>
          </w:tcPr>
          <w:p>
            <w:pPr>
              <w:spacing w:after="0" w:before="0"/>
            </w:pPr>
            <w:r>
              <w:rPr>
                <w:rFonts w:ascii="Times New Roman" w:hAnsi="Times New Roman"/>
                <w:color w:val="14191C"/>
                <w:sz w:val="15"/>
              </w:rPr>
              <w:t>$9.29244T</w:t>
            </w:r>
          </w:p>
        </w:tc>
        <w:tc>
          <w:tcPr>
            <w:tcW w:type="dxa" w:w="5120"/>
            <w:vAlign w:val="center"/>
          </w:tcPr>
          <w:p>
            <w:pPr>
              <w:spacing w:after="0" w:before="0"/>
            </w:pPr>
            <w:r>
              <w:rPr>
                <w:rFonts w:ascii="Times New Roman" w:hAnsi="Times New Roman"/>
                <w:color w:val="14191C"/>
                <w:sz w:val="15"/>
              </w:rPr>
              <w:t>Illustrative constant-dollar arithmetic only</w:t>
            </w:r>
          </w:p>
        </w:tc>
      </w:tr>
      <w:tr>
        <w:trPr>
          <w:cantSplit/>
        </w:trPr>
        <w:tc>
          <w:tcPr>
            <w:tcW w:type="dxa" w:w="1482"/>
            <w:vAlign w:val="center"/>
          </w:tcPr>
          <w:p>
            <w:pPr>
              <w:spacing w:after="0" w:before="0"/>
            </w:pPr>
            <w:r>
              <w:rPr>
                <w:rFonts w:ascii="Times New Roman" w:hAnsi="Times New Roman"/>
                <w:color w:val="14191C"/>
                <w:sz w:val="15"/>
              </w:rPr>
              <w:t>500 years</w:t>
            </w:r>
          </w:p>
        </w:tc>
        <w:tc>
          <w:tcPr>
            <w:tcW w:type="dxa" w:w="3233"/>
            <w:vAlign w:val="center"/>
          </w:tcPr>
          <w:p>
            <w:pPr>
              <w:spacing w:after="0" w:before="0"/>
            </w:pPr>
            <w:r>
              <w:rPr>
                <w:rFonts w:ascii="Times New Roman" w:hAnsi="Times New Roman"/>
                <w:color w:val="14191C"/>
                <w:sz w:val="15"/>
              </w:rPr>
              <w:t>$154.87400T</w:t>
            </w:r>
          </w:p>
        </w:tc>
        <w:tc>
          <w:tcPr>
            <w:tcW w:type="dxa" w:w="5120"/>
            <w:vAlign w:val="center"/>
          </w:tcPr>
          <w:p>
            <w:pPr>
              <w:spacing w:after="0" w:before="0"/>
            </w:pPr>
            <w:r>
              <w:rPr>
                <w:rFonts w:ascii="Times New Roman" w:hAnsi="Times New Roman"/>
                <w:color w:val="14191C"/>
                <w:sz w:val="15"/>
              </w:rPr>
              <w:t>Scale illustration; not a forecast of social or fiscal conditions</w:t>
            </w:r>
          </w:p>
        </w:tc>
      </w:tr>
    </w:tbl>
    <w:p>
      <w:pPr>
        <w:spacing w:after="20"/>
      </w:pPr>
    </w:p>
    <w:p>
      <w:pPr>
        <w:pStyle w:val="Heading2"/>
      </w:pPr>
      <w:r>
        <w:t>Long-horizon capital and stabilization</w:t>
      </w:r>
    </w:p>
    <w:p>
      <w:r>
        <w:rPr>
          <w:b w:val="0"/>
          <w:i w:val="0"/>
        </w:rPr>
        <w:t>The 50-times-annual-spending endowment target is $15.4874 trillion in FY2025 purchasing power, calculated as 50 times $309.748 billion. A two-percent ordinary payout ceiling corresponds arithmetically to the annual spending level only if the endowment is fully capitalized and sustainable real investment performance supports the distribution. No such condition is presently established.</w:t>
      </w:r>
    </w:p>
    <w:p>
      <w:r>
        <w:rPr>
          <w:b w:val="0"/>
          <w:i w:val="0"/>
        </w:rPr>
        <w:t>The 30-month NASA-plus-DARPA protected liquidity target is $434.7575 billion in FY2025 purchasing power. The reserve is a long-run capitalization objective, not an added annual appropriation. Building it requires dedicated assets and a capitalization schedule; the Act prohibits describing the target as already funded.</w:t>
      </w:r>
    </w:p>
    <w:p>
      <w:pPr>
        <w:pStyle w:val="Heading2"/>
      </w:pPr>
      <w:r>
        <w:t>Distinct accounting concepts</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1776"/>
            <w:shd w:fill="E8EBED"/>
          </w:tcPr>
          <w:p>
            <w:pPr>
              <w:spacing w:after="0"/>
            </w:pPr>
            <w:r>
              <w:rPr>
                <w:rFonts w:ascii="Times New Roman" w:hAnsi="Times New Roman"/>
                <w:b/>
                <w:color w:val="172C3C"/>
                <w:sz w:val="16"/>
              </w:rPr>
              <w:t>Concept</w:t>
            </w:r>
          </w:p>
        </w:tc>
        <w:tc>
          <w:tcPr>
            <w:tcW w:type="dxa" w:w="4439"/>
            <w:shd w:fill="E8EBED"/>
          </w:tcPr>
          <w:p>
            <w:pPr>
              <w:spacing w:after="0"/>
            </w:pPr>
            <w:r>
              <w:rPr>
                <w:rFonts w:ascii="Times New Roman" w:hAnsi="Times New Roman"/>
                <w:b/>
                <w:color w:val="172C3C"/>
                <w:sz w:val="16"/>
              </w:rPr>
              <w:t>What it means</w:t>
            </w:r>
          </w:p>
        </w:tc>
        <w:tc>
          <w:tcPr>
            <w:tcW w:type="dxa" w:w="3620"/>
            <w:shd w:fill="E8EBED"/>
          </w:tcPr>
          <w:p>
            <w:pPr>
              <w:spacing w:after="0"/>
            </w:pPr>
            <w:r>
              <w:rPr>
                <w:rFonts w:ascii="Times New Roman" w:hAnsi="Times New Roman"/>
                <w:b/>
                <w:color w:val="172C3C"/>
                <w:sz w:val="16"/>
              </w:rPr>
              <w:t>Why it matters</w:t>
            </w:r>
          </w:p>
        </w:tc>
      </w:tr>
      <w:tr>
        <w:trPr>
          <w:cantSplit/>
        </w:trPr>
        <w:tc>
          <w:tcPr>
            <w:tcW w:type="dxa" w:w="1776"/>
            <w:vAlign w:val="center"/>
          </w:tcPr>
          <w:p>
            <w:pPr>
              <w:spacing w:after="0" w:before="0"/>
            </w:pPr>
            <w:r>
              <w:rPr>
                <w:rFonts w:ascii="Times New Roman" w:hAnsi="Times New Roman"/>
                <w:color w:val="14191C"/>
                <w:sz w:val="15"/>
              </w:rPr>
              <w:t>Budget authority</w:t>
            </w:r>
          </w:p>
        </w:tc>
        <w:tc>
          <w:tcPr>
            <w:tcW w:type="dxa" w:w="4439"/>
            <w:vAlign w:val="center"/>
          </w:tcPr>
          <w:p>
            <w:pPr>
              <w:spacing w:after="0" w:before="0"/>
            </w:pPr>
            <w:r>
              <w:rPr>
                <w:rFonts w:ascii="Times New Roman" w:hAnsi="Times New Roman"/>
                <w:color w:val="14191C"/>
                <w:sz w:val="15"/>
              </w:rPr>
              <w:t>Legal authority to incur obligations under the $309.748B schedule</w:t>
            </w:r>
          </w:p>
        </w:tc>
        <w:tc>
          <w:tcPr>
            <w:tcW w:type="dxa" w:w="3620"/>
            <w:vAlign w:val="center"/>
          </w:tcPr>
          <w:p>
            <w:pPr>
              <w:spacing w:after="0" w:before="0"/>
            </w:pPr>
            <w:r>
              <w:rPr>
                <w:rFonts w:ascii="Times New Roman" w:hAnsi="Times New Roman"/>
                <w:color w:val="14191C"/>
                <w:sz w:val="15"/>
              </w:rPr>
              <w:t>Established by the permanent appropriation.</w:t>
            </w:r>
          </w:p>
        </w:tc>
      </w:tr>
      <w:tr>
        <w:trPr>
          <w:cantSplit/>
        </w:trPr>
        <w:tc>
          <w:tcPr>
            <w:tcW w:type="dxa" w:w="1776"/>
            <w:vAlign w:val="center"/>
          </w:tcPr>
          <w:p>
            <w:pPr>
              <w:spacing w:after="0" w:before="0"/>
            </w:pPr>
            <w:r>
              <w:rPr>
                <w:rFonts w:ascii="Times New Roman" w:hAnsi="Times New Roman"/>
                <w:color w:val="14191C"/>
                <w:sz w:val="15"/>
              </w:rPr>
              <w:t>Obligations</w:t>
            </w:r>
          </w:p>
        </w:tc>
        <w:tc>
          <w:tcPr>
            <w:tcW w:type="dxa" w:w="4439"/>
            <w:vAlign w:val="center"/>
          </w:tcPr>
          <w:p>
            <w:pPr>
              <w:spacing w:after="0" w:before="0"/>
            </w:pPr>
            <w:r>
              <w:rPr>
                <w:rFonts w:ascii="Times New Roman" w:hAnsi="Times New Roman"/>
                <w:color w:val="14191C"/>
                <w:sz w:val="15"/>
              </w:rPr>
              <w:t>Legally binding commitments such as grants and contracts</w:t>
            </w:r>
          </w:p>
        </w:tc>
        <w:tc>
          <w:tcPr>
            <w:tcW w:type="dxa" w:w="3620"/>
            <w:vAlign w:val="center"/>
          </w:tcPr>
          <w:p>
            <w:pPr>
              <w:spacing w:after="0" w:before="0"/>
            </w:pPr>
            <w:r>
              <w:rPr>
                <w:rFonts w:ascii="Times New Roman" w:hAnsi="Times New Roman"/>
                <w:color w:val="14191C"/>
                <w:sz w:val="15"/>
              </w:rPr>
              <w:t>Can occur over multiyear research windows.</w:t>
            </w:r>
          </w:p>
        </w:tc>
      </w:tr>
      <w:tr>
        <w:trPr>
          <w:cantSplit/>
        </w:trPr>
        <w:tc>
          <w:tcPr>
            <w:tcW w:type="dxa" w:w="1776"/>
            <w:vAlign w:val="center"/>
          </w:tcPr>
          <w:p>
            <w:pPr>
              <w:spacing w:after="0" w:before="0"/>
            </w:pPr>
            <w:r>
              <w:rPr>
                <w:rFonts w:ascii="Times New Roman" w:hAnsi="Times New Roman"/>
                <w:color w:val="14191C"/>
                <w:sz w:val="15"/>
              </w:rPr>
              <w:t>Outlays</w:t>
            </w:r>
          </w:p>
        </w:tc>
        <w:tc>
          <w:tcPr>
            <w:tcW w:type="dxa" w:w="4439"/>
            <w:vAlign w:val="center"/>
          </w:tcPr>
          <w:p>
            <w:pPr>
              <w:spacing w:after="0" w:before="0"/>
            </w:pPr>
            <w:r>
              <w:rPr>
                <w:rFonts w:ascii="Times New Roman" w:hAnsi="Times New Roman"/>
                <w:color w:val="14191C"/>
                <w:sz w:val="15"/>
              </w:rPr>
              <w:t>Cash paid as contractual requirements mature</w:t>
            </w:r>
          </w:p>
        </w:tc>
        <w:tc>
          <w:tcPr>
            <w:tcW w:type="dxa" w:w="3620"/>
            <w:vAlign w:val="center"/>
          </w:tcPr>
          <w:p>
            <w:pPr>
              <w:spacing w:after="0" w:before="0"/>
            </w:pPr>
            <w:r>
              <w:rPr>
                <w:rFonts w:ascii="Times New Roman" w:hAnsi="Times New Roman"/>
                <w:color w:val="14191C"/>
                <w:sz w:val="15"/>
              </w:rPr>
              <w:t>Will differ from annual budget authority, particularly for facilities.</w:t>
            </w:r>
          </w:p>
        </w:tc>
      </w:tr>
      <w:tr>
        <w:trPr>
          <w:cantSplit/>
        </w:trPr>
        <w:tc>
          <w:tcPr>
            <w:tcW w:type="dxa" w:w="1776"/>
            <w:vAlign w:val="center"/>
          </w:tcPr>
          <w:p>
            <w:pPr>
              <w:spacing w:after="0" w:before="0"/>
            </w:pPr>
            <w:r>
              <w:rPr>
                <w:rFonts w:ascii="Times New Roman" w:hAnsi="Times New Roman"/>
                <w:color w:val="14191C"/>
                <w:sz w:val="15"/>
              </w:rPr>
              <w:t>Revenue offsets</w:t>
            </w:r>
          </w:p>
        </w:tc>
        <w:tc>
          <w:tcPr>
            <w:tcW w:type="dxa" w:w="4439"/>
            <w:vAlign w:val="center"/>
          </w:tcPr>
          <w:p>
            <w:pPr>
              <w:spacing w:after="0" w:before="0"/>
            </w:pPr>
            <w:r>
              <w:rPr>
                <w:rFonts w:ascii="Times New Roman" w:hAnsi="Times New Roman"/>
                <w:color w:val="14191C"/>
                <w:sz w:val="15"/>
              </w:rPr>
              <w:t>Excise receipts, fees, royalties and other dedicated collections</w:t>
            </w:r>
          </w:p>
        </w:tc>
        <w:tc>
          <w:tcPr>
            <w:tcW w:type="dxa" w:w="3620"/>
            <w:vAlign w:val="center"/>
          </w:tcPr>
          <w:p>
            <w:pPr>
              <w:spacing w:after="0" w:before="0"/>
            </w:pPr>
            <w:r>
              <w:rPr>
                <w:rFonts w:ascii="Times New Roman" w:hAnsi="Times New Roman"/>
                <w:color w:val="14191C"/>
                <w:sz w:val="15"/>
              </w:rPr>
              <w:t>Reduce Treasury backstop, but are not asserted to finance the entire Act.</w:t>
            </w:r>
          </w:p>
        </w:tc>
      </w:tr>
      <w:tr>
        <w:trPr>
          <w:cantSplit/>
        </w:trPr>
        <w:tc>
          <w:tcPr>
            <w:tcW w:type="dxa" w:w="1776"/>
            <w:vAlign w:val="center"/>
          </w:tcPr>
          <w:p>
            <w:pPr>
              <w:spacing w:after="0" w:before="0"/>
            </w:pPr>
            <w:r>
              <w:rPr>
                <w:rFonts w:ascii="Times New Roman" w:hAnsi="Times New Roman"/>
                <w:color w:val="14191C"/>
                <w:sz w:val="15"/>
              </w:rPr>
              <w:t>Fund assets</w:t>
            </w:r>
          </w:p>
        </w:tc>
        <w:tc>
          <w:tcPr>
            <w:tcW w:type="dxa" w:w="4439"/>
            <w:vAlign w:val="center"/>
          </w:tcPr>
          <w:p>
            <w:pPr>
              <w:spacing w:after="0" w:before="0"/>
            </w:pPr>
            <w:r>
              <w:rPr>
                <w:rFonts w:ascii="Times New Roman" w:hAnsi="Times New Roman"/>
                <w:color w:val="14191C"/>
                <w:sz w:val="15"/>
              </w:rPr>
              <w:t>Cash and lawful investments credited to reserve or Endowment</w:t>
            </w:r>
          </w:p>
        </w:tc>
        <w:tc>
          <w:tcPr>
            <w:tcW w:type="dxa" w:w="3620"/>
            <w:vAlign w:val="center"/>
          </w:tcPr>
          <w:p>
            <w:pPr>
              <w:spacing w:after="0" w:before="0"/>
            </w:pPr>
            <w:r>
              <w:rPr>
                <w:rFonts w:ascii="Times New Roman" w:hAnsi="Times New Roman"/>
                <w:color w:val="14191C"/>
                <w:sz w:val="15"/>
              </w:rPr>
              <w:t>Do not count as current-year program outlays merely because held.</w:t>
            </w:r>
          </w:p>
        </w:tc>
      </w:tr>
      <w:tr>
        <w:trPr>
          <w:cantSplit/>
        </w:trPr>
        <w:tc>
          <w:tcPr>
            <w:tcW w:type="dxa" w:w="1776"/>
            <w:vAlign w:val="center"/>
          </w:tcPr>
          <w:p>
            <w:pPr>
              <w:spacing w:after="0" w:before="0"/>
            </w:pPr>
            <w:r>
              <w:rPr>
                <w:rFonts w:ascii="Times New Roman" w:hAnsi="Times New Roman"/>
                <w:color w:val="14191C"/>
                <w:sz w:val="15"/>
              </w:rPr>
              <w:t>Gross financing gap</w:t>
            </w:r>
          </w:p>
        </w:tc>
        <w:tc>
          <w:tcPr>
            <w:tcW w:type="dxa" w:w="4439"/>
            <w:vAlign w:val="center"/>
          </w:tcPr>
          <w:p>
            <w:pPr>
              <w:spacing w:after="0" w:before="0"/>
            </w:pPr>
            <w:r>
              <w:rPr>
                <w:rFonts w:ascii="Times New Roman" w:hAnsi="Times New Roman"/>
                <w:color w:val="14191C"/>
                <w:sz w:val="15"/>
              </w:rPr>
              <w:t>Program outlays less dedicated receipts and other offsetting collections</w:t>
            </w:r>
          </w:p>
        </w:tc>
        <w:tc>
          <w:tcPr>
            <w:tcW w:type="dxa" w:w="3620"/>
            <w:vAlign w:val="center"/>
          </w:tcPr>
          <w:p>
            <w:pPr>
              <w:spacing w:after="0" w:before="0"/>
            </w:pPr>
            <w:r>
              <w:rPr>
                <w:rFonts w:ascii="Times New Roman" w:hAnsi="Times New Roman"/>
                <w:color w:val="14191C"/>
                <w:sz w:val="15"/>
              </w:rPr>
              <w:t>Requires official score and may affect the Federal deficit.</w:t>
            </w:r>
          </w:p>
        </w:tc>
      </w:tr>
    </w:tbl>
    <w:p>
      <w:pPr>
        <w:spacing w:after="20"/>
      </w:pPr>
    </w:p>
    <w:p>
      <w:pPr>
        <w:pStyle w:val="Heading2"/>
      </w:pPr>
      <w:r>
        <w:t>Revenue assumptions and incidence</w:t>
      </w:r>
    </w:p>
    <w:p>
      <w:r>
        <w:rPr>
          <w:b w:val="0"/>
          <w:i w:val="0"/>
        </w:rPr>
        <w:t>The Act proposes a financial-transactions contribution and an additional one-percent stock-repurchase excise contribution. Both produce uncertain and behaviorally sensitive receipts. The CBO financial-transactions option published in December 2024 estimated $296.8 billion of 2025–2034 deficit reduction for its own 0.01-percent proposal. That is NOT a score of the SPACE tax base, rates, exemptions, or timing, and the comparison cannot be scaled linearly. CBO’s baseline for the existing stock-repurchase tax likewise does not score the additional contribution.</w:t>
      </w:r>
    </w:p>
    <w:p>
      <w:r>
        <w:rPr>
          <w:b w:val="0"/>
          <w:i w:val="0"/>
        </w:rPr>
        <w:t>The permanent appropriation is financed from the Treasury with dedicated receipts offsetting its transfer. It is fully appropriated, but fiscal neutrality is not established without a CBO/JCT score. The net fiscal effect includes behavior, capital-market effects, income-tax interactions, timing of cash outlays, interest costs, and interactions with regular agency appropriations.</w:t>
      </w:r>
    </w:p>
    <w:p>
      <w:pPr>
        <w:pStyle w:val="Heading2"/>
      </w:pPr>
      <w:r>
        <w:t>Budget risks and sensitivity</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2306"/>
            <w:shd w:fill="E8EBED"/>
          </w:tcPr>
          <w:p>
            <w:pPr>
              <w:spacing w:after="0"/>
            </w:pPr>
            <w:r>
              <w:rPr>
                <w:rFonts w:ascii="Times New Roman" w:hAnsi="Times New Roman"/>
                <w:b/>
                <w:color w:val="172C3C"/>
                <w:sz w:val="16"/>
              </w:rPr>
              <w:t>Risk case</w:t>
            </w:r>
          </w:p>
        </w:tc>
        <w:tc>
          <w:tcPr>
            <w:tcW w:type="dxa" w:w="3459"/>
            <w:shd w:fill="E8EBED"/>
          </w:tcPr>
          <w:p>
            <w:pPr>
              <w:spacing w:after="0"/>
            </w:pPr>
            <w:r>
              <w:rPr>
                <w:rFonts w:ascii="Times New Roman" w:hAnsi="Times New Roman"/>
                <w:b/>
                <w:color w:val="172C3C"/>
                <w:sz w:val="16"/>
              </w:rPr>
              <w:t>Budget and implementation consequence</w:t>
            </w:r>
          </w:p>
        </w:tc>
        <w:tc>
          <w:tcPr>
            <w:tcW w:type="dxa" w:w="4070"/>
            <w:shd w:fill="E8EBED"/>
          </w:tcPr>
          <w:p>
            <w:pPr>
              <w:spacing w:after="0"/>
            </w:pPr>
            <w:r>
              <w:rPr>
                <w:rFonts w:ascii="Times New Roman" w:hAnsi="Times New Roman"/>
                <w:b/>
                <w:color w:val="172C3C"/>
                <w:sz w:val="16"/>
              </w:rPr>
              <w:t>Required corrective process</w:t>
            </w:r>
          </w:p>
        </w:tc>
      </w:tr>
      <w:tr>
        <w:trPr>
          <w:cantSplit/>
        </w:trPr>
        <w:tc>
          <w:tcPr>
            <w:tcW w:type="dxa" w:w="2306"/>
            <w:vAlign w:val="center"/>
          </w:tcPr>
          <w:p>
            <w:pPr>
              <w:spacing w:after="0" w:before="0"/>
            </w:pPr>
            <w:r>
              <w:rPr>
                <w:rFonts w:ascii="Times New Roman" w:hAnsi="Times New Roman"/>
                <w:color w:val="14191C"/>
                <w:sz w:val="15"/>
              </w:rPr>
              <w:t>Lower than expected tax receipts</w:t>
            </w:r>
          </w:p>
        </w:tc>
        <w:tc>
          <w:tcPr>
            <w:tcW w:type="dxa" w:w="3459"/>
            <w:vAlign w:val="center"/>
          </w:tcPr>
          <w:p>
            <w:pPr>
              <w:spacing w:after="0" w:before="0"/>
            </w:pPr>
            <w:r>
              <w:rPr>
                <w:rFonts w:ascii="Times New Roman" w:hAnsi="Times New Roman"/>
                <w:color w:val="14191C"/>
                <w:sz w:val="15"/>
              </w:rPr>
              <w:t>Larger Treasury transfer, potential higher deficit</w:t>
            </w:r>
          </w:p>
        </w:tc>
        <w:tc>
          <w:tcPr>
            <w:tcW w:type="dxa" w:w="4070"/>
            <w:vAlign w:val="center"/>
          </w:tcPr>
          <w:p>
            <w:pPr>
              <w:spacing w:after="0" w:before="0"/>
            </w:pPr>
            <w:r>
              <w:rPr>
                <w:rFonts w:ascii="Times New Roman" w:hAnsi="Times New Roman"/>
                <w:color w:val="14191C"/>
                <w:sz w:val="15"/>
              </w:rPr>
              <w:t>Treasury discloses gap and proposed legislation; annual accounts stay fully appropriated.</w:t>
            </w:r>
          </w:p>
        </w:tc>
      </w:tr>
      <w:tr>
        <w:trPr>
          <w:cantSplit/>
        </w:trPr>
        <w:tc>
          <w:tcPr>
            <w:tcW w:type="dxa" w:w="2306"/>
            <w:vAlign w:val="center"/>
          </w:tcPr>
          <w:p>
            <w:pPr>
              <w:spacing w:after="0" w:before="0"/>
            </w:pPr>
            <w:r>
              <w:rPr>
                <w:rFonts w:ascii="Times New Roman" w:hAnsi="Times New Roman"/>
                <w:color w:val="14191C"/>
                <w:sz w:val="15"/>
              </w:rPr>
              <w:t>High construction or labor inflation</w:t>
            </w:r>
          </w:p>
        </w:tc>
        <w:tc>
          <w:tcPr>
            <w:tcW w:type="dxa" w:w="3459"/>
            <w:vAlign w:val="center"/>
          </w:tcPr>
          <w:p>
            <w:pPr>
              <w:spacing w:after="0" w:before="0"/>
            </w:pPr>
            <w:r>
              <w:rPr>
                <w:rFonts w:ascii="Times New Roman" w:hAnsi="Times New Roman"/>
                <w:color w:val="14191C"/>
                <w:sz w:val="15"/>
              </w:rPr>
              <w:t>Delayed delivery and lower real output per dollar</w:t>
            </w:r>
          </w:p>
        </w:tc>
        <w:tc>
          <w:tcPr>
            <w:tcW w:type="dxa" w:w="4070"/>
            <w:vAlign w:val="center"/>
          </w:tcPr>
          <w:p>
            <w:pPr>
              <w:spacing w:after="0" w:before="0"/>
            </w:pPr>
            <w:r>
              <w:rPr>
                <w:rFonts w:ascii="Times New Roman" w:hAnsi="Times New Roman"/>
                <w:color w:val="14191C"/>
                <w:sz w:val="15"/>
              </w:rPr>
              <w:t>Independent cost rebaseline, compete design alternatives, protect safety, carry forward unready funds.</w:t>
            </w:r>
          </w:p>
        </w:tc>
      </w:tr>
      <w:tr>
        <w:trPr>
          <w:cantSplit/>
        </w:trPr>
        <w:tc>
          <w:tcPr>
            <w:tcW w:type="dxa" w:w="2306"/>
            <w:vAlign w:val="center"/>
          </w:tcPr>
          <w:p>
            <w:pPr>
              <w:spacing w:after="0" w:before="0"/>
            </w:pPr>
            <w:r>
              <w:rPr>
                <w:rFonts w:ascii="Times New Roman" w:hAnsi="Times New Roman"/>
                <w:color w:val="14191C"/>
                <w:sz w:val="15"/>
              </w:rPr>
              <w:t>No credible scientific pathway</w:t>
            </w:r>
          </w:p>
        </w:tc>
        <w:tc>
          <w:tcPr>
            <w:tcW w:type="dxa" w:w="3459"/>
            <w:vAlign w:val="center"/>
          </w:tcPr>
          <w:p>
            <w:pPr>
              <w:spacing w:after="0" w:before="0"/>
            </w:pPr>
            <w:r>
              <w:rPr>
                <w:rFonts w:ascii="Times New Roman" w:hAnsi="Times New Roman"/>
                <w:color w:val="14191C"/>
                <w:sz w:val="15"/>
              </w:rPr>
              <w:t>Uninformative spending or politically protected projects</w:t>
            </w:r>
          </w:p>
        </w:tc>
        <w:tc>
          <w:tcPr>
            <w:tcW w:type="dxa" w:w="4070"/>
            <w:vAlign w:val="center"/>
          </w:tcPr>
          <w:p>
            <w:pPr>
              <w:spacing w:after="0" w:before="0"/>
            </w:pPr>
            <w:r>
              <w:rPr>
                <w:rFonts w:ascii="Times New Roman" w:hAnsi="Times New Roman"/>
                <w:color w:val="14191C"/>
                <w:sz w:val="15"/>
              </w:rPr>
              <w:t>Competition, milestone termination, independent review, reallocate only within lawful accounts.</w:t>
            </w:r>
          </w:p>
        </w:tc>
      </w:tr>
      <w:tr>
        <w:trPr>
          <w:cantSplit/>
        </w:trPr>
        <w:tc>
          <w:tcPr>
            <w:tcW w:type="dxa" w:w="2306"/>
            <w:vAlign w:val="center"/>
          </w:tcPr>
          <w:p>
            <w:pPr>
              <w:spacing w:after="0" w:before="0"/>
            </w:pPr>
            <w:r>
              <w:rPr>
                <w:rFonts w:ascii="Times New Roman" w:hAnsi="Times New Roman"/>
                <w:color w:val="14191C"/>
                <w:sz w:val="15"/>
              </w:rPr>
              <w:t>Weak endowment returns</w:t>
            </w:r>
          </w:p>
        </w:tc>
        <w:tc>
          <w:tcPr>
            <w:tcW w:type="dxa" w:w="3459"/>
            <w:vAlign w:val="center"/>
          </w:tcPr>
          <w:p>
            <w:pPr>
              <w:spacing w:after="0" w:before="0"/>
            </w:pPr>
            <w:r>
              <w:rPr>
                <w:rFonts w:ascii="Times New Roman" w:hAnsi="Times New Roman"/>
                <w:color w:val="14191C"/>
                <w:sz w:val="15"/>
              </w:rPr>
              <w:t>Erosion of inflation-adjusted principal</w:t>
            </w:r>
          </w:p>
        </w:tc>
        <w:tc>
          <w:tcPr>
            <w:tcW w:type="dxa" w:w="4070"/>
            <w:vAlign w:val="center"/>
          </w:tcPr>
          <w:p>
            <w:pPr>
              <w:spacing w:after="0" w:before="0"/>
            </w:pPr>
            <w:r>
              <w:rPr>
                <w:rFonts w:ascii="Times New Roman" w:hAnsi="Times New Roman"/>
                <w:color w:val="14191C"/>
                <w:sz w:val="15"/>
              </w:rPr>
              <w:t>Lower distributions, diversify prudently, audit assumptions, review contribution policy.</w:t>
            </w:r>
          </w:p>
        </w:tc>
      </w:tr>
      <w:tr>
        <w:trPr>
          <w:cantSplit/>
        </w:trPr>
        <w:tc>
          <w:tcPr>
            <w:tcW w:type="dxa" w:w="2306"/>
            <w:vAlign w:val="center"/>
          </w:tcPr>
          <w:p>
            <w:pPr>
              <w:spacing w:after="0" w:before="0"/>
            </w:pPr>
            <w:r>
              <w:rPr>
                <w:rFonts w:ascii="Times New Roman" w:hAnsi="Times New Roman"/>
                <w:color w:val="14191C"/>
                <w:sz w:val="15"/>
              </w:rPr>
              <w:t>Cyber or launch-site disruption</w:t>
            </w:r>
          </w:p>
        </w:tc>
        <w:tc>
          <w:tcPr>
            <w:tcW w:type="dxa" w:w="3459"/>
            <w:vAlign w:val="center"/>
          </w:tcPr>
          <w:p>
            <w:pPr>
              <w:spacing w:after="0" w:before="0"/>
            </w:pPr>
            <w:r>
              <w:rPr>
                <w:rFonts w:ascii="Times New Roman" w:hAnsi="Times New Roman"/>
                <w:color w:val="14191C"/>
                <w:sz w:val="15"/>
              </w:rPr>
              <w:t>Science service and data losses</w:t>
            </w:r>
          </w:p>
        </w:tc>
        <w:tc>
          <w:tcPr>
            <w:tcW w:type="dxa" w:w="4070"/>
            <w:vAlign w:val="center"/>
          </w:tcPr>
          <w:p>
            <w:pPr>
              <w:spacing w:after="0" w:before="0"/>
            </w:pPr>
            <w:r>
              <w:rPr>
                <w:rFonts w:ascii="Times New Roman" w:hAnsi="Times New Roman"/>
                <w:color w:val="14191C"/>
                <w:sz w:val="15"/>
              </w:rPr>
              <w:t>30-month reserve goal, backups, crisis procedures, continuity exercises.</w:t>
            </w:r>
          </w:p>
        </w:tc>
      </w:tr>
      <w:tr>
        <w:trPr>
          <w:cantSplit/>
        </w:trPr>
        <w:tc>
          <w:tcPr>
            <w:tcW w:type="dxa" w:w="2306"/>
            <w:vAlign w:val="center"/>
          </w:tcPr>
          <w:p>
            <w:pPr>
              <w:spacing w:after="0" w:before="0"/>
            </w:pPr>
            <w:r>
              <w:rPr>
                <w:rFonts w:ascii="Times New Roman" w:hAnsi="Times New Roman"/>
                <w:color w:val="14191C"/>
                <w:sz w:val="15"/>
              </w:rPr>
              <w:t>Excessive agency contracting concentration</w:t>
            </w:r>
          </w:p>
        </w:tc>
        <w:tc>
          <w:tcPr>
            <w:tcW w:type="dxa" w:w="3459"/>
            <w:vAlign w:val="center"/>
          </w:tcPr>
          <w:p>
            <w:pPr>
              <w:spacing w:after="0" w:before="0"/>
            </w:pPr>
            <w:r>
              <w:rPr>
                <w:rFonts w:ascii="Times New Roman" w:hAnsi="Times New Roman"/>
                <w:color w:val="14191C"/>
                <w:sz w:val="15"/>
              </w:rPr>
              <w:t>Higher prices and single-vendor dependence</w:t>
            </w:r>
          </w:p>
        </w:tc>
        <w:tc>
          <w:tcPr>
            <w:tcW w:type="dxa" w:w="4070"/>
            <w:vAlign w:val="center"/>
          </w:tcPr>
          <w:p>
            <w:pPr>
              <w:spacing w:after="0" w:before="0"/>
            </w:pPr>
            <w:r>
              <w:rPr>
                <w:rFonts w:ascii="Times New Roman" w:hAnsi="Times New Roman"/>
                <w:color w:val="14191C"/>
                <w:sz w:val="15"/>
              </w:rPr>
              <w:t>Data rights, open interfaces, second-source programs, audit and anti-capture reviews.</w:t>
            </w:r>
          </w:p>
        </w:tc>
      </w:tr>
    </w:tbl>
    <w:p>
      <w:pPr>
        <w:spacing w:after="20"/>
      </w:pPr>
    </w:p>
    <w:p>
      <w:pPr>
        <w:pStyle w:val="Heading2"/>
      </w:pPr>
      <w:r>
        <w:t>1-, 5-, 10-, and 30-year score requirements</w:t>
      </w:r>
    </w:p>
    <w:p>
      <w:r>
        <w:rPr>
          <w:b w:val="0"/>
          <w:i w:val="0"/>
        </w:rPr>
        <w:t>The official fiscal note should separately report mandatory budget authority, outlays, dedicated revenues, conventional receipts and behavioral offsets, net debt-service costs, personnel and infrastructure inflation, distributional incidence, economic spillovers, and expected Fund capitalization. Because long-term technology spillovers are uncertain, they should be shown separately from statutory scorekeeping unless official methodology permits inclusion.</w:t>
      </w:r>
    </w:p>
    <w:p>
      <w:r>
        <w:br w:type="page"/>
      </w:r>
    </w:p>
    <w:p>
      <w:pPr>
        <w:pStyle w:val="Heading1"/>
      </w:pPr>
      <w:r>
        <w:t>ANNEX C — EXECUTION, WORKFORCE, AND CAPITAL DELIVERY ROADMAP</w:t>
      </w:r>
    </w:p>
    <w:p>
      <w:pPr>
        <w:pStyle w:val="Heading2"/>
      </w:pPr>
      <w:r>
        <w:t>Operational implementation sequence</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1492"/>
            <w:shd w:fill="E8EBED"/>
          </w:tcPr>
          <w:p>
            <w:pPr>
              <w:spacing w:after="0"/>
            </w:pPr>
            <w:r>
              <w:rPr>
                <w:rFonts w:ascii="Times New Roman" w:hAnsi="Times New Roman"/>
                <w:b/>
                <w:color w:val="172C3C"/>
                <w:sz w:val="16"/>
              </w:rPr>
              <w:t>Window</w:t>
            </w:r>
          </w:p>
        </w:tc>
        <w:tc>
          <w:tcPr>
            <w:tcW w:type="dxa" w:w="2713"/>
            <w:shd w:fill="E8EBED"/>
          </w:tcPr>
          <w:p>
            <w:pPr>
              <w:spacing w:after="0"/>
            </w:pPr>
            <w:r>
              <w:rPr>
                <w:rFonts w:ascii="Times New Roman" w:hAnsi="Times New Roman"/>
                <w:b/>
                <w:color w:val="172C3C"/>
                <w:sz w:val="16"/>
              </w:rPr>
              <w:t>Accountable officials</w:t>
            </w:r>
          </w:p>
        </w:tc>
        <w:tc>
          <w:tcPr>
            <w:tcW w:type="dxa" w:w="5630"/>
            <w:shd w:fill="E8EBED"/>
          </w:tcPr>
          <w:p>
            <w:pPr>
              <w:spacing w:after="0"/>
            </w:pPr>
            <w:r>
              <w:rPr>
                <w:rFonts w:ascii="Times New Roman" w:hAnsi="Times New Roman"/>
                <w:b/>
                <w:color w:val="172C3C"/>
                <w:sz w:val="16"/>
              </w:rPr>
              <w:t>Required deliverables</w:t>
            </w:r>
          </w:p>
        </w:tc>
      </w:tr>
      <w:tr>
        <w:trPr>
          <w:cantSplit/>
        </w:trPr>
        <w:tc>
          <w:tcPr>
            <w:tcW w:type="dxa" w:w="1492"/>
            <w:vAlign w:val="center"/>
          </w:tcPr>
          <w:p>
            <w:pPr>
              <w:spacing w:after="0" w:before="0"/>
            </w:pPr>
            <w:r>
              <w:rPr>
                <w:rFonts w:ascii="Times New Roman" w:hAnsi="Times New Roman"/>
                <w:color w:val="14191C"/>
                <w:sz w:val="15"/>
              </w:rPr>
              <w:t>Enactment to 90 days</w:t>
            </w:r>
          </w:p>
        </w:tc>
        <w:tc>
          <w:tcPr>
            <w:tcW w:type="dxa" w:w="2713"/>
            <w:vAlign w:val="center"/>
          </w:tcPr>
          <w:p>
            <w:pPr>
              <w:spacing w:after="0" w:before="0"/>
            </w:pPr>
            <w:r>
              <w:rPr>
                <w:rFonts w:ascii="Times New Roman" w:hAnsi="Times New Roman"/>
                <w:color w:val="14191C"/>
                <w:sz w:val="15"/>
              </w:rPr>
              <w:t>Treasury, OMB, OSTP, NASA, DoD, OPM</w:t>
            </w:r>
          </w:p>
        </w:tc>
        <w:tc>
          <w:tcPr>
            <w:tcW w:type="dxa" w:w="5630"/>
            <w:vAlign w:val="center"/>
          </w:tcPr>
          <w:p>
            <w:pPr>
              <w:spacing w:after="0" w:before="0"/>
            </w:pPr>
            <w:r>
              <w:rPr>
                <w:rFonts w:ascii="Times New Roman" w:hAnsi="Times New Roman"/>
                <w:color w:val="14191C"/>
                <w:sz w:val="15"/>
              </w:rPr>
              <w:t>Budget crosswalk, NASA/DARPA baseline confirmation, fiscal index method, implementation office, hiring needs, facility condition inventory and critical contracts.</w:t>
            </w:r>
          </w:p>
        </w:tc>
      </w:tr>
      <w:tr>
        <w:trPr>
          <w:cantSplit/>
        </w:trPr>
        <w:tc>
          <w:tcPr>
            <w:tcW w:type="dxa" w:w="1492"/>
            <w:vAlign w:val="center"/>
          </w:tcPr>
          <w:p>
            <w:pPr>
              <w:spacing w:after="0" w:before="0"/>
            </w:pPr>
            <w:r>
              <w:rPr>
                <w:rFonts w:ascii="Times New Roman" w:hAnsi="Times New Roman"/>
                <w:color w:val="14191C"/>
                <w:sz w:val="15"/>
              </w:rPr>
              <w:t>Days 90-180</w:t>
            </w:r>
          </w:p>
        </w:tc>
        <w:tc>
          <w:tcPr>
            <w:tcW w:type="dxa" w:w="2713"/>
            <w:vAlign w:val="center"/>
          </w:tcPr>
          <w:p>
            <w:pPr>
              <w:spacing w:after="0" w:before="0"/>
            </w:pPr>
            <w:r>
              <w:rPr>
                <w:rFonts w:ascii="Times New Roman" w:hAnsi="Times New Roman"/>
                <w:color w:val="14191C"/>
                <w:sz w:val="15"/>
              </w:rPr>
              <w:t>Treasury, IRS, Infrastructure Authority, OPM, agency chief engineers</w:t>
            </w:r>
          </w:p>
        </w:tc>
        <w:tc>
          <w:tcPr>
            <w:tcW w:type="dxa" w:w="5630"/>
            <w:vAlign w:val="center"/>
          </w:tcPr>
          <w:p>
            <w:pPr>
              <w:spacing w:after="0" w:before="0"/>
            </w:pPr>
            <w:r>
              <w:rPr>
                <w:rFonts w:ascii="Times New Roman" w:hAnsi="Times New Roman"/>
                <w:color w:val="14191C"/>
                <w:sz w:val="15"/>
              </w:rPr>
              <w:t>Tax collection plan, acquisition templates, first facility charter standards, science hiring system, independent risk boards and public dashboard specifications.</w:t>
            </w:r>
          </w:p>
        </w:tc>
      </w:tr>
      <w:tr>
        <w:trPr>
          <w:cantSplit/>
        </w:trPr>
        <w:tc>
          <w:tcPr>
            <w:tcW w:type="dxa" w:w="1492"/>
            <w:vAlign w:val="center"/>
          </w:tcPr>
          <w:p>
            <w:pPr>
              <w:spacing w:after="0" w:before="0"/>
            </w:pPr>
            <w:r>
              <w:rPr>
                <w:rFonts w:ascii="Times New Roman" w:hAnsi="Times New Roman"/>
                <w:color w:val="14191C"/>
                <w:sz w:val="15"/>
              </w:rPr>
              <w:t>Months 6-12</w:t>
            </w:r>
          </w:p>
        </w:tc>
        <w:tc>
          <w:tcPr>
            <w:tcW w:type="dxa" w:w="2713"/>
            <w:vAlign w:val="center"/>
          </w:tcPr>
          <w:p>
            <w:pPr>
              <w:spacing w:after="0" w:before="0"/>
            </w:pPr>
            <w:r>
              <w:rPr>
                <w:rFonts w:ascii="Times New Roman" w:hAnsi="Times New Roman"/>
                <w:color w:val="14191C"/>
                <w:sz w:val="15"/>
              </w:rPr>
              <w:t>NASA, DARPA, NSF, DOE, NIST, international lead agencies</w:t>
            </w:r>
          </w:p>
        </w:tc>
        <w:tc>
          <w:tcPr>
            <w:tcW w:type="dxa" w:w="5630"/>
            <w:vAlign w:val="center"/>
          </w:tcPr>
          <w:p>
            <w:pPr>
              <w:spacing w:after="0" w:before="0"/>
            </w:pPr>
            <w:r>
              <w:rPr>
                <w:rFonts w:ascii="Times New Roman" w:hAnsi="Times New Roman"/>
                <w:color w:val="14191C"/>
                <w:sz w:val="15"/>
              </w:rPr>
              <w:t>Full legal budget authority in first applicable fiscal year, open competition calendar, apprenticeships, compute access, science user-facility queues and early instrument repair.</w:t>
            </w:r>
          </w:p>
        </w:tc>
      </w:tr>
      <w:tr>
        <w:trPr>
          <w:cantSplit/>
        </w:trPr>
        <w:tc>
          <w:tcPr>
            <w:tcW w:type="dxa" w:w="1492"/>
            <w:vAlign w:val="center"/>
          </w:tcPr>
          <w:p>
            <w:pPr>
              <w:spacing w:after="0" w:before="0"/>
            </w:pPr>
            <w:r>
              <w:rPr>
                <w:rFonts w:ascii="Times New Roman" w:hAnsi="Times New Roman"/>
                <w:color w:val="14191C"/>
                <w:sz w:val="15"/>
              </w:rPr>
              <w:t>Year 2</w:t>
            </w:r>
          </w:p>
        </w:tc>
        <w:tc>
          <w:tcPr>
            <w:tcW w:type="dxa" w:w="2713"/>
            <w:vAlign w:val="center"/>
          </w:tcPr>
          <w:p>
            <w:pPr>
              <w:spacing w:after="0" w:before="0"/>
            </w:pPr>
            <w:r>
              <w:rPr>
                <w:rFonts w:ascii="Times New Roman" w:hAnsi="Times New Roman"/>
                <w:color w:val="14191C"/>
                <w:sz w:val="15"/>
              </w:rPr>
              <w:t>NASA/DARPA and Network Council</w:t>
            </w:r>
          </w:p>
        </w:tc>
        <w:tc>
          <w:tcPr>
            <w:tcW w:type="dxa" w:w="5630"/>
            <w:vAlign w:val="center"/>
          </w:tcPr>
          <w:p>
            <w:pPr>
              <w:spacing w:after="0" w:before="0"/>
            </w:pPr>
            <w:r>
              <w:rPr>
                <w:rFonts w:ascii="Times New Roman" w:hAnsi="Times New Roman"/>
                <w:color w:val="14191C"/>
                <w:sz w:val="15"/>
              </w:rPr>
              <w:t>Technician and mission engineer staffing, project baseline review, early concept awards, common-use facility work, independent replication pathways.</w:t>
            </w:r>
          </w:p>
        </w:tc>
      </w:tr>
      <w:tr>
        <w:trPr>
          <w:cantSplit/>
        </w:trPr>
        <w:tc>
          <w:tcPr>
            <w:tcW w:type="dxa" w:w="1492"/>
            <w:vAlign w:val="center"/>
          </w:tcPr>
          <w:p>
            <w:pPr>
              <w:spacing w:after="0" w:before="0"/>
            </w:pPr>
            <w:r>
              <w:rPr>
                <w:rFonts w:ascii="Times New Roman" w:hAnsi="Times New Roman"/>
                <w:color w:val="14191C"/>
                <w:sz w:val="15"/>
              </w:rPr>
              <w:t>Year 3</w:t>
            </w:r>
          </w:p>
        </w:tc>
        <w:tc>
          <w:tcPr>
            <w:tcW w:type="dxa" w:w="2713"/>
            <w:vAlign w:val="center"/>
          </w:tcPr>
          <w:p>
            <w:pPr>
              <w:spacing w:after="0" w:before="0"/>
            </w:pPr>
            <w:r>
              <w:rPr>
                <w:rFonts w:ascii="Times New Roman" w:hAnsi="Times New Roman"/>
                <w:color w:val="14191C"/>
                <w:sz w:val="15"/>
              </w:rPr>
              <w:t>Infrastructure Authority, GSA, agencies</w:t>
            </w:r>
          </w:p>
        </w:tc>
        <w:tc>
          <w:tcPr>
            <w:tcW w:type="dxa" w:w="5630"/>
            <w:vAlign w:val="center"/>
          </w:tcPr>
          <w:p>
            <w:pPr>
              <w:spacing w:after="0" w:before="0"/>
            </w:pPr>
            <w:r>
              <w:rPr>
                <w:rFonts w:ascii="Times New Roman" w:hAnsi="Times New Roman"/>
                <w:color w:val="14191C"/>
                <w:sz w:val="15"/>
              </w:rPr>
              <w:t>First wave of major construction after readiness gates; completed user-access contracts, operating cost commitments and infrastructure condition audit.</w:t>
            </w:r>
          </w:p>
        </w:tc>
      </w:tr>
      <w:tr>
        <w:trPr>
          <w:cantSplit/>
        </w:trPr>
        <w:tc>
          <w:tcPr>
            <w:tcW w:type="dxa" w:w="1492"/>
            <w:vAlign w:val="center"/>
          </w:tcPr>
          <w:p>
            <w:pPr>
              <w:spacing w:after="0" w:before="0"/>
            </w:pPr>
            <w:r>
              <w:rPr>
                <w:rFonts w:ascii="Times New Roman" w:hAnsi="Times New Roman"/>
                <w:color w:val="14191C"/>
                <w:sz w:val="15"/>
              </w:rPr>
              <w:t>Years 4-6</w:t>
            </w:r>
          </w:p>
        </w:tc>
        <w:tc>
          <w:tcPr>
            <w:tcW w:type="dxa" w:w="2713"/>
            <w:vAlign w:val="center"/>
          </w:tcPr>
          <w:p>
            <w:pPr>
              <w:spacing w:after="0" w:before="0"/>
            </w:pPr>
            <w:r>
              <w:rPr>
                <w:rFonts w:ascii="Times New Roman" w:hAnsi="Times New Roman"/>
                <w:color w:val="14191C"/>
                <w:sz w:val="15"/>
              </w:rPr>
              <w:t>Agency chief scientists, engineers, CFOs</w:t>
            </w:r>
          </w:p>
        </w:tc>
        <w:tc>
          <w:tcPr>
            <w:tcW w:type="dxa" w:w="5630"/>
            <w:vAlign w:val="center"/>
          </w:tcPr>
          <w:p>
            <w:pPr>
              <w:spacing w:after="0" w:before="0"/>
            </w:pPr>
            <w:r>
              <w:rPr>
                <w:rFonts w:ascii="Times New Roman" w:hAnsi="Times New Roman"/>
                <w:color w:val="14191C"/>
                <w:sz w:val="15"/>
              </w:rPr>
              <w:t>Major missions, grand instruments, computing and fabrication facilities, scientific field renewal, technology transition, progress on international projects.</w:t>
            </w:r>
          </w:p>
        </w:tc>
      </w:tr>
      <w:tr>
        <w:trPr>
          <w:cantSplit/>
        </w:trPr>
        <w:tc>
          <w:tcPr>
            <w:tcW w:type="dxa" w:w="1492"/>
            <w:vAlign w:val="center"/>
          </w:tcPr>
          <w:p>
            <w:pPr>
              <w:spacing w:after="0" w:before="0"/>
            </w:pPr>
            <w:r>
              <w:rPr>
                <w:rFonts w:ascii="Times New Roman" w:hAnsi="Times New Roman"/>
                <w:color w:val="14191C"/>
                <w:sz w:val="15"/>
              </w:rPr>
              <w:t>Years 7-10</w:t>
            </w:r>
          </w:p>
        </w:tc>
        <w:tc>
          <w:tcPr>
            <w:tcW w:type="dxa" w:w="2713"/>
            <w:vAlign w:val="center"/>
          </w:tcPr>
          <w:p>
            <w:pPr>
              <w:spacing w:after="0" w:before="0"/>
            </w:pPr>
            <w:r>
              <w:rPr>
                <w:rFonts w:ascii="Times New Roman" w:hAnsi="Times New Roman"/>
                <w:color w:val="14191C"/>
                <w:sz w:val="15"/>
              </w:rPr>
              <w:t>Treasury, GAO, National Academies and agencies</w:t>
            </w:r>
          </w:p>
        </w:tc>
        <w:tc>
          <w:tcPr>
            <w:tcW w:type="dxa" w:w="5630"/>
            <w:vAlign w:val="center"/>
          </w:tcPr>
          <w:p>
            <w:pPr>
              <w:spacing w:after="0" w:before="0"/>
            </w:pPr>
            <w:r>
              <w:rPr>
                <w:rFonts w:ascii="Times New Roman" w:hAnsi="Times New Roman"/>
                <w:color w:val="14191C"/>
                <w:sz w:val="15"/>
              </w:rPr>
              <w:t>Capital project commissioning, scientific productivity audit, workforce succession, asset replacement, fiscal sustainability and institutional design review.</w:t>
            </w:r>
          </w:p>
        </w:tc>
      </w:tr>
      <w:tr>
        <w:trPr>
          <w:cantSplit/>
        </w:trPr>
        <w:tc>
          <w:tcPr>
            <w:tcW w:type="dxa" w:w="1492"/>
            <w:vAlign w:val="center"/>
          </w:tcPr>
          <w:p>
            <w:pPr>
              <w:spacing w:after="0" w:before="0"/>
            </w:pPr>
            <w:r>
              <w:rPr>
                <w:rFonts w:ascii="Times New Roman" w:hAnsi="Times New Roman"/>
                <w:color w:val="14191C"/>
                <w:sz w:val="15"/>
              </w:rPr>
              <w:t>Every 5 years</w:t>
            </w:r>
          </w:p>
        </w:tc>
        <w:tc>
          <w:tcPr>
            <w:tcW w:type="dxa" w:w="2713"/>
            <w:vAlign w:val="center"/>
          </w:tcPr>
          <w:p>
            <w:pPr>
              <w:spacing w:after="0" w:before="0"/>
            </w:pPr>
            <w:r>
              <w:rPr>
                <w:rFonts w:ascii="Times New Roman" w:hAnsi="Times New Roman"/>
                <w:color w:val="14191C"/>
                <w:sz w:val="15"/>
              </w:rPr>
              <w:t>President, GAO, scientific councils</w:t>
            </w:r>
          </w:p>
        </w:tc>
        <w:tc>
          <w:tcPr>
            <w:tcW w:type="dxa" w:w="5630"/>
            <w:vAlign w:val="center"/>
          </w:tcPr>
          <w:p>
            <w:pPr>
              <w:spacing w:after="0" w:before="0"/>
            </w:pPr>
            <w:r>
              <w:rPr>
                <w:rFonts w:ascii="Times New Roman" w:hAnsi="Times New Roman"/>
                <w:color w:val="14191C"/>
                <w:sz w:val="15"/>
              </w:rPr>
              <w:t>Capacity and rights review; law and funding update recommendations.</w:t>
            </w:r>
          </w:p>
        </w:tc>
      </w:tr>
      <w:tr>
        <w:trPr>
          <w:cantSplit/>
        </w:trPr>
        <w:tc>
          <w:tcPr>
            <w:tcW w:type="dxa" w:w="1492"/>
            <w:vAlign w:val="center"/>
          </w:tcPr>
          <w:p>
            <w:pPr>
              <w:spacing w:after="0" w:before="0"/>
            </w:pPr>
            <w:r>
              <w:rPr>
                <w:rFonts w:ascii="Times New Roman" w:hAnsi="Times New Roman"/>
                <w:color w:val="14191C"/>
                <w:sz w:val="15"/>
              </w:rPr>
              <w:t>Every 20-25 years</w:t>
            </w:r>
          </w:p>
        </w:tc>
        <w:tc>
          <w:tcPr>
            <w:tcW w:type="dxa" w:w="2713"/>
            <w:vAlign w:val="center"/>
          </w:tcPr>
          <w:p>
            <w:pPr>
              <w:spacing w:after="0" w:before="0"/>
            </w:pPr>
            <w:r>
              <w:rPr>
                <w:rFonts w:ascii="Times New Roman" w:hAnsi="Times New Roman"/>
                <w:color w:val="14191C"/>
                <w:sz w:val="15"/>
              </w:rPr>
              <w:t>Independent multidisciplinary body</w:t>
            </w:r>
          </w:p>
        </w:tc>
        <w:tc>
          <w:tcPr>
            <w:tcW w:type="dxa" w:w="5630"/>
            <w:vAlign w:val="center"/>
          </w:tcPr>
          <w:p>
            <w:pPr>
              <w:spacing w:after="0" w:before="0"/>
            </w:pPr>
            <w:r>
              <w:rPr>
                <w:rFonts w:ascii="Times New Roman" w:hAnsi="Times New Roman"/>
                <w:color w:val="14191C"/>
                <w:sz w:val="15"/>
              </w:rPr>
              <w:t>100-year scenarios and 500-year stewardship analysis with uncertainty ranges.</w:t>
            </w:r>
          </w:p>
        </w:tc>
      </w:tr>
    </w:tbl>
    <w:p>
      <w:pPr>
        <w:spacing w:after="20"/>
      </w:pPr>
    </w:p>
    <w:p>
      <w:pPr>
        <w:pStyle w:val="Heading2"/>
      </w:pPr>
      <w:r>
        <w:t>Capital asset execution pathway</w:t>
      </w:r>
    </w:p>
    <w:p>
      <w:r>
        <w:rPr>
          <w:b w:val="0"/>
          <w:i w:val="0"/>
        </w:rPr>
        <w:t>The government cannot build a $5 billion instrument by ordering $5 billion of finished capacity on day one. The Act therefore requires feasibility and reference-class comparison; scientific site selection; engineering and environmental review; utility and supplier assurance; detailed design; independent cost baseline; manufacturing and construction; commissioning; and continuous maintenance and operation. Legal budget authority remains full while obligations and outlays follow these gates.</w:t>
      </w:r>
    </w:p>
    <w:p>
      <w:pPr>
        <w:pStyle w:val="Heading2"/>
      </w:pPr>
      <w:r>
        <w:t>Human-capital execution pathway</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2103"/>
            <w:shd w:fill="E8EBED"/>
          </w:tcPr>
          <w:p>
            <w:pPr>
              <w:spacing w:after="0"/>
            </w:pPr>
            <w:r>
              <w:rPr>
                <w:rFonts w:ascii="Times New Roman" w:hAnsi="Times New Roman"/>
                <w:b/>
                <w:color w:val="172C3C"/>
                <w:sz w:val="16"/>
              </w:rPr>
              <w:t>Role cluster</w:t>
            </w:r>
          </w:p>
        </w:tc>
        <w:tc>
          <w:tcPr>
            <w:tcW w:type="dxa" w:w="2713"/>
            <w:shd w:fill="E8EBED"/>
          </w:tcPr>
          <w:p>
            <w:pPr>
              <w:spacing w:after="0"/>
            </w:pPr>
            <w:r>
              <w:rPr>
                <w:rFonts w:ascii="Times New Roman" w:hAnsi="Times New Roman"/>
                <w:b/>
                <w:color w:val="172C3C"/>
                <w:sz w:val="16"/>
              </w:rPr>
              <w:t>Immediate constraint</w:t>
            </w:r>
          </w:p>
        </w:tc>
        <w:tc>
          <w:tcPr>
            <w:tcW w:type="dxa" w:w="5019"/>
            <w:shd w:fill="E8EBED"/>
          </w:tcPr>
          <w:p>
            <w:pPr>
              <w:spacing w:after="0"/>
            </w:pPr>
            <w:r>
              <w:rPr>
                <w:rFonts w:ascii="Times New Roman" w:hAnsi="Times New Roman"/>
                <w:b/>
                <w:color w:val="172C3C"/>
                <w:sz w:val="16"/>
              </w:rPr>
              <w:t>Long-run response</w:t>
            </w:r>
          </w:p>
        </w:tc>
      </w:tr>
      <w:tr>
        <w:trPr>
          <w:cantSplit/>
        </w:trPr>
        <w:tc>
          <w:tcPr>
            <w:tcW w:type="dxa" w:w="2103"/>
            <w:vAlign w:val="center"/>
          </w:tcPr>
          <w:p>
            <w:pPr>
              <w:spacing w:after="0" w:before="0"/>
            </w:pPr>
            <w:r>
              <w:rPr>
                <w:rFonts w:ascii="Times New Roman" w:hAnsi="Times New Roman"/>
                <w:color w:val="14191C"/>
                <w:sz w:val="15"/>
              </w:rPr>
              <w:t>Scientific investigators</w:t>
            </w:r>
          </w:p>
        </w:tc>
        <w:tc>
          <w:tcPr>
            <w:tcW w:type="dxa" w:w="2713"/>
            <w:vAlign w:val="center"/>
          </w:tcPr>
          <w:p>
            <w:pPr>
              <w:spacing w:after="0" w:before="0"/>
            </w:pPr>
            <w:r>
              <w:rPr>
                <w:rFonts w:ascii="Times New Roman" w:hAnsi="Times New Roman"/>
                <w:color w:val="14191C"/>
                <w:sz w:val="15"/>
              </w:rPr>
              <w:t>Competition and access to existing instruments</w:t>
            </w:r>
          </w:p>
        </w:tc>
        <w:tc>
          <w:tcPr>
            <w:tcW w:type="dxa" w:w="5019"/>
            <w:vAlign w:val="center"/>
          </w:tcPr>
          <w:p>
            <w:pPr>
              <w:spacing w:after="0" w:before="0"/>
            </w:pPr>
            <w:r>
              <w:rPr>
                <w:rFonts w:ascii="Times New Roman" w:hAnsi="Times New Roman"/>
                <w:color w:val="14191C"/>
                <w:sz w:val="15"/>
              </w:rPr>
              <w:t>Independent award windows, facility time, grants, research software support.</w:t>
            </w:r>
          </w:p>
        </w:tc>
      </w:tr>
      <w:tr>
        <w:trPr>
          <w:cantSplit/>
        </w:trPr>
        <w:tc>
          <w:tcPr>
            <w:tcW w:type="dxa" w:w="2103"/>
            <w:vAlign w:val="center"/>
          </w:tcPr>
          <w:p>
            <w:pPr>
              <w:spacing w:after="0" w:before="0"/>
            </w:pPr>
            <w:r>
              <w:rPr>
                <w:rFonts w:ascii="Times New Roman" w:hAnsi="Times New Roman"/>
                <w:color w:val="14191C"/>
                <w:sz w:val="15"/>
              </w:rPr>
              <w:t>Systems engineers and program managers</w:t>
            </w:r>
          </w:p>
        </w:tc>
        <w:tc>
          <w:tcPr>
            <w:tcW w:type="dxa" w:w="2713"/>
            <w:vAlign w:val="center"/>
          </w:tcPr>
          <w:p>
            <w:pPr>
              <w:spacing w:after="0" w:before="0"/>
            </w:pPr>
            <w:r>
              <w:rPr>
                <w:rFonts w:ascii="Times New Roman" w:hAnsi="Times New Roman"/>
                <w:color w:val="14191C"/>
                <w:sz w:val="15"/>
              </w:rPr>
              <w:t>Limited Government oversight bandwidth</w:t>
            </w:r>
          </w:p>
        </w:tc>
        <w:tc>
          <w:tcPr>
            <w:tcW w:type="dxa" w:w="5019"/>
            <w:vAlign w:val="center"/>
          </w:tcPr>
          <w:p>
            <w:pPr>
              <w:spacing w:after="0" w:before="0"/>
            </w:pPr>
            <w:r>
              <w:rPr>
                <w:rFonts w:ascii="Times New Roman" w:hAnsi="Times New Roman"/>
                <w:color w:val="14191C"/>
                <w:sz w:val="15"/>
              </w:rPr>
              <w:t>Technical leadership track, market-sensitive pay, project assurance and training.</w:t>
            </w:r>
          </w:p>
        </w:tc>
      </w:tr>
      <w:tr>
        <w:trPr>
          <w:cantSplit/>
        </w:trPr>
        <w:tc>
          <w:tcPr>
            <w:tcW w:type="dxa" w:w="2103"/>
            <w:vAlign w:val="center"/>
          </w:tcPr>
          <w:p>
            <w:pPr>
              <w:spacing w:after="0" w:before="0"/>
            </w:pPr>
            <w:r>
              <w:rPr>
                <w:rFonts w:ascii="Times New Roman" w:hAnsi="Times New Roman"/>
                <w:color w:val="14191C"/>
                <w:sz w:val="15"/>
              </w:rPr>
              <w:t>Technicians and trades</w:t>
            </w:r>
          </w:p>
        </w:tc>
        <w:tc>
          <w:tcPr>
            <w:tcW w:type="dxa" w:w="2713"/>
            <w:vAlign w:val="center"/>
          </w:tcPr>
          <w:p>
            <w:pPr>
              <w:spacing w:after="0" w:before="0"/>
            </w:pPr>
            <w:r>
              <w:rPr>
                <w:rFonts w:ascii="Times New Roman" w:hAnsi="Times New Roman"/>
                <w:color w:val="14191C"/>
                <w:sz w:val="15"/>
              </w:rPr>
              <w:t>Long qualification pipelines</w:t>
            </w:r>
          </w:p>
        </w:tc>
        <w:tc>
          <w:tcPr>
            <w:tcW w:type="dxa" w:w="5019"/>
            <w:vAlign w:val="center"/>
          </w:tcPr>
          <w:p>
            <w:pPr>
              <w:spacing w:after="0" w:before="0"/>
            </w:pPr>
            <w:r>
              <w:rPr>
                <w:rFonts w:ascii="Times New Roman" w:hAnsi="Times New Roman"/>
                <w:color w:val="14191C"/>
                <w:sz w:val="15"/>
              </w:rPr>
              <w:t>Paid apprenticeships, community colleges, portable competencies and practical mentoring.</w:t>
            </w:r>
          </w:p>
        </w:tc>
      </w:tr>
      <w:tr>
        <w:trPr>
          <w:cantSplit/>
        </w:trPr>
        <w:tc>
          <w:tcPr>
            <w:tcW w:type="dxa" w:w="2103"/>
            <w:vAlign w:val="center"/>
          </w:tcPr>
          <w:p>
            <w:pPr>
              <w:spacing w:after="0" w:before="0"/>
            </w:pPr>
            <w:r>
              <w:rPr>
                <w:rFonts w:ascii="Times New Roman" w:hAnsi="Times New Roman"/>
                <w:color w:val="14191C"/>
                <w:sz w:val="15"/>
              </w:rPr>
              <w:t>Procurement and grant specialists</w:t>
            </w:r>
          </w:p>
        </w:tc>
        <w:tc>
          <w:tcPr>
            <w:tcW w:type="dxa" w:w="2713"/>
            <w:vAlign w:val="center"/>
          </w:tcPr>
          <w:p>
            <w:pPr>
              <w:spacing w:after="0" w:before="0"/>
            </w:pPr>
            <w:r>
              <w:rPr>
                <w:rFonts w:ascii="Times New Roman" w:hAnsi="Times New Roman"/>
                <w:color w:val="14191C"/>
                <w:sz w:val="15"/>
              </w:rPr>
              <w:t>Slow awards and excessive compliance friction</w:t>
            </w:r>
          </w:p>
        </w:tc>
        <w:tc>
          <w:tcPr>
            <w:tcW w:type="dxa" w:w="5019"/>
            <w:vAlign w:val="center"/>
          </w:tcPr>
          <w:p>
            <w:pPr>
              <w:spacing w:after="0" w:before="0"/>
            </w:pPr>
            <w:r>
              <w:rPr>
                <w:rFonts w:ascii="Times New Roman" w:hAnsi="Times New Roman"/>
                <w:color w:val="14191C"/>
                <w:sz w:val="15"/>
              </w:rPr>
              <w:t>Simplified technical agreements, specialized officers, measurable time-to-award.</w:t>
            </w:r>
          </w:p>
        </w:tc>
      </w:tr>
      <w:tr>
        <w:trPr>
          <w:cantSplit/>
        </w:trPr>
        <w:tc>
          <w:tcPr>
            <w:tcW w:type="dxa" w:w="2103"/>
            <w:vAlign w:val="center"/>
          </w:tcPr>
          <w:p>
            <w:pPr>
              <w:spacing w:after="0" w:before="0"/>
            </w:pPr>
            <w:r>
              <w:rPr>
                <w:rFonts w:ascii="Times New Roman" w:hAnsi="Times New Roman"/>
                <w:color w:val="14191C"/>
                <w:sz w:val="15"/>
              </w:rPr>
              <w:t>Computing and data professionals</w:t>
            </w:r>
          </w:p>
        </w:tc>
        <w:tc>
          <w:tcPr>
            <w:tcW w:type="dxa" w:w="2713"/>
            <w:vAlign w:val="center"/>
          </w:tcPr>
          <w:p>
            <w:pPr>
              <w:spacing w:after="0" w:before="0"/>
            </w:pPr>
            <w:r>
              <w:rPr>
                <w:rFonts w:ascii="Times New Roman" w:hAnsi="Times New Roman"/>
                <w:color w:val="14191C"/>
                <w:sz w:val="15"/>
              </w:rPr>
              <w:t>AI/HPC talent and energy constraints</w:t>
            </w:r>
          </w:p>
        </w:tc>
        <w:tc>
          <w:tcPr>
            <w:tcW w:type="dxa" w:w="5019"/>
            <w:vAlign w:val="center"/>
          </w:tcPr>
          <w:p>
            <w:pPr>
              <w:spacing w:after="0" w:before="0"/>
            </w:pPr>
            <w:r>
              <w:rPr>
                <w:rFonts w:ascii="Times New Roman" w:hAnsi="Times New Roman"/>
                <w:color w:val="14191C"/>
                <w:sz w:val="15"/>
              </w:rPr>
              <w:t>Distributed compute reserve, software career ladders, reproducible workflows.</w:t>
            </w:r>
          </w:p>
        </w:tc>
      </w:tr>
      <w:tr>
        <w:trPr>
          <w:cantSplit/>
        </w:trPr>
        <w:tc>
          <w:tcPr>
            <w:tcW w:type="dxa" w:w="2103"/>
            <w:vAlign w:val="center"/>
          </w:tcPr>
          <w:p>
            <w:pPr>
              <w:spacing w:after="0" w:before="0"/>
            </w:pPr>
            <w:r>
              <w:rPr>
                <w:rFonts w:ascii="Times New Roman" w:hAnsi="Times New Roman"/>
                <w:color w:val="14191C"/>
                <w:sz w:val="15"/>
              </w:rPr>
              <w:t>Safety, research-security and integrity staff</w:t>
            </w:r>
          </w:p>
        </w:tc>
        <w:tc>
          <w:tcPr>
            <w:tcW w:type="dxa" w:w="2713"/>
            <w:vAlign w:val="center"/>
          </w:tcPr>
          <w:p>
            <w:pPr>
              <w:spacing w:after="0" w:before="0"/>
            </w:pPr>
            <w:r>
              <w:rPr>
                <w:rFonts w:ascii="Times New Roman" w:hAnsi="Times New Roman"/>
                <w:color w:val="14191C"/>
                <w:sz w:val="15"/>
              </w:rPr>
              <w:t>Independent assessment capacity</w:t>
            </w:r>
          </w:p>
        </w:tc>
        <w:tc>
          <w:tcPr>
            <w:tcW w:type="dxa" w:w="5019"/>
            <w:vAlign w:val="center"/>
          </w:tcPr>
          <w:p>
            <w:pPr>
              <w:spacing w:after="0" w:before="0"/>
            </w:pPr>
            <w:r>
              <w:rPr>
                <w:rFonts w:ascii="Times New Roman" w:hAnsi="Times New Roman"/>
                <w:color w:val="14191C"/>
                <w:sz w:val="15"/>
              </w:rPr>
              <w:t>Cross-agency reviewers, rights-protective risk tiers and technical incident systems.</w:t>
            </w:r>
          </w:p>
        </w:tc>
      </w:tr>
      <w:tr>
        <w:trPr>
          <w:cantSplit/>
        </w:trPr>
        <w:tc>
          <w:tcPr>
            <w:tcW w:type="dxa" w:w="2103"/>
            <w:vAlign w:val="center"/>
          </w:tcPr>
          <w:p>
            <w:pPr>
              <w:spacing w:after="0" w:before="0"/>
            </w:pPr>
            <w:r>
              <w:rPr>
                <w:rFonts w:ascii="Times New Roman" w:hAnsi="Times New Roman"/>
                <w:color w:val="14191C"/>
                <w:sz w:val="15"/>
              </w:rPr>
              <w:t>Operations, maintenance and archival staff</w:t>
            </w:r>
          </w:p>
        </w:tc>
        <w:tc>
          <w:tcPr>
            <w:tcW w:type="dxa" w:w="2713"/>
            <w:vAlign w:val="center"/>
          </w:tcPr>
          <w:p>
            <w:pPr>
              <w:spacing w:after="0" w:before="0"/>
            </w:pPr>
            <w:r>
              <w:rPr>
                <w:rFonts w:ascii="Times New Roman" w:hAnsi="Times New Roman"/>
                <w:color w:val="14191C"/>
                <w:sz w:val="15"/>
              </w:rPr>
              <w:t>New facilities without operating capacity</w:t>
            </w:r>
          </w:p>
        </w:tc>
        <w:tc>
          <w:tcPr>
            <w:tcW w:type="dxa" w:w="5019"/>
            <w:vAlign w:val="center"/>
          </w:tcPr>
          <w:p>
            <w:pPr>
              <w:spacing w:after="0" w:before="0"/>
            </w:pPr>
            <w:r>
              <w:rPr>
                <w:rFonts w:ascii="Times New Roman" w:hAnsi="Times New Roman"/>
                <w:color w:val="14191C"/>
                <w:sz w:val="15"/>
              </w:rPr>
              <w:t>Lifecycle costs and succession funded before capital commissioning.</w:t>
            </w:r>
          </w:p>
        </w:tc>
      </w:tr>
    </w:tbl>
    <w:p>
      <w:pPr>
        <w:spacing w:after="20"/>
      </w:pPr>
    </w:p>
    <w:p>
      <w:pPr>
        <w:pStyle w:val="Heading2"/>
      </w:pPr>
      <w:r>
        <w:t>Program risk ownership</w:t>
      </w:r>
    </w:p>
    <w:p>
      <w:r>
        <w:rPr>
          <w:b w:val="0"/>
          <w:i w:val="0"/>
        </w:rPr>
        <w:t>NASA retains mission and flight safety, DARPA retains defense program supervision, NSF and other science agencies retain investigator-led peer review, the Infrastructure Authority manages designated capital delivery, Treasury administers fiscal accounting, OPM oversees personnel systems, and the relevant Inspectors General and GAO independently review legality and performance. Coordination shall not become operational command by a new super-agency.</w:t>
      </w:r>
    </w:p>
    <w:p>
      <w:pPr>
        <w:pStyle w:val="Heading2"/>
      </w:pPr>
      <w:r>
        <w:t>Critical implementation failure points</w:t>
      </w:r>
    </w:p>
    <w:p>
      <w:pPr>
        <w:ind w:left="346" w:hanging="202"/>
      </w:pPr>
      <w:r>
        <w:rPr>
          <w:b/>
        </w:rPr>
        <w:t xml:space="preserve">•  </w:t>
      </w:r>
      <w:r>
        <w:t>Shortages in trained project managers, Government acquisition officers, independent safety experts, precision fabrication trades, and scientific computing operators.</w:t>
      </w:r>
    </w:p>
    <w:p>
      <w:pPr>
        <w:ind w:left="346" w:hanging="202"/>
      </w:pPr>
      <w:r>
        <w:rPr>
          <w:b/>
        </w:rPr>
        <w:t xml:space="preserve">•  </w:t>
      </w:r>
      <w:r>
        <w:t>Underestimated site power, water, access, safety, land or environmental obligations that delay scientific facilities despite secured appropriations.</w:t>
      </w:r>
    </w:p>
    <w:p>
      <w:pPr>
        <w:ind w:left="346" w:hanging="202"/>
      </w:pPr>
      <w:r>
        <w:rPr>
          <w:b/>
        </w:rPr>
        <w:t xml:space="preserve">•  </w:t>
      </w:r>
      <w:r>
        <w:t>Major program designs dependent on unverified propulsion, AI reliability, autonomous capability, or unproven manufacturing assumptions.</w:t>
      </w:r>
    </w:p>
    <w:p>
      <w:pPr>
        <w:ind w:left="346" w:hanging="202"/>
      </w:pPr>
      <w:r>
        <w:rPr>
          <w:b/>
        </w:rPr>
        <w:t xml:space="preserve">•  </w:t>
      </w:r>
      <w:r>
        <w:t>Overconcentration of suppliers or a single technical architecture, creating dependency and bargaining power at taxpayer expense.</w:t>
      </w:r>
    </w:p>
    <w:p>
      <w:pPr>
        <w:ind w:left="346" w:hanging="202"/>
      </w:pPr>
      <w:r>
        <w:rPr>
          <w:b/>
        </w:rPr>
        <w:t xml:space="preserve">•  </w:t>
      </w:r>
      <w:r>
        <w:t>Misleading progress measures that equate obligations with scientific discoveries, patents with public value, or construction with usable research capability.</w:t>
      </w:r>
    </w:p>
    <w:p>
      <w:r>
        <w:br w:type="page"/>
      </w:r>
    </w:p>
    <w:p>
      <w:pPr>
        <w:pStyle w:val="Heading1"/>
      </w:pPr>
      <w:r>
        <w:t>ANNEX D — SCIENTIFIC AND TECHNOLOGICAL MISSION ROADMAP</w:t>
      </w:r>
    </w:p>
    <w:p>
      <w:pPr>
        <w:pStyle w:val="Heading2"/>
      </w:pPr>
      <w:r>
        <w:t>Research portfolios and validation standards</w:t>
      </w:r>
    </w:p>
    <w:tbl>
      <w:tblPr>
        <w:tblStyle w:val="TableGrid"/>
        <w:tblW w:type="auto" w:w="0"/>
        <w:jc w:val="center"/>
        <w:tblLayout w:type="fixed"/>
        <w:tblLook w:firstColumn="1" w:firstRow="1" w:lastColumn="0" w:lastRow="0" w:noHBand="0" w:noVBand="1" w:val="04A0"/>
      </w:tblPr>
      <w:tblGrid>
        <w:gridCol w:w="2462"/>
        <w:gridCol w:w="2462"/>
        <w:gridCol w:w="2462"/>
        <w:gridCol w:w="2462"/>
      </w:tblGrid>
      <w:tr>
        <w:trPr>
          <w:tblHeader w:val="true"/>
          <w:cantSplit/>
        </w:trPr>
        <w:tc>
          <w:tcPr>
            <w:tcW w:type="dxa" w:w="2259"/>
            <w:shd w:fill="E8EBED"/>
          </w:tcPr>
          <w:p>
            <w:pPr>
              <w:spacing w:after="0"/>
            </w:pPr>
            <w:r>
              <w:rPr>
                <w:rFonts w:ascii="Times New Roman" w:hAnsi="Times New Roman"/>
                <w:b/>
                <w:color w:val="172C3C"/>
                <w:sz w:val="15"/>
              </w:rPr>
              <w:t>Field</w:t>
            </w:r>
          </w:p>
        </w:tc>
        <w:tc>
          <w:tcPr>
            <w:tcW w:type="dxa" w:w="3057"/>
            <w:shd w:fill="E8EBED"/>
          </w:tcPr>
          <w:p>
            <w:pPr>
              <w:spacing w:after="0"/>
            </w:pPr>
            <w:r>
              <w:rPr>
                <w:rFonts w:ascii="Times New Roman" w:hAnsi="Times New Roman"/>
                <w:b/>
                <w:color w:val="172C3C"/>
                <w:sz w:val="15"/>
              </w:rPr>
              <w:t>Core science or engineering objective</w:t>
            </w:r>
          </w:p>
        </w:tc>
        <w:tc>
          <w:tcPr>
            <w:tcW w:type="dxa" w:w="2791"/>
            <w:shd w:fill="E8EBED"/>
          </w:tcPr>
          <w:p>
            <w:pPr>
              <w:spacing w:after="0"/>
            </w:pPr>
            <w:r>
              <w:rPr>
                <w:rFonts w:ascii="Times New Roman" w:hAnsi="Times New Roman"/>
                <w:b/>
                <w:color w:val="172C3C"/>
                <w:sz w:val="15"/>
              </w:rPr>
              <w:t>Evidence of useful capability</w:t>
            </w:r>
          </w:p>
        </w:tc>
        <w:tc>
          <w:tcPr>
            <w:tcW w:type="dxa" w:w="1728"/>
            <w:shd w:fill="E8EBED"/>
          </w:tcPr>
          <w:p>
            <w:pPr>
              <w:spacing w:after="0"/>
            </w:pPr>
            <w:r>
              <w:rPr>
                <w:rFonts w:ascii="Times New Roman" w:hAnsi="Times New Roman"/>
                <w:b/>
                <w:color w:val="172C3C"/>
                <w:sz w:val="15"/>
              </w:rPr>
              <w:t>Nonwaivable boundary</w:t>
            </w:r>
          </w:p>
        </w:tc>
      </w:tr>
      <w:tr>
        <w:trPr>
          <w:cantSplit/>
        </w:trPr>
        <w:tc>
          <w:tcPr>
            <w:tcW w:type="dxa" w:w="2259"/>
            <w:vAlign w:val="center"/>
          </w:tcPr>
          <w:p>
            <w:pPr>
              <w:spacing w:after="0" w:before="0"/>
            </w:pPr>
            <w:r>
              <w:rPr>
                <w:rFonts w:ascii="Times New Roman" w:hAnsi="Times New Roman"/>
                <w:color w:val="14191C"/>
                <w:sz w:val="15"/>
              </w:rPr>
              <w:t>Fundamental physics and measurement</w:t>
            </w:r>
          </w:p>
        </w:tc>
        <w:tc>
          <w:tcPr>
            <w:tcW w:type="dxa" w:w="3057"/>
            <w:vAlign w:val="center"/>
          </w:tcPr>
          <w:p>
            <w:pPr>
              <w:spacing w:after="0" w:before="0"/>
            </w:pPr>
            <w:r>
              <w:rPr>
                <w:rFonts w:ascii="Times New Roman" w:hAnsi="Times New Roman"/>
                <w:color w:val="14191C"/>
                <w:sz w:val="15"/>
              </w:rPr>
              <w:t>Improve knowledge of matter, fields, cosmology and precise instruments</w:t>
            </w:r>
          </w:p>
        </w:tc>
        <w:tc>
          <w:tcPr>
            <w:tcW w:type="dxa" w:w="2791"/>
            <w:vAlign w:val="center"/>
          </w:tcPr>
          <w:p>
            <w:pPr>
              <w:spacing w:after="0" w:before="0"/>
            </w:pPr>
            <w:r>
              <w:rPr>
                <w:rFonts w:ascii="Times New Roman" w:hAnsi="Times New Roman"/>
                <w:color w:val="14191C"/>
                <w:sz w:val="15"/>
              </w:rPr>
              <w:t>Independent tests, reproducible data, calibrated measurement</w:t>
            </w:r>
          </w:p>
        </w:tc>
        <w:tc>
          <w:tcPr>
            <w:tcW w:type="dxa" w:w="1728"/>
            <w:vAlign w:val="center"/>
          </w:tcPr>
          <w:p>
            <w:pPr>
              <w:spacing w:after="0" w:before="0"/>
            </w:pPr>
            <w:r>
              <w:rPr>
                <w:rFonts w:ascii="Times New Roman" w:hAnsi="Times New Roman"/>
                <w:color w:val="14191C"/>
                <w:sz w:val="15"/>
              </w:rPr>
              <w:t>Scientific integrity and reproducibility.</w:t>
            </w:r>
          </w:p>
        </w:tc>
      </w:tr>
      <w:tr>
        <w:trPr>
          <w:cantSplit/>
        </w:trPr>
        <w:tc>
          <w:tcPr>
            <w:tcW w:type="dxa" w:w="2259"/>
            <w:vAlign w:val="center"/>
          </w:tcPr>
          <w:p>
            <w:pPr>
              <w:spacing w:after="0" w:before="0"/>
            </w:pPr>
            <w:r>
              <w:rPr>
                <w:rFonts w:ascii="Times New Roman" w:hAnsi="Times New Roman"/>
                <w:color w:val="14191C"/>
                <w:sz w:val="15"/>
              </w:rPr>
              <w:t>Astronomy, heliophysics and planetary science</w:t>
            </w:r>
          </w:p>
        </w:tc>
        <w:tc>
          <w:tcPr>
            <w:tcW w:type="dxa" w:w="3057"/>
            <w:vAlign w:val="center"/>
          </w:tcPr>
          <w:p>
            <w:pPr>
              <w:spacing w:after="0" w:before="0"/>
            </w:pPr>
            <w:r>
              <w:rPr>
                <w:rFonts w:ascii="Times New Roman" w:hAnsi="Times New Roman"/>
                <w:color w:val="14191C"/>
                <w:sz w:val="15"/>
              </w:rPr>
              <w:t>Observatories, long-duration datasets and robotic mission cadence</w:t>
            </w:r>
          </w:p>
        </w:tc>
        <w:tc>
          <w:tcPr>
            <w:tcW w:type="dxa" w:w="2791"/>
            <w:vAlign w:val="center"/>
          </w:tcPr>
          <w:p>
            <w:pPr>
              <w:spacing w:after="0" w:before="0"/>
            </w:pPr>
            <w:r>
              <w:rPr>
                <w:rFonts w:ascii="Times New Roman" w:hAnsi="Times New Roman"/>
                <w:color w:val="14191C"/>
                <w:sz w:val="15"/>
              </w:rPr>
              <w:t>Scientific access, resolved observations, data longevity</w:t>
            </w:r>
          </w:p>
        </w:tc>
        <w:tc>
          <w:tcPr>
            <w:tcW w:type="dxa" w:w="1728"/>
            <w:vAlign w:val="center"/>
          </w:tcPr>
          <w:p>
            <w:pPr>
              <w:spacing w:after="0" w:before="0"/>
            </w:pPr>
            <w:r>
              <w:rPr>
                <w:rFonts w:ascii="Times New Roman" w:hAnsi="Times New Roman"/>
                <w:color w:val="14191C"/>
                <w:sz w:val="15"/>
              </w:rPr>
              <w:t>Planetary protection and orbital safety.</w:t>
            </w:r>
          </w:p>
        </w:tc>
      </w:tr>
      <w:tr>
        <w:trPr>
          <w:cantSplit/>
        </w:trPr>
        <w:tc>
          <w:tcPr>
            <w:tcW w:type="dxa" w:w="2259"/>
            <w:vAlign w:val="center"/>
          </w:tcPr>
          <w:p>
            <w:pPr>
              <w:spacing w:after="0" w:before="0"/>
            </w:pPr>
            <w:r>
              <w:rPr>
                <w:rFonts w:ascii="Times New Roman" w:hAnsi="Times New Roman"/>
                <w:color w:val="14191C"/>
                <w:sz w:val="15"/>
              </w:rPr>
              <w:t>Lunar, Mars and deep-space systems</w:t>
            </w:r>
          </w:p>
        </w:tc>
        <w:tc>
          <w:tcPr>
            <w:tcW w:type="dxa" w:w="3057"/>
            <w:vAlign w:val="center"/>
          </w:tcPr>
          <w:p>
            <w:pPr>
              <w:spacing w:after="0" w:before="0"/>
            </w:pPr>
            <w:r>
              <w:rPr>
                <w:rFonts w:ascii="Times New Roman" w:hAnsi="Times New Roman"/>
                <w:color w:val="14191C"/>
                <w:sz w:val="15"/>
              </w:rPr>
              <w:t>Reliable logistics, navigation, power, life support and autonomous operations</w:t>
            </w:r>
          </w:p>
        </w:tc>
        <w:tc>
          <w:tcPr>
            <w:tcW w:type="dxa" w:w="2791"/>
            <w:vAlign w:val="center"/>
          </w:tcPr>
          <w:p>
            <w:pPr>
              <w:spacing w:after="0" w:before="0"/>
            </w:pPr>
            <w:r>
              <w:rPr>
                <w:rFonts w:ascii="Times New Roman" w:hAnsi="Times New Roman"/>
                <w:color w:val="14191C"/>
                <w:sz w:val="15"/>
              </w:rPr>
              <w:t>Integrated demonstration and safety-verified operations</w:t>
            </w:r>
          </w:p>
        </w:tc>
        <w:tc>
          <w:tcPr>
            <w:tcW w:type="dxa" w:w="1728"/>
            <w:vAlign w:val="center"/>
          </w:tcPr>
          <w:p>
            <w:pPr>
              <w:spacing w:after="0" w:before="0"/>
            </w:pPr>
            <w:r>
              <w:rPr>
                <w:rFonts w:ascii="Times New Roman" w:hAnsi="Times New Roman"/>
                <w:color w:val="14191C"/>
                <w:sz w:val="15"/>
              </w:rPr>
              <w:t>Human safety and international space obligations.</w:t>
            </w:r>
          </w:p>
        </w:tc>
      </w:tr>
      <w:tr>
        <w:trPr>
          <w:cantSplit/>
        </w:trPr>
        <w:tc>
          <w:tcPr>
            <w:tcW w:type="dxa" w:w="2259"/>
            <w:vAlign w:val="center"/>
          </w:tcPr>
          <w:p>
            <w:pPr>
              <w:spacing w:after="0" w:before="0"/>
            </w:pPr>
            <w:r>
              <w:rPr>
                <w:rFonts w:ascii="Times New Roman" w:hAnsi="Times New Roman"/>
                <w:color w:val="14191C"/>
                <w:sz w:val="15"/>
              </w:rPr>
              <w:t>Advanced propulsion</w:t>
            </w:r>
          </w:p>
        </w:tc>
        <w:tc>
          <w:tcPr>
            <w:tcW w:type="dxa" w:w="3057"/>
            <w:vAlign w:val="center"/>
          </w:tcPr>
          <w:p>
            <w:pPr>
              <w:spacing w:after="0" w:before="0"/>
            </w:pPr>
            <w:r>
              <w:rPr>
                <w:rFonts w:ascii="Times New Roman" w:hAnsi="Times New Roman"/>
                <w:color w:val="14191C"/>
                <w:sz w:val="15"/>
              </w:rPr>
              <w:t>Electric, nuclear, beamed-energy, fusion and experimentally specified new approaches</w:t>
            </w:r>
          </w:p>
        </w:tc>
        <w:tc>
          <w:tcPr>
            <w:tcW w:type="dxa" w:w="2791"/>
            <w:vAlign w:val="center"/>
          </w:tcPr>
          <w:p>
            <w:pPr>
              <w:spacing w:after="0" w:before="0"/>
            </w:pPr>
            <w:r>
              <w:rPr>
                <w:rFonts w:ascii="Times New Roman" w:hAnsi="Times New Roman"/>
                <w:color w:val="14191C"/>
                <w:sz w:val="15"/>
              </w:rPr>
              <w:t>Independent performance tests, credible mass/power/reliability analysis</w:t>
            </w:r>
          </w:p>
        </w:tc>
        <w:tc>
          <w:tcPr>
            <w:tcW w:type="dxa" w:w="1728"/>
            <w:vAlign w:val="center"/>
          </w:tcPr>
          <w:p>
            <w:pPr>
              <w:spacing w:after="0" w:before="0"/>
            </w:pPr>
            <w:r>
              <w:rPr>
                <w:rFonts w:ascii="Times New Roman" w:hAnsi="Times New Roman"/>
                <w:color w:val="14191C"/>
                <w:sz w:val="15"/>
              </w:rPr>
              <w:t>Nuclear/environmental safety; no false claims.</w:t>
            </w:r>
          </w:p>
        </w:tc>
      </w:tr>
      <w:tr>
        <w:trPr>
          <w:cantSplit/>
        </w:trPr>
        <w:tc>
          <w:tcPr>
            <w:tcW w:type="dxa" w:w="2259"/>
            <w:vAlign w:val="center"/>
          </w:tcPr>
          <w:p>
            <w:pPr>
              <w:spacing w:after="0" w:before="0"/>
            </w:pPr>
            <w:r>
              <w:rPr>
                <w:rFonts w:ascii="Times New Roman" w:hAnsi="Times New Roman"/>
                <w:color w:val="14191C"/>
                <w:sz w:val="15"/>
              </w:rPr>
              <w:t>AI and computing</w:t>
            </w:r>
          </w:p>
        </w:tc>
        <w:tc>
          <w:tcPr>
            <w:tcW w:type="dxa" w:w="3057"/>
            <w:vAlign w:val="center"/>
          </w:tcPr>
          <w:p>
            <w:pPr>
              <w:spacing w:after="0" w:before="0"/>
            </w:pPr>
            <w:r>
              <w:rPr>
                <w:rFonts w:ascii="Times New Roman" w:hAnsi="Times New Roman"/>
                <w:color w:val="14191C"/>
                <w:sz w:val="15"/>
              </w:rPr>
              <w:t>Reliable, efficient scientific models, computing infrastructure and autonomous tools</w:t>
            </w:r>
          </w:p>
        </w:tc>
        <w:tc>
          <w:tcPr>
            <w:tcW w:type="dxa" w:w="2791"/>
            <w:vAlign w:val="center"/>
          </w:tcPr>
          <w:p>
            <w:pPr>
              <w:spacing w:after="0" w:before="0"/>
            </w:pPr>
            <w:r>
              <w:rPr>
                <w:rFonts w:ascii="Times New Roman" w:hAnsi="Times New Roman"/>
                <w:color w:val="14191C"/>
                <w:sz w:val="15"/>
              </w:rPr>
              <w:t>Benchmark performance, scientific replication, operational risk tests</w:t>
            </w:r>
          </w:p>
        </w:tc>
        <w:tc>
          <w:tcPr>
            <w:tcW w:type="dxa" w:w="1728"/>
            <w:vAlign w:val="center"/>
          </w:tcPr>
          <w:p>
            <w:pPr>
              <w:spacing w:after="0" w:before="0"/>
            </w:pPr>
            <w:r>
              <w:rPr>
                <w:rFonts w:ascii="Times New Roman" w:hAnsi="Times New Roman"/>
                <w:color w:val="14191C"/>
                <w:sz w:val="15"/>
              </w:rPr>
              <w:t>Privacy, security and human accountability.</w:t>
            </w:r>
          </w:p>
        </w:tc>
      </w:tr>
      <w:tr>
        <w:trPr>
          <w:cantSplit/>
        </w:trPr>
        <w:tc>
          <w:tcPr>
            <w:tcW w:type="dxa" w:w="2259"/>
            <w:vAlign w:val="center"/>
          </w:tcPr>
          <w:p>
            <w:pPr>
              <w:spacing w:after="0" w:before="0"/>
            </w:pPr>
            <w:r>
              <w:rPr>
                <w:rFonts w:ascii="Times New Roman" w:hAnsi="Times New Roman"/>
                <w:color w:val="14191C"/>
                <w:sz w:val="15"/>
              </w:rPr>
              <w:t>Quantum and emerging computation</w:t>
            </w:r>
          </w:p>
        </w:tc>
        <w:tc>
          <w:tcPr>
            <w:tcW w:type="dxa" w:w="3057"/>
            <w:vAlign w:val="center"/>
          </w:tcPr>
          <w:p>
            <w:pPr>
              <w:spacing w:after="0" w:before="0"/>
            </w:pPr>
            <w:r>
              <w:rPr>
                <w:rFonts w:ascii="Times New Roman" w:hAnsi="Times New Roman"/>
                <w:color w:val="14191C"/>
                <w:sz w:val="15"/>
              </w:rPr>
              <w:t>Quantum sensing, control, error correction, devices and post-classical computing</w:t>
            </w:r>
          </w:p>
        </w:tc>
        <w:tc>
          <w:tcPr>
            <w:tcW w:type="dxa" w:w="2791"/>
            <w:vAlign w:val="center"/>
          </w:tcPr>
          <w:p>
            <w:pPr>
              <w:spacing w:after="0" w:before="0"/>
            </w:pPr>
            <w:r>
              <w:rPr>
                <w:rFonts w:ascii="Times New Roman" w:hAnsi="Times New Roman"/>
                <w:color w:val="14191C"/>
                <w:sz w:val="15"/>
              </w:rPr>
              <w:t>Independent performance above strong classical baselines</w:t>
            </w:r>
          </w:p>
        </w:tc>
        <w:tc>
          <w:tcPr>
            <w:tcW w:type="dxa" w:w="1728"/>
            <w:vAlign w:val="center"/>
          </w:tcPr>
          <w:p>
            <w:pPr>
              <w:spacing w:after="0" w:before="0"/>
            </w:pPr>
            <w:r>
              <w:rPr>
                <w:rFonts w:ascii="Times New Roman" w:hAnsi="Times New Roman"/>
                <w:color w:val="14191C"/>
                <w:sz w:val="15"/>
              </w:rPr>
              <w:t>Safety and research-security proportionality.</w:t>
            </w:r>
          </w:p>
        </w:tc>
      </w:tr>
      <w:tr>
        <w:trPr>
          <w:cantSplit/>
        </w:trPr>
        <w:tc>
          <w:tcPr>
            <w:tcW w:type="dxa" w:w="2259"/>
            <w:vAlign w:val="center"/>
          </w:tcPr>
          <w:p>
            <w:pPr>
              <w:spacing w:after="0" w:before="0"/>
            </w:pPr>
            <w:r>
              <w:rPr>
                <w:rFonts w:ascii="Times New Roman" w:hAnsi="Times New Roman"/>
                <w:color w:val="14191C"/>
                <w:sz w:val="15"/>
              </w:rPr>
              <w:t>Energy and materials</w:t>
            </w:r>
          </w:p>
        </w:tc>
        <w:tc>
          <w:tcPr>
            <w:tcW w:type="dxa" w:w="3057"/>
            <w:vAlign w:val="center"/>
          </w:tcPr>
          <w:p>
            <w:pPr>
              <w:spacing w:after="0" w:before="0"/>
            </w:pPr>
            <w:r>
              <w:rPr>
                <w:rFonts w:ascii="Times New Roman" w:hAnsi="Times New Roman"/>
                <w:color w:val="14191C"/>
                <w:sz w:val="15"/>
              </w:rPr>
              <w:t>Fusion, fission, batteries, power electronics, new alloys and chemistry</w:t>
            </w:r>
          </w:p>
        </w:tc>
        <w:tc>
          <w:tcPr>
            <w:tcW w:type="dxa" w:w="2791"/>
            <w:vAlign w:val="center"/>
          </w:tcPr>
          <w:p>
            <w:pPr>
              <w:spacing w:after="0" w:before="0"/>
            </w:pPr>
            <w:r>
              <w:rPr>
                <w:rFonts w:ascii="Times New Roman" w:hAnsi="Times New Roman"/>
                <w:color w:val="14191C"/>
                <w:sz w:val="15"/>
              </w:rPr>
              <w:t>Measured materials/process performance at relevant scale</w:t>
            </w:r>
          </w:p>
        </w:tc>
        <w:tc>
          <w:tcPr>
            <w:tcW w:type="dxa" w:w="1728"/>
            <w:vAlign w:val="center"/>
          </w:tcPr>
          <w:p>
            <w:pPr>
              <w:spacing w:after="0" w:before="0"/>
            </w:pPr>
            <w:r>
              <w:rPr>
                <w:rFonts w:ascii="Times New Roman" w:hAnsi="Times New Roman"/>
                <w:color w:val="14191C"/>
                <w:sz w:val="15"/>
              </w:rPr>
              <w:t>Environmental, labor and nuclear safeguards.</w:t>
            </w:r>
          </w:p>
        </w:tc>
      </w:tr>
      <w:tr>
        <w:trPr>
          <w:cantSplit/>
        </w:trPr>
        <w:tc>
          <w:tcPr>
            <w:tcW w:type="dxa" w:w="2259"/>
            <w:vAlign w:val="center"/>
          </w:tcPr>
          <w:p>
            <w:pPr>
              <w:spacing w:after="0" w:before="0"/>
            </w:pPr>
            <w:r>
              <w:rPr>
                <w:rFonts w:ascii="Times New Roman" w:hAnsi="Times New Roman"/>
                <w:color w:val="14191C"/>
                <w:sz w:val="15"/>
              </w:rPr>
              <w:t>Biotechnology and closed-loop life support</w:t>
            </w:r>
          </w:p>
        </w:tc>
        <w:tc>
          <w:tcPr>
            <w:tcW w:type="dxa" w:w="3057"/>
            <w:vAlign w:val="center"/>
          </w:tcPr>
          <w:p>
            <w:pPr>
              <w:spacing w:after="0" w:before="0"/>
            </w:pPr>
            <w:r>
              <w:rPr>
                <w:rFonts w:ascii="Times New Roman" w:hAnsi="Times New Roman"/>
                <w:color w:val="14191C"/>
                <w:sz w:val="15"/>
              </w:rPr>
              <w:t>Bioscience, manufacturing, diagnostics and remote ecosystem support</w:t>
            </w:r>
          </w:p>
        </w:tc>
        <w:tc>
          <w:tcPr>
            <w:tcW w:type="dxa" w:w="2791"/>
            <w:vAlign w:val="center"/>
          </w:tcPr>
          <w:p>
            <w:pPr>
              <w:spacing w:after="0" w:before="0"/>
            </w:pPr>
            <w:r>
              <w:rPr>
                <w:rFonts w:ascii="Times New Roman" w:hAnsi="Times New Roman"/>
                <w:color w:val="14191C"/>
                <w:sz w:val="15"/>
              </w:rPr>
              <w:t>Controlled, reproducible experiments and validated field trials</w:t>
            </w:r>
          </w:p>
        </w:tc>
        <w:tc>
          <w:tcPr>
            <w:tcW w:type="dxa" w:w="1728"/>
            <w:vAlign w:val="center"/>
          </w:tcPr>
          <w:p>
            <w:pPr>
              <w:spacing w:after="0" w:before="0"/>
            </w:pPr>
            <w:r>
              <w:rPr>
                <w:rFonts w:ascii="Times New Roman" w:hAnsi="Times New Roman"/>
                <w:color w:val="14191C"/>
                <w:sz w:val="15"/>
              </w:rPr>
              <w:t>Consent, biosecurity and hazardous release controls.</w:t>
            </w:r>
          </w:p>
        </w:tc>
      </w:tr>
      <w:tr>
        <w:trPr>
          <w:cantSplit/>
        </w:trPr>
        <w:tc>
          <w:tcPr>
            <w:tcW w:type="dxa" w:w="2259"/>
            <w:vAlign w:val="center"/>
          </w:tcPr>
          <w:p>
            <w:pPr>
              <w:spacing w:after="0" w:before="0"/>
            </w:pPr>
            <w:r>
              <w:rPr>
                <w:rFonts w:ascii="Times New Roman" w:hAnsi="Times New Roman"/>
                <w:color w:val="14191C"/>
                <w:sz w:val="15"/>
              </w:rPr>
              <w:t>Earth, oceans and planetary resilience</w:t>
            </w:r>
          </w:p>
        </w:tc>
        <w:tc>
          <w:tcPr>
            <w:tcW w:type="dxa" w:w="3057"/>
            <w:vAlign w:val="center"/>
          </w:tcPr>
          <w:p>
            <w:pPr>
              <w:spacing w:after="0" w:before="0"/>
            </w:pPr>
            <w:r>
              <w:rPr>
                <w:rFonts w:ascii="Times New Roman" w:hAnsi="Times New Roman"/>
                <w:color w:val="14191C"/>
                <w:sz w:val="15"/>
              </w:rPr>
              <w:t>Atmosphere, hazard prediction, oceans, polar systems and long-duration data</w:t>
            </w:r>
          </w:p>
        </w:tc>
        <w:tc>
          <w:tcPr>
            <w:tcW w:type="dxa" w:w="2791"/>
            <w:vAlign w:val="center"/>
          </w:tcPr>
          <w:p>
            <w:pPr>
              <w:spacing w:after="0" w:before="0"/>
            </w:pPr>
            <w:r>
              <w:rPr>
                <w:rFonts w:ascii="Times New Roman" w:hAnsi="Times New Roman"/>
                <w:color w:val="14191C"/>
                <w:sz w:val="15"/>
              </w:rPr>
              <w:t>Observing continuity and improved scientific error characterization</w:t>
            </w:r>
          </w:p>
        </w:tc>
        <w:tc>
          <w:tcPr>
            <w:tcW w:type="dxa" w:w="1728"/>
            <w:vAlign w:val="center"/>
          </w:tcPr>
          <w:p>
            <w:pPr>
              <w:spacing w:after="0" w:before="0"/>
            </w:pPr>
            <w:r>
              <w:rPr>
                <w:rFonts w:ascii="Times New Roman" w:hAnsi="Times New Roman"/>
                <w:color w:val="14191C"/>
                <w:sz w:val="15"/>
              </w:rPr>
              <w:t>Scientific independence and data integrity.</w:t>
            </w:r>
          </w:p>
        </w:tc>
      </w:tr>
      <w:tr>
        <w:trPr>
          <w:cantSplit/>
        </w:trPr>
        <w:tc>
          <w:tcPr>
            <w:tcW w:type="dxa" w:w="2259"/>
            <w:vAlign w:val="center"/>
          </w:tcPr>
          <w:p>
            <w:pPr>
              <w:spacing w:after="0" w:before="0"/>
            </w:pPr>
            <w:r>
              <w:rPr>
                <w:rFonts w:ascii="Times New Roman" w:hAnsi="Times New Roman"/>
                <w:color w:val="14191C"/>
                <w:sz w:val="15"/>
              </w:rPr>
              <w:t>Engineering manufacturing and metrology</w:t>
            </w:r>
          </w:p>
        </w:tc>
        <w:tc>
          <w:tcPr>
            <w:tcW w:type="dxa" w:w="3057"/>
            <w:vAlign w:val="center"/>
          </w:tcPr>
          <w:p>
            <w:pPr>
              <w:spacing w:after="0" w:before="0"/>
            </w:pPr>
            <w:r>
              <w:rPr>
                <w:rFonts w:ascii="Times New Roman" w:hAnsi="Times New Roman"/>
                <w:color w:val="14191C"/>
                <w:sz w:val="15"/>
              </w:rPr>
              <w:t>Precision instrumentation, pilot lines, repair and shared facilities</w:t>
            </w:r>
          </w:p>
        </w:tc>
        <w:tc>
          <w:tcPr>
            <w:tcW w:type="dxa" w:w="2791"/>
            <w:vAlign w:val="center"/>
          </w:tcPr>
          <w:p>
            <w:pPr>
              <w:spacing w:after="0" w:before="0"/>
            </w:pPr>
            <w:r>
              <w:rPr>
                <w:rFonts w:ascii="Times New Roman" w:hAnsi="Times New Roman"/>
                <w:color w:val="14191C"/>
                <w:sz w:val="15"/>
              </w:rPr>
              <w:t>Qualified components, uptime, reproducibility, competitive scale-up</w:t>
            </w:r>
          </w:p>
        </w:tc>
        <w:tc>
          <w:tcPr>
            <w:tcW w:type="dxa" w:w="1728"/>
            <w:vAlign w:val="center"/>
          </w:tcPr>
          <w:p>
            <w:pPr>
              <w:spacing w:after="0" w:before="0"/>
            </w:pPr>
            <w:r>
              <w:rPr>
                <w:rFonts w:ascii="Times New Roman" w:hAnsi="Times New Roman"/>
                <w:color w:val="14191C"/>
                <w:sz w:val="15"/>
              </w:rPr>
              <w:t>Competition, worker safety and public mission rights.</w:t>
            </w:r>
          </w:p>
        </w:tc>
      </w:tr>
    </w:tbl>
    <w:p>
      <w:pPr>
        <w:spacing w:after="20"/>
      </w:pPr>
    </w:p>
    <w:p>
      <w:pPr>
        <w:pStyle w:val="Heading2"/>
      </w:pPr>
      <w:r>
        <w:t>Portfolio balance safeguards</w:t>
      </w:r>
    </w:p>
    <w:p>
      <w:r>
        <w:rPr>
          <w:b w:val="0"/>
          <w:i w:val="0"/>
        </w:rPr>
        <w:t>NASA’s internal appropriation separates science, exploration, aeronautics, frontier technology, centers, operational services, workforce, and contingency. DARPA’s internal appropriation separates foundational research, applied programs, prototypes, high-consequence fields, independent test, management, transition, and seed opportunities. The Network protects independent basic research rather than treating every public discovery as a military or commercial prototype.</w:t>
      </w:r>
    </w:p>
    <w:p>
      <w:pPr>
        <w:pStyle w:val="Heading2"/>
      </w:pPr>
      <w:r>
        <w:t>Technology development logic</w:t>
      </w:r>
    </w:p>
    <w:p>
      <w:r>
        <w:rPr>
          <w:b w:val="0"/>
          <w:i w:val="0"/>
        </w:rPr>
        <w:t>A scientifically credible but speculative hypothesis can receive inexpensive experimental grants. A replicated physical principle can proceed to prototype engineering. A prototype requires integration and safety testing before large-scale demonstration. Deployment requires operating, manufacturing, commercial or public-service evidence, depending on purpose. The Act permits productive failure at each stage but requires honest learning and safeguards against indefinite continuation.</w:t>
      </w:r>
    </w:p>
    <w:p>
      <w:pPr>
        <w:pStyle w:val="Heading2"/>
      </w:pPr>
      <w:r>
        <w:t>Minimum program documentation</w:t>
      </w:r>
    </w:p>
    <w:p>
      <w:pPr>
        <w:ind w:left="346" w:hanging="202"/>
      </w:pPr>
      <w:r>
        <w:rPr>
          <w:b/>
        </w:rPr>
        <w:t xml:space="preserve">•  </w:t>
      </w:r>
      <w:r>
        <w:t>Scientific question or measurable capability and explanation of uncertainty.</w:t>
      </w:r>
    </w:p>
    <w:p>
      <w:pPr>
        <w:ind w:left="346" w:hanging="202"/>
      </w:pPr>
      <w:r>
        <w:rPr>
          <w:b/>
        </w:rPr>
        <w:t xml:space="preserve">•  </w:t>
      </w:r>
      <w:r>
        <w:t>Competing hypotheses or engineering approaches where scientifically feasible.</w:t>
      </w:r>
    </w:p>
    <w:p>
      <w:pPr>
        <w:ind w:left="346" w:hanging="202"/>
      </w:pPr>
      <w:r>
        <w:rPr>
          <w:b/>
        </w:rPr>
        <w:t xml:space="preserve">•  </w:t>
      </w:r>
      <w:r>
        <w:t>Legal authority, account funding, contracting instrument, technical leader and independent safety officer.</w:t>
      </w:r>
    </w:p>
    <w:p>
      <w:pPr>
        <w:ind w:left="346" w:hanging="202"/>
      </w:pPr>
      <w:r>
        <w:rPr>
          <w:b/>
        </w:rPr>
        <w:t xml:space="preserve">•  </w:t>
      </w:r>
      <w:r>
        <w:t>Expected test evidence, milestones, scope and cost range, data plan and safe termination criteria.</w:t>
      </w:r>
    </w:p>
    <w:p>
      <w:pPr>
        <w:ind w:left="346" w:hanging="202"/>
      </w:pPr>
      <w:r>
        <w:rPr>
          <w:b/>
        </w:rPr>
        <w:t xml:space="preserve">•  </w:t>
      </w:r>
      <w:r>
        <w:t>Transition, follow-on investigation or archive pathway, including treatment of negative results.</w:t>
      </w:r>
    </w:p>
    <w:p>
      <w:r>
        <w:br w:type="page"/>
      </w:r>
    </w:p>
    <w:p>
      <w:pPr>
        <w:pStyle w:val="Heading1"/>
      </w:pPr>
      <w:r>
        <w:t>ANNEX E — CONSTITUTIONAL, FISCAL, ADMINISTRATIVE, AND LITIGATION REVIEW</w:t>
      </w:r>
    </w:p>
    <w:p>
      <w:pPr>
        <w:pStyle w:val="Heading2"/>
      </w:pPr>
      <w:r>
        <w:t>Powers and constitutional limits</w:t>
      </w:r>
    </w:p>
    <w:p>
      <w:r>
        <w:rPr>
          <w:b w:val="0"/>
          <w:i w:val="0"/>
        </w:rPr>
        <w:t>A federal science bill can draw on Congress’s Taxing and Spending Clauses, Commerce Clause, common defense responsibilities, Federal property powers, and Necessary and Proper Clause. The Act does not assert a general police power or power to dictate scientific truths. NASA’s peaceful civilian functions and DARPA’s defense research are separately governed under existing agency law.</w:t>
      </w:r>
    </w:p>
    <w:p>
      <w:pPr>
        <w:pStyle w:val="Heading2"/>
      </w:pPr>
      <w:r>
        <w:t>Appropriations and fiscal enforceability</w:t>
      </w:r>
    </w:p>
    <w:p>
      <w:r>
        <w:rPr>
          <w:b w:val="0"/>
          <w:i w:val="0"/>
        </w:rPr>
        <w:t>Section 213 creates express permanent program budget authority. Sections 401 and 215 establish a Treasury backstop and crosswalk so ordinary NASA and DARPA appropriations count toward, not in addition to, the $309.748 billion scheduled aggregate. A permanent appropriation remains amendable and does not itself produce equal-year cash outlays.</w:t>
      </w:r>
    </w:p>
    <w:p>
      <w:r>
        <w:rPr>
          <w:b w:val="0"/>
          <w:i w:val="0"/>
        </w:rPr>
        <w:t>The principal fiscal risk is not a formal lack of budget authority but that offsets may be much smaller than outlays, increasing deficits and borrowing. The Act expressly refuses to equate unscored excise receipts with self-funding. Formal CBO and Joint Committee on Taxation estimates and budget-enforcement review remain necessary before enactment.</w:t>
      </w:r>
    </w:p>
    <w:p>
      <w:pPr>
        <w:pStyle w:val="Heading2"/>
      </w:pPr>
      <w:r>
        <w:t>Tax administration and nondelegation</w:t>
      </w:r>
    </w:p>
    <w:p>
      <w:r>
        <w:rPr>
          <w:b w:val="0"/>
          <w:i w:val="0"/>
        </w:rPr>
        <w:t>Congress specifies the principal taxable transactions and fixed statutory rates. Treasury fills implementation details without the power to change rates. The Act provides a mechanism for administrative refunds, review, and anti-avoidance. Complex derivative and cross-border rules require specialist tax drafting to avoid duplicative charges, evasion, or unintended interference with market liquidity.</w:t>
      </w:r>
    </w:p>
    <w:p>
      <w:pPr>
        <w:pStyle w:val="Heading2"/>
      </w:pPr>
      <w:r>
        <w:t>Appointments, supervision, and independent expertise</w:t>
      </w:r>
    </w:p>
    <w:p>
      <w:r>
        <w:rPr>
          <w:b w:val="0"/>
          <w:i w:val="0"/>
        </w:rPr>
        <w:t>Technical councils advise and supply independent review but do not exercise unbounded sovereign decision powers. Presidential appointment and Senate confirmation are used for major public fiduciary officers where required. NASA leadership remains subject to constitutional executive supervision; the Act does not attempt to entrench a removable director against the President.</w:t>
      </w:r>
    </w:p>
    <w:p>
      <w:pPr>
        <w:pStyle w:val="Heading2"/>
      </w:pPr>
      <w:r>
        <w:t>Due process, speech, research privacy, and equal protection</w:t>
      </w:r>
    </w:p>
    <w:p>
      <w:r>
        <w:rPr>
          <w:b w:val="0"/>
          <w:i w:val="0"/>
        </w:rPr>
        <w:t>The Act protects good-faith scientific conclusions, professional dissent, and publication of unclassified fundamental research; restrictions must rest on specific legal interests. Adverse program, clearance or research-security actions remain subject to lawful procedures and review. Nationality is not a substitute for individualized legal and threat analysis. No new domestic surveillance or coerced human experimentation is authorized.</w:t>
      </w:r>
    </w:p>
    <w:p>
      <w:pPr>
        <w:pStyle w:val="Heading2"/>
      </w:pPr>
      <w:r>
        <w:t>Contracting and Federal property</w:t>
      </w:r>
    </w:p>
    <w:p>
      <w:r>
        <w:rPr>
          <w:b w:val="0"/>
          <w:i w:val="0"/>
        </w:rPr>
        <w:t>NASA’s authorities under 51 U.S.C. §20113, DARPA research/prototype authorities under 10 U.S.C. §§4021–4022, and ordinary procurement, grant, and fiscal law remain relevant. The Act gives targeted powers and duties but does not treat an Other Transaction agreement as permission to bypass every Federal competition, integrity, labor, safety, or audit protection.</w:t>
      </w:r>
    </w:p>
    <w:p>
      <w:pPr>
        <w:pStyle w:val="Heading2"/>
      </w:pPr>
      <w:r>
        <w:t>Environmental and international law</w:t>
      </w:r>
    </w:p>
    <w:p>
      <w:r>
        <w:rPr>
          <w:b w:val="0"/>
          <w:i w:val="0"/>
        </w:rPr>
        <w:t>New observatories, launch sites, test facilities, laboratories, and energy infrastructure remain subject to environmental, historical, tribal and local obligations where applicable. The Act does not assert sovereignty over celestial bodies or delegate United States legislative powers to a global research organization without constitutional process.</w:t>
      </w:r>
    </w:p>
    <w:p>
      <w:pPr>
        <w:pStyle w:val="Heading2"/>
      </w:pPr>
      <w:r>
        <w:t>Severability, litigation exposure, and protective correction</w:t>
      </w:r>
    </w:p>
    <w:tbl>
      <w:tblPr>
        <w:tblStyle w:val="TableGrid"/>
        <w:tblW w:type="auto" w:w="0"/>
        <w:jc w:val="center"/>
        <w:tblLayout w:type="fixed"/>
        <w:tblLook w:firstColumn="1" w:firstRow="1" w:lastColumn="0" w:lastRow="0" w:noHBand="0" w:noVBand="1" w:val="04A0"/>
      </w:tblPr>
      <w:tblGrid>
        <w:gridCol w:w="3283"/>
        <w:gridCol w:w="3283"/>
        <w:gridCol w:w="3283"/>
      </w:tblGrid>
      <w:tr>
        <w:trPr>
          <w:tblHeader w:val="true"/>
          <w:cantSplit/>
        </w:trPr>
        <w:tc>
          <w:tcPr>
            <w:tcW w:type="dxa" w:w="2186"/>
            <w:shd w:fill="E8EBED"/>
          </w:tcPr>
          <w:p>
            <w:pPr>
              <w:spacing w:after="0"/>
            </w:pPr>
            <w:r>
              <w:rPr>
                <w:rFonts w:ascii="Times New Roman" w:hAnsi="Times New Roman"/>
                <w:b/>
                <w:color w:val="172C3C"/>
                <w:sz w:val="16"/>
              </w:rPr>
              <w:t>Risk</w:t>
            </w:r>
          </w:p>
        </w:tc>
        <w:tc>
          <w:tcPr>
            <w:tcW w:type="dxa" w:w="3415"/>
            <w:shd w:fill="E8EBED"/>
          </w:tcPr>
          <w:p>
            <w:pPr>
              <w:spacing w:after="0"/>
            </w:pPr>
            <w:r>
              <w:rPr>
                <w:rFonts w:ascii="Times New Roman" w:hAnsi="Times New Roman"/>
                <w:b/>
                <w:color w:val="172C3C"/>
                <w:sz w:val="16"/>
              </w:rPr>
              <w:t>Potential challenge</w:t>
            </w:r>
          </w:p>
        </w:tc>
        <w:tc>
          <w:tcPr>
            <w:tcW w:type="dxa" w:w="4235"/>
            <w:shd w:fill="E8EBED"/>
          </w:tcPr>
          <w:p>
            <w:pPr>
              <w:spacing w:after="0"/>
            </w:pPr>
            <w:r>
              <w:rPr>
                <w:rFonts w:ascii="Times New Roman" w:hAnsi="Times New Roman"/>
                <w:b/>
                <w:color w:val="172C3C"/>
                <w:sz w:val="16"/>
              </w:rPr>
              <w:t>Mitigation</w:t>
            </w:r>
          </w:p>
        </w:tc>
      </w:tr>
      <w:tr>
        <w:trPr>
          <w:cantSplit/>
        </w:trPr>
        <w:tc>
          <w:tcPr>
            <w:tcW w:type="dxa" w:w="2186"/>
            <w:vAlign w:val="center"/>
          </w:tcPr>
          <w:p>
            <w:pPr>
              <w:spacing w:after="0" w:before="0"/>
            </w:pPr>
            <w:r>
              <w:rPr>
                <w:rFonts w:ascii="Times New Roman" w:hAnsi="Times New Roman"/>
                <w:color w:val="14191C"/>
                <w:sz w:val="15"/>
              </w:rPr>
              <w:t>Permanent Federal appropriation</w:t>
            </w:r>
          </w:p>
        </w:tc>
        <w:tc>
          <w:tcPr>
            <w:tcW w:type="dxa" w:w="3415"/>
            <w:vAlign w:val="center"/>
          </w:tcPr>
          <w:p>
            <w:pPr>
              <w:spacing w:after="0" w:before="0"/>
            </w:pPr>
            <w:r>
              <w:rPr>
                <w:rFonts w:ascii="Times New Roman" w:hAnsi="Times New Roman"/>
                <w:color w:val="14191C"/>
                <w:sz w:val="15"/>
              </w:rPr>
              <w:t>Spending and budget-enforcement disputes</w:t>
            </w:r>
          </w:p>
        </w:tc>
        <w:tc>
          <w:tcPr>
            <w:tcW w:type="dxa" w:w="4235"/>
            <w:vAlign w:val="center"/>
          </w:tcPr>
          <w:p>
            <w:pPr>
              <w:spacing w:after="0" w:before="0"/>
            </w:pPr>
            <w:r>
              <w:rPr>
                <w:rFonts w:ascii="Times New Roman" w:hAnsi="Times New Roman"/>
                <w:color w:val="14191C"/>
                <w:sz w:val="15"/>
              </w:rPr>
              <w:t>Express statutory appropriation, lawful account restrictions, Treasury backstop, detailed GAO audit.</w:t>
            </w:r>
          </w:p>
        </w:tc>
      </w:tr>
      <w:tr>
        <w:trPr>
          <w:cantSplit/>
        </w:trPr>
        <w:tc>
          <w:tcPr>
            <w:tcW w:type="dxa" w:w="2186"/>
            <w:vAlign w:val="center"/>
          </w:tcPr>
          <w:p>
            <w:pPr>
              <w:spacing w:after="0" w:before="0"/>
            </w:pPr>
            <w:r>
              <w:rPr>
                <w:rFonts w:ascii="Times New Roman" w:hAnsi="Times New Roman"/>
                <w:color w:val="14191C"/>
                <w:sz w:val="15"/>
              </w:rPr>
              <w:t>Financial-transactions excise</w:t>
            </w:r>
          </w:p>
        </w:tc>
        <w:tc>
          <w:tcPr>
            <w:tcW w:type="dxa" w:w="3415"/>
            <w:vAlign w:val="center"/>
          </w:tcPr>
          <w:p>
            <w:pPr>
              <w:spacing w:after="0" w:before="0"/>
            </w:pPr>
            <w:r>
              <w:rPr>
                <w:rFonts w:ascii="Times New Roman" w:hAnsi="Times New Roman"/>
                <w:color w:val="14191C"/>
                <w:sz w:val="15"/>
              </w:rPr>
              <w:t>Tax-base ambiguity, cross-border nexus or disproportionate treatment</w:t>
            </w:r>
          </w:p>
        </w:tc>
        <w:tc>
          <w:tcPr>
            <w:tcW w:type="dxa" w:w="4235"/>
            <w:vAlign w:val="center"/>
          </w:tcPr>
          <w:p>
            <w:pPr>
              <w:spacing w:after="0" w:before="0"/>
            </w:pPr>
            <w:r>
              <w:rPr>
                <w:rFonts w:ascii="Times New Roman" w:hAnsi="Times New Roman"/>
                <w:color w:val="14191C"/>
                <w:sz w:val="15"/>
              </w:rPr>
              <w:t>Explicit rates, statutory taxable events, bounded administrative rules, refund and review.</w:t>
            </w:r>
          </w:p>
        </w:tc>
      </w:tr>
      <w:tr>
        <w:trPr>
          <w:cantSplit/>
        </w:trPr>
        <w:tc>
          <w:tcPr>
            <w:tcW w:type="dxa" w:w="2186"/>
            <w:vAlign w:val="center"/>
          </w:tcPr>
          <w:p>
            <w:pPr>
              <w:spacing w:after="0" w:before="0"/>
            </w:pPr>
            <w:r>
              <w:rPr>
                <w:rFonts w:ascii="Times New Roman" w:hAnsi="Times New Roman"/>
                <w:color w:val="14191C"/>
                <w:sz w:val="15"/>
              </w:rPr>
              <w:t>Science autonomy</w:t>
            </w:r>
          </w:p>
        </w:tc>
        <w:tc>
          <w:tcPr>
            <w:tcW w:type="dxa" w:w="3415"/>
            <w:vAlign w:val="center"/>
          </w:tcPr>
          <w:p>
            <w:pPr>
              <w:spacing w:after="0" w:before="0"/>
            </w:pPr>
            <w:r>
              <w:rPr>
                <w:rFonts w:ascii="Times New Roman" w:hAnsi="Times New Roman"/>
                <w:color w:val="14191C"/>
                <w:sz w:val="15"/>
              </w:rPr>
              <w:t>Attempt to insulate executive decisions from lawful supervision</w:t>
            </w:r>
          </w:p>
        </w:tc>
        <w:tc>
          <w:tcPr>
            <w:tcW w:type="dxa" w:w="4235"/>
            <w:vAlign w:val="center"/>
          </w:tcPr>
          <w:p>
            <w:pPr>
              <w:spacing w:after="0" w:before="0"/>
            </w:pPr>
            <w:r>
              <w:rPr>
                <w:rFonts w:ascii="Times New Roman" w:hAnsi="Times New Roman"/>
                <w:color w:val="14191C"/>
                <w:sz w:val="15"/>
              </w:rPr>
              <w:t>Protected technical findings, not a blanket constitutional independence claim.</w:t>
            </w:r>
          </w:p>
        </w:tc>
      </w:tr>
      <w:tr>
        <w:trPr>
          <w:cantSplit/>
        </w:trPr>
        <w:tc>
          <w:tcPr>
            <w:tcW w:type="dxa" w:w="2186"/>
            <w:vAlign w:val="center"/>
          </w:tcPr>
          <w:p>
            <w:pPr>
              <w:spacing w:after="0" w:before="0"/>
            </w:pPr>
            <w:r>
              <w:rPr>
                <w:rFonts w:ascii="Times New Roman" w:hAnsi="Times New Roman"/>
                <w:color w:val="14191C"/>
                <w:sz w:val="15"/>
              </w:rPr>
              <w:t>Government scientific corporation</w:t>
            </w:r>
          </w:p>
        </w:tc>
        <w:tc>
          <w:tcPr>
            <w:tcW w:type="dxa" w:w="3415"/>
            <w:vAlign w:val="center"/>
          </w:tcPr>
          <w:p>
            <w:pPr>
              <w:spacing w:after="0" w:before="0"/>
            </w:pPr>
            <w:r>
              <w:rPr>
                <w:rFonts w:ascii="Times New Roman" w:hAnsi="Times New Roman"/>
                <w:color w:val="14191C"/>
                <w:sz w:val="15"/>
              </w:rPr>
              <w:t>Appointments and unlawful delegation</w:t>
            </w:r>
          </w:p>
        </w:tc>
        <w:tc>
          <w:tcPr>
            <w:tcW w:type="dxa" w:w="4235"/>
            <w:vAlign w:val="center"/>
          </w:tcPr>
          <w:p>
            <w:pPr>
              <w:spacing w:after="0" w:before="0"/>
            </w:pPr>
            <w:r>
              <w:rPr>
                <w:rFonts w:ascii="Times New Roman" w:hAnsi="Times New Roman"/>
                <w:color w:val="14191C"/>
                <w:sz w:val="15"/>
              </w:rPr>
              <w:t>Defined procurement/capital scope, Government supervision, audit and independent review.</w:t>
            </w:r>
          </w:p>
        </w:tc>
      </w:tr>
      <w:tr>
        <w:trPr>
          <w:cantSplit/>
        </w:trPr>
        <w:tc>
          <w:tcPr>
            <w:tcW w:type="dxa" w:w="2186"/>
            <w:vAlign w:val="center"/>
          </w:tcPr>
          <w:p>
            <w:pPr>
              <w:spacing w:after="0" w:before="0"/>
            </w:pPr>
            <w:r>
              <w:rPr>
                <w:rFonts w:ascii="Times New Roman" w:hAnsi="Times New Roman"/>
                <w:color w:val="14191C"/>
                <w:sz w:val="15"/>
              </w:rPr>
              <w:t>International collaboration</w:t>
            </w:r>
          </w:p>
        </w:tc>
        <w:tc>
          <w:tcPr>
            <w:tcW w:type="dxa" w:w="3415"/>
            <w:vAlign w:val="center"/>
          </w:tcPr>
          <w:p>
            <w:pPr>
              <w:spacing w:after="0" w:before="0"/>
            </w:pPr>
            <w:r>
              <w:rPr>
                <w:rFonts w:ascii="Times New Roman" w:hAnsi="Times New Roman"/>
                <w:color w:val="14191C"/>
                <w:sz w:val="15"/>
              </w:rPr>
              <w:t>Treaty and implementing-law requirements</w:t>
            </w:r>
          </w:p>
        </w:tc>
        <w:tc>
          <w:tcPr>
            <w:tcW w:type="dxa" w:w="4235"/>
            <w:vAlign w:val="center"/>
          </w:tcPr>
          <w:p>
            <w:pPr>
              <w:spacing w:after="0" w:before="0"/>
            </w:pPr>
            <w:r>
              <w:rPr>
                <w:rFonts w:ascii="Times New Roman" w:hAnsi="Times New Roman"/>
                <w:color w:val="14191C"/>
                <w:sz w:val="15"/>
              </w:rPr>
              <w:t>Model convention is non-self-executing; U.S. financial obligations separately authorized.</w:t>
            </w:r>
          </w:p>
        </w:tc>
      </w:tr>
      <w:tr>
        <w:trPr>
          <w:cantSplit/>
        </w:trPr>
        <w:tc>
          <w:tcPr>
            <w:tcW w:type="dxa" w:w="2186"/>
            <w:vAlign w:val="center"/>
          </w:tcPr>
          <w:p>
            <w:pPr>
              <w:spacing w:after="0" w:before="0"/>
            </w:pPr>
            <w:r>
              <w:rPr>
                <w:rFonts w:ascii="Times New Roman" w:hAnsi="Times New Roman"/>
                <w:color w:val="14191C"/>
                <w:sz w:val="15"/>
              </w:rPr>
              <w:t>Emerging technology safety</w:t>
            </w:r>
          </w:p>
        </w:tc>
        <w:tc>
          <w:tcPr>
            <w:tcW w:type="dxa" w:w="3415"/>
            <w:vAlign w:val="center"/>
          </w:tcPr>
          <w:p>
            <w:pPr>
              <w:spacing w:after="0" w:before="0"/>
            </w:pPr>
            <w:r>
              <w:rPr>
                <w:rFonts w:ascii="Times New Roman" w:hAnsi="Times New Roman"/>
                <w:color w:val="14191C"/>
                <w:sz w:val="15"/>
              </w:rPr>
              <w:t>Vague controls and academic speech burdens</w:t>
            </w:r>
          </w:p>
        </w:tc>
        <w:tc>
          <w:tcPr>
            <w:tcW w:type="dxa" w:w="4235"/>
            <w:vAlign w:val="center"/>
          </w:tcPr>
          <w:p>
            <w:pPr>
              <w:spacing w:after="0" w:before="0"/>
            </w:pPr>
            <w:r>
              <w:rPr>
                <w:rFonts w:ascii="Times New Roman" w:hAnsi="Times New Roman"/>
                <w:color w:val="14191C"/>
                <w:sz w:val="15"/>
              </w:rPr>
              <w:t>Risk-tiered legal definitions, technical evidence, written decisions and appeals.</w:t>
            </w:r>
          </w:p>
        </w:tc>
      </w:tr>
      <w:tr>
        <w:trPr>
          <w:cantSplit/>
        </w:trPr>
        <w:tc>
          <w:tcPr>
            <w:tcW w:type="dxa" w:w="2186"/>
            <w:vAlign w:val="center"/>
          </w:tcPr>
          <w:p>
            <w:pPr>
              <w:spacing w:after="0" w:before="0"/>
            </w:pPr>
            <w:r>
              <w:rPr>
                <w:rFonts w:ascii="Times New Roman" w:hAnsi="Times New Roman"/>
                <w:color w:val="14191C"/>
                <w:sz w:val="15"/>
              </w:rPr>
              <w:t>Space resource activities</w:t>
            </w:r>
          </w:p>
        </w:tc>
        <w:tc>
          <w:tcPr>
            <w:tcW w:type="dxa" w:w="3415"/>
            <w:vAlign w:val="center"/>
          </w:tcPr>
          <w:p>
            <w:pPr>
              <w:spacing w:after="0" w:before="0"/>
            </w:pPr>
            <w:r>
              <w:rPr>
                <w:rFonts w:ascii="Times New Roman" w:hAnsi="Times New Roman"/>
                <w:color w:val="14191C"/>
                <w:sz w:val="15"/>
              </w:rPr>
              <w:t>International obligations and non-appropriation issues</w:t>
            </w:r>
          </w:p>
        </w:tc>
        <w:tc>
          <w:tcPr>
            <w:tcW w:type="dxa" w:w="4235"/>
            <w:vAlign w:val="center"/>
          </w:tcPr>
          <w:p>
            <w:pPr>
              <w:spacing w:after="0" w:before="0"/>
            </w:pPr>
            <w:r>
              <w:rPr>
                <w:rFonts w:ascii="Times New Roman" w:hAnsi="Times New Roman"/>
                <w:color w:val="14191C"/>
                <w:sz w:val="15"/>
              </w:rPr>
              <w:t>Non-sovereignty savings, safe science, international coordination and project-specific assessment.</w:t>
            </w:r>
          </w:p>
        </w:tc>
      </w:tr>
    </w:tbl>
    <w:p>
      <w:pPr>
        <w:spacing w:after="20"/>
      </w:pPr>
    </w:p>
    <w:p>
      <w:pPr>
        <w:pStyle w:val="Heading2"/>
      </w:pPr>
      <w:r>
        <w:t>Quality limits and legal work still needed</w:t>
      </w:r>
    </w:p>
    <w:p>
      <w:r>
        <w:rPr>
          <w:b w:val="0"/>
          <w:i w:val="0"/>
        </w:rPr>
        <w:t>Tax specialists must complete Internal Revenue Code integration for return mechanics and financial-instrument definitions; agency counsel must assess how the permanent appropriation interacts with future appropriations and statutes governing specific agencies; immigration reforms require direct amendments to the Immigration and Nationality Act if new classifications are desired. These are material drafting subjects rather than matters that can be guaranteed by an aspirational savings clause.</w:t>
      </w:r>
    </w:p>
    <w:p>
      <w:r>
        <w:br w:type="page"/>
      </w:r>
    </w:p>
    <w:p>
      <w:pPr>
        <w:pStyle w:val="Heading1"/>
      </w:pPr>
      <w:r>
        <w:t>ANNEX F — MODEL INTERNATIONAL SPACE CONVENTION FOR GLOBAL ADOPTION</w:t>
      </w:r>
    </w:p>
    <w:p>
      <w:r>
        <w:rPr>
          <w:b w:val="0"/>
          <w:i w:val="0"/>
        </w:rPr>
        <w:t>This model is a proposed treaty architecture for voluntary negotiation by sovereign states. It is not ratified, self-executing, or binding on other governments by enactment of the United States SPACE Act.</w:t>
      </w:r>
    </w:p>
    <w:p>
      <w:pPr>
        <w:pStyle w:val="Heading2"/>
      </w:pPr>
      <w:r>
        <w:t>Preamble and guiding principles</w:t>
      </w:r>
    </w:p>
    <w:p>
      <w:r>
        <w:rPr>
          <w:b w:val="0"/>
          <w:i w:val="0"/>
        </w:rPr>
        <w:t>The Parties recognize that scientific knowledge is a shared human achievement; that major facilities and long-duration research may exceed the practical scale of individual nations; that scientific freedom requires lawful public accountability; and that peaceful discovery, safety, transparency, intergenerational stewardship, and respect for sovereignty should guide collective scientific ambition.</w:t>
      </w:r>
    </w:p>
    <w:p>
      <w:pPr>
        <w:pStyle w:val="Heading2"/>
      </w:pPr>
      <w:r>
        <w:t>Article 1. Establishment and legal personality</w:t>
      </w:r>
    </w:p>
    <w:p>
      <w:r>
        <w:rPr>
          <w:b w:val="0"/>
          <w:i w:val="0"/>
        </w:rPr>
        <w:t>The Parties establish the International Scientific Progress, Autonomy, Capacity, and Exploration Organization as an intergovernmental organization with legal personality limited to the activities conferred by this Convention. Its headquarters, organs, and host facilities shall operate under agreements made pursuant to this Convention.</w:t>
      </w:r>
    </w:p>
    <w:p>
      <w:pPr>
        <w:pStyle w:val="Heading2"/>
      </w:pPr>
      <w:r>
        <w:t>Article 2. Objects and peaceful purposes</w:t>
      </w:r>
    </w:p>
    <w:p>
      <w:r>
        <w:rPr>
          <w:b w:val="0"/>
          <w:i w:val="0"/>
        </w:rPr>
        <w:t>The Organization shall advance fundamental and applied science, shared infrastructure, environmental observations, international scientific education, and peaceful exploration. Civilian institutions shall not be converted into classified weapons laboratories by administrative decision.</w:t>
      </w:r>
    </w:p>
    <w:p>
      <w:pPr>
        <w:pStyle w:val="Heading2"/>
      </w:pPr>
      <w:r>
        <w:t>Article 3. Sovereignty and reserved powers</w:t>
      </w:r>
    </w:p>
    <w:p>
      <w:r>
        <w:rPr>
          <w:b w:val="0"/>
          <w:i w:val="0"/>
        </w:rPr>
        <w:t>No Party transfers its legislative, taxation, military, police, judicial, immigration, or general regulatory power to the Organization. Participation does not bind a national legislature to appropriations beyond its valid constitutional commitments.</w:t>
      </w:r>
    </w:p>
    <w:p>
      <w:pPr>
        <w:pStyle w:val="Heading2"/>
      </w:pPr>
      <w:r>
        <w:t>Article 4. Membership and accession</w:t>
      </w:r>
    </w:p>
    <w:p>
      <w:r>
        <w:rPr>
          <w:b w:val="0"/>
          <w:i w:val="0"/>
        </w:rPr>
        <w:t>States may accede by depositing an instrument accepting the Convention and meeting published membership, contribution, audit, and rights requirements. Conditions shall apply without discrimination inconsistent with international law.</w:t>
      </w:r>
    </w:p>
    <w:p>
      <w:pPr>
        <w:pStyle w:val="Heading2"/>
      </w:pPr>
      <w:r>
        <w:t>Article 5. Common programs</w:t>
      </w:r>
    </w:p>
    <w:p>
      <w:r>
        <w:rPr>
          <w:b w:val="0"/>
          <w:i w:val="0"/>
        </w:rPr>
        <w:t>The Organization shall maintain compulsory common programs for general governance, scientific data, core user-facility access, standards coordination, archives, scientific mobility, and minimum safety and audit systems.</w:t>
      </w:r>
    </w:p>
    <w:p>
      <w:pPr>
        <w:pStyle w:val="Heading2"/>
      </w:pPr>
      <w:r>
        <w:t>Article 6. Optional programs</w:t>
      </w:r>
    </w:p>
    <w:p>
      <w:r>
        <w:rPr>
          <w:b w:val="0"/>
          <w:i w:val="0"/>
        </w:rPr>
        <w:t>Member states may subscribe to optional missions, laboratories, observatories, advanced instruments, planetary projects, or regional infrastructure without compelling nonparticipating members to finance those projects.</w:t>
      </w:r>
    </w:p>
    <w:p>
      <w:pPr>
        <w:pStyle w:val="Heading2"/>
      </w:pPr>
      <w:r>
        <w:t>Article 7. Contribution formula</w:t>
      </w:r>
    </w:p>
    <w:p>
      <w:r>
        <w:rPr>
          <w:b w:val="0"/>
          <w:i w:val="0"/>
        </w:rPr>
        <w:t>Common contributions shall be assessed primarily by agreed national economic capacity, using a published formula with minimum and maximum shares, periods for correction, and procedures for financial hardship.</w:t>
      </w:r>
    </w:p>
    <w:p>
      <w:pPr>
        <w:pStyle w:val="Heading2"/>
      </w:pPr>
      <w:r>
        <w:t>Article 8. Multiannual program budgets</w:t>
      </w:r>
    </w:p>
    <w:p>
      <w:r>
        <w:rPr>
          <w:b w:val="0"/>
          <w:i w:val="0"/>
        </w:rPr>
        <w:t>The Assembly shall approve multiyear operating and capital commitments. The Executive Directorate shall maintain a clear distinction between pledged contributions, cash received, obligations, outlays, reserves, and lifecycle liabilities.</w:t>
      </w:r>
    </w:p>
    <w:p>
      <w:pPr>
        <w:pStyle w:val="Heading2"/>
      </w:pPr>
      <w:r>
        <w:t>Article 9. Assembly of States</w:t>
      </w:r>
    </w:p>
    <w:p>
      <w:r>
        <w:rPr>
          <w:b w:val="0"/>
          <w:i w:val="0"/>
        </w:rPr>
        <w:t>Each member state shall have one representative. Ordinary decisions shall require a majority of those voting. Extraordinary capital commitments shall require a double majority of members and assessed contributions or other agreed enhanced threshold.</w:t>
      </w:r>
    </w:p>
    <w:p>
      <w:pPr>
        <w:pStyle w:val="Heading2"/>
      </w:pPr>
      <w:r>
        <w:t>Article 10. Scientific Policy Council</w:t>
      </w:r>
    </w:p>
    <w:p>
      <w:r>
        <w:rPr>
          <w:b w:val="0"/>
          <w:i w:val="0"/>
        </w:rPr>
        <w:t>An independent Council of scientific and engineering experts shall evaluate merits, research methodology, safety evidence, major instrument priorities, and long-horizon opportunities. The Council may issue minority reports.</w:t>
      </w:r>
    </w:p>
    <w:p>
      <w:pPr>
        <w:pStyle w:val="Heading2"/>
      </w:pPr>
      <w:r>
        <w:t>Article 11. Finance and Audit Committee</w:t>
      </w:r>
    </w:p>
    <w:p>
      <w:r>
        <w:rPr>
          <w:b w:val="0"/>
          <w:i w:val="0"/>
        </w:rPr>
        <w:t>A member-government Finance and Audit Committee shall review contribution compliance, procurement integrity, capital risks, reserve holdings, lifecycle liabilities, and annual statements.</w:t>
      </w:r>
    </w:p>
    <w:p>
      <w:pPr>
        <w:pStyle w:val="Heading2"/>
      </w:pPr>
      <w:r>
        <w:t>Article 12. Executive Directorate</w:t>
      </w:r>
    </w:p>
    <w:p>
      <w:r>
        <w:rPr>
          <w:b w:val="0"/>
          <w:i w:val="0"/>
        </w:rPr>
        <w:t>The Director-General shall implement approved programs through professional scientific and administrative staff under published appointment, conflict, ethics, security, and performance rules.</w:t>
      </w:r>
    </w:p>
    <w:p>
      <w:pPr>
        <w:pStyle w:val="Heading2"/>
      </w:pPr>
      <w:r>
        <w:t>Article 13. Scientific autonomy</w:t>
      </w:r>
    </w:p>
    <w:p>
      <w:r>
        <w:rPr>
          <w:b w:val="0"/>
          <w:i w:val="0"/>
        </w:rPr>
        <w:t>Scientific observations, peer review, safety findings, legitimate dissent, and publication may not be manipulated for partisan, personal, or financial interests. Lawful member-state policy decisions remain distinct from scientific conclusions.</w:t>
      </w:r>
    </w:p>
    <w:p>
      <w:pPr>
        <w:pStyle w:val="Heading2"/>
      </w:pPr>
      <w:r>
        <w:t>Article 14. Major facility charters</w:t>
      </w:r>
    </w:p>
    <w:p>
      <w:r>
        <w:rPr>
          <w:b w:val="0"/>
          <w:i w:val="0"/>
        </w:rPr>
        <w:t>Each project above the Organization’s capital threshold shall receive an approved charter stating objective, cost shares, host responsibilities, schedule, independent estimates, access, intellectual property, security, safety, construction, operations, data, and decommissioning.</w:t>
      </w:r>
    </w:p>
    <w:p>
      <w:pPr>
        <w:pStyle w:val="Heading2"/>
      </w:pPr>
      <w:r>
        <w:t>Article 15. User-facility access</w:t>
      </w:r>
    </w:p>
    <w:p>
      <w:r>
        <w:rPr>
          <w:b w:val="0"/>
          <w:i w:val="0"/>
        </w:rPr>
        <w:t>Allocation of shared instrument and facility time shall use transparent criteria of scientific merit, technical readiness, safe operation, available capacity, and fair cost recovery. Appeal mechanisms shall be provided.</w:t>
      </w:r>
    </w:p>
    <w:p>
      <w:pPr>
        <w:pStyle w:val="Heading2"/>
      </w:pPr>
      <w:r>
        <w:t>Article 16. Data access and scientific archives</w:t>
      </w:r>
    </w:p>
    <w:p>
      <w:r>
        <w:rPr>
          <w:b w:val="0"/>
          <w:i w:val="0"/>
        </w:rPr>
        <w:t>Peaceful fundamental research shall be presumptively publishable, subject to lawful privacy, security, export, and proprietary restrictions. The Organization shall maintain durable metadata, reproducibility, software, and data archives.</w:t>
      </w:r>
    </w:p>
    <w:p>
      <w:pPr>
        <w:pStyle w:val="Heading2"/>
      </w:pPr>
      <w:r>
        <w:t>Article 17. Intellectual property</w:t>
      </w:r>
    </w:p>
    <w:p>
      <w:r>
        <w:rPr>
          <w:b w:val="0"/>
          <w:i w:val="0"/>
        </w:rPr>
        <w:t>Project rules shall preserve reasonable rewards for private invention while ensuring the Organization and its members obtain rights necessary for public scientific use, maintenance, interoperation, and lawful continuity.</w:t>
      </w:r>
    </w:p>
    <w:p>
      <w:pPr>
        <w:pStyle w:val="Heading2"/>
      </w:pPr>
      <w:r>
        <w:t>Article 18. Procurement and industrial return</w:t>
      </w:r>
    </w:p>
    <w:p>
      <w:r>
        <w:rPr>
          <w:b w:val="0"/>
          <w:i w:val="0"/>
        </w:rPr>
        <w:t>Contracts shall ordinarily be awarded on scientific merit, competition, safety, resilience, and lifecycle cost. Geographic return requirements shall not be mandatory unless adopted for a specific program through the Convention’s decision rules.</w:t>
      </w:r>
    </w:p>
    <w:p>
      <w:pPr>
        <w:pStyle w:val="Heading2"/>
      </w:pPr>
      <w:r>
        <w:t>Article 19. Workforce, rights, and mobility</w:t>
      </w:r>
    </w:p>
    <w:p>
      <w:r>
        <w:rPr>
          <w:b w:val="0"/>
          <w:i w:val="0"/>
        </w:rPr>
        <w:t>Personnel shall receive fair employment, safety, grievance, and nondiscrimination protections under applicable law. States shall seek practical visas, credentials, training, and lawful family mobility for approved personnel.</w:t>
      </w:r>
    </w:p>
    <w:p>
      <w:pPr>
        <w:pStyle w:val="Heading2"/>
      </w:pPr>
      <w:r>
        <w:t>Article 20. Safety, ethics, and dual-use technology</w:t>
      </w:r>
    </w:p>
    <w:p>
      <w:r>
        <w:rPr>
          <w:b w:val="0"/>
          <w:i w:val="0"/>
        </w:rPr>
        <w:t>An independent ethics and safety mechanism shall review high-consequence biological, autonomous, cyber, AI, nuclear, planetary-protection, and human-subject risks using risk-proportionate, reviewable standards.</w:t>
      </w:r>
    </w:p>
    <w:p>
      <w:pPr>
        <w:pStyle w:val="Heading2"/>
      </w:pPr>
      <w:r>
        <w:t>Article 21. Export controls and classified information</w:t>
      </w:r>
    </w:p>
    <w:p>
      <w:r>
        <w:rPr>
          <w:b w:val="0"/>
          <w:i w:val="0"/>
        </w:rPr>
        <w:t>No provision requires a member to disclose information contrary to its lawful national security, sanctions, or export requirements. Restrictions shall be applied to specific access and capabilities where possible.</w:t>
      </w:r>
    </w:p>
    <w:p>
      <w:pPr>
        <w:pStyle w:val="Heading2"/>
      </w:pPr>
      <w:r>
        <w:t>Article 22. Environmental and planetary stewardship</w:t>
      </w:r>
    </w:p>
    <w:p>
      <w:r>
        <w:rPr>
          <w:b w:val="0"/>
          <w:i w:val="0"/>
        </w:rPr>
        <w:t>Project sponsors shall assess relevant environmental impacts, orbital debris, celestial contamination, hazards to persons, scientific heritage, and obligations under applicable treaties and host agreements.</w:t>
      </w:r>
    </w:p>
    <w:p>
      <w:pPr>
        <w:pStyle w:val="Heading2"/>
      </w:pPr>
      <w:r>
        <w:t>Article 23. Capacity-building participation</w:t>
      </w:r>
    </w:p>
    <w:p>
      <w:r>
        <w:rPr>
          <w:b w:val="0"/>
          <w:i w:val="0"/>
        </w:rPr>
        <w:t>The Organization may operate training, instruments, remote facility access, scholarship exchanges, metrology support, and regional research centers for lower-resource member systems under merit and maintenance criteria.</w:t>
      </w:r>
    </w:p>
    <w:p>
      <w:pPr>
        <w:pStyle w:val="Heading2"/>
      </w:pPr>
      <w:r>
        <w:t>Article 24. Host agreements</w:t>
      </w:r>
    </w:p>
    <w:p>
      <w:r>
        <w:rPr>
          <w:b w:val="0"/>
          <w:i w:val="0"/>
        </w:rPr>
        <w:t>Each host country shall negotiate a facility agreement regarding land, construction, emergency response, employment, taxes, customs, environmental law, liability, privileges, procurement, and dispute resolution.</w:t>
      </w:r>
    </w:p>
    <w:p>
      <w:pPr>
        <w:pStyle w:val="Heading2"/>
      </w:pPr>
      <w:r>
        <w:t>Article 25. Independent audit and anti-corruption</w:t>
      </w:r>
    </w:p>
    <w:p>
      <w:r>
        <w:rPr>
          <w:b w:val="0"/>
          <w:i w:val="0"/>
        </w:rPr>
        <w:t>The Organization shall undergo annual independent financial audit, project-level technical review, and investigation of fraud and conflicts. Public reports shall be made available subject to narrow lawful confidentiality.</w:t>
      </w:r>
    </w:p>
    <w:p>
      <w:pPr>
        <w:pStyle w:val="Heading2"/>
      </w:pPr>
      <w:r>
        <w:t>Article 26. Legal disputes and contractor remedies</w:t>
      </w:r>
    </w:p>
    <w:p>
      <w:r>
        <w:rPr>
          <w:b w:val="0"/>
          <w:i w:val="0"/>
        </w:rPr>
        <w:t>Members and the Organization shall seek negotiated settlement, mediation, and authorized arbitration for intergovernmental disputes. Vendor and employee procedures shall be defined under applicable contract or host law.</w:t>
      </w:r>
    </w:p>
    <w:p>
      <w:pPr>
        <w:pStyle w:val="Heading2"/>
      </w:pPr>
      <w:r>
        <w:t>Article 27. Membership suspension</w:t>
      </w:r>
    </w:p>
    <w:p>
      <w:r>
        <w:rPr>
          <w:b w:val="0"/>
          <w:i w:val="0"/>
        </w:rPr>
        <w:t>A member may be suspended for material and persistent nonpayment, corruption, severe safety violations, or breach of Convention obligations following notice, reasoned findings, and a defined appeal or review procedure.</w:t>
      </w:r>
    </w:p>
    <w:p>
      <w:pPr>
        <w:pStyle w:val="Heading2"/>
      </w:pPr>
      <w:r>
        <w:t>Article 28. Withdrawal</w:t>
      </w:r>
    </w:p>
    <w:p>
      <w:r>
        <w:rPr>
          <w:b w:val="0"/>
          <w:i w:val="0"/>
        </w:rPr>
        <w:t>A member may withdraw after at least two years notice, subject to outstanding legal obligations, lifecycle commitments, safety, worker rights, data custody, and decommissioning agreements.</w:t>
      </w:r>
    </w:p>
    <w:p>
      <w:pPr>
        <w:pStyle w:val="Heading2"/>
      </w:pPr>
      <w:r>
        <w:t>Article 29. Amendment and review</w:t>
      </w:r>
    </w:p>
    <w:p>
      <w:r>
        <w:rPr>
          <w:b w:val="0"/>
          <w:i w:val="0"/>
        </w:rPr>
        <w:t>Amendments shall require enhanced Assembly approval and national ratification where required. A general review conference shall be held at least every ten years.</w:t>
      </w:r>
    </w:p>
    <w:p>
      <w:pPr>
        <w:pStyle w:val="Heading2"/>
      </w:pPr>
      <w:r>
        <w:t>Article 30. Scientific stewardship across generations</w:t>
      </w:r>
    </w:p>
    <w:p>
      <w:r>
        <w:rPr>
          <w:b w:val="0"/>
          <w:i w:val="0"/>
        </w:rPr>
        <w:t>At least every 25 years the Organization shall publish century-scale infrastructure and science scenarios and a nonbinding five-century stewardship assessment, including scientific and economic uncertainty.</w:t>
      </w:r>
    </w:p>
    <w:p>
      <w:pPr>
        <w:pStyle w:val="Heading2"/>
      </w:pPr>
      <w:r>
        <w:t>Implementation and ratification</w:t>
      </w:r>
    </w:p>
    <w:p>
      <w:r>
        <w:rPr>
          <w:b w:val="0"/>
          <w:i w:val="0"/>
        </w:rPr>
        <w:t>A participating government should review constitutional requirements for treaty approval, appropriation, agency competence, immunities, labor, privacy, export controls, public finance, and local host agreements before accepting obligations. The United States model leaves every necessary Senate or implementing-law action intact.</w:t>
      </w:r>
    </w:p>
    <w:p>
      <w:r>
        <w:br w:type="page"/>
      </w:r>
    </w:p>
    <w:p>
      <w:pPr>
        <w:pStyle w:val="Heading1"/>
      </w:pPr>
      <w:r>
        <w:t>ANNEX G — MODEL NATIONAL SCIENTIFIC-CAPACITY FRAMEWORK LAW</w:t>
      </w:r>
    </w:p>
    <w:p>
      <w:r>
        <w:rPr>
          <w:b w:val="0"/>
          <w:i w:val="0"/>
        </w:rPr>
        <w:t>This sovereign-state adoption model deliberately does not transplant United States tax and constitutional mechanisms. Its provisions should be transformed into operative domestic legislative language by local counsel under the constitution and fiscal system of the adopting jurisdiction.</w:t>
      </w:r>
    </w:p>
    <w:p>
      <w:pPr>
        <w:pStyle w:val="Heading2"/>
      </w:pPr>
      <w:r>
        <w:t>Section 1. Short title and scope</w:t>
      </w:r>
    </w:p>
    <w:p>
      <w:r>
        <w:rPr>
          <w:b w:val="0"/>
          <w:i w:val="0"/>
        </w:rPr>
        <w:t>The adopting state establishes a scientific-progress framework to finance fundamental science, mission research, high-risk experimentation, public facilities, workforce, technology transition, and international cooperation under domestic law.</w:t>
      </w:r>
    </w:p>
    <w:p>
      <w:pPr>
        <w:pStyle w:val="Heading2"/>
      </w:pPr>
      <w:r>
        <w:t>Section 2. National scientific commitment</w:t>
      </w:r>
    </w:p>
    <w:p>
      <w:r>
        <w:rPr>
          <w:b w:val="0"/>
          <w:i w:val="0"/>
        </w:rPr>
        <w:t>The legislature shall establish an indexed public research funding floor using an appropriate national baseline, expenditure share, or national-income measure and shall state whether ordinary agency budgets count within the total.</w:t>
      </w:r>
    </w:p>
    <w:p>
      <w:pPr>
        <w:pStyle w:val="Heading2"/>
      </w:pPr>
      <w:r>
        <w:t>Section 3. Parliamentary and executive responsibility</w:t>
      </w:r>
    </w:p>
    <w:p>
      <w:r>
        <w:rPr>
          <w:b w:val="0"/>
          <w:i w:val="0"/>
        </w:rPr>
        <w:t>The adopting state shall preserve constitutional budget powers, ministerial supervision, independent audit, and the legal independence of courts.</w:t>
      </w:r>
    </w:p>
    <w:p>
      <w:pPr>
        <w:pStyle w:val="Heading2"/>
      </w:pPr>
      <w:r>
        <w:t>Section 4. Institutions and plural scientific pathways</w:t>
      </w:r>
    </w:p>
    <w:p>
      <w:r>
        <w:rPr>
          <w:b w:val="0"/>
          <w:i w:val="0"/>
        </w:rPr>
        <w:t>Separate management models shall be provided for investigator-led science, mission-directed research, high-risk experimental programs, major national facilities, and technology translation.</w:t>
      </w:r>
    </w:p>
    <w:p>
      <w:pPr>
        <w:pStyle w:val="Heading2"/>
      </w:pPr>
      <w:r>
        <w:t>Section 5. Protected scientific integrity</w:t>
      </w:r>
    </w:p>
    <w:p>
      <w:r>
        <w:rPr>
          <w:b w:val="0"/>
          <w:i w:val="0"/>
        </w:rPr>
        <w:t>Scientific findings, peer review, independent safety decisions, lawful publication, and good-faith dissent shall be shielded from improper political, personal, or financial interference.</w:t>
      </w:r>
    </w:p>
    <w:p>
      <w:pPr>
        <w:pStyle w:val="Heading2"/>
      </w:pPr>
      <w:r>
        <w:t>Section 6. Multi-year and capital appropriations</w:t>
      </w:r>
    </w:p>
    <w:p>
      <w:r>
        <w:rPr>
          <w:b w:val="0"/>
          <w:i w:val="0"/>
        </w:rPr>
        <w:t>Where domestic fiscal law permits, research and infrastructure funds shall remain available for enough years to support responsible science, design, construction, operation, maintenance, and archive obligations.</w:t>
      </w:r>
    </w:p>
    <w:p>
      <w:pPr>
        <w:pStyle w:val="Heading2"/>
      </w:pPr>
      <w:r>
        <w:t>Section 7. National science reserve or endowment</w:t>
      </w:r>
    </w:p>
    <w:p>
      <w:r>
        <w:rPr>
          <w:b w:val="0"/>
          <w:i w:val="0"/>
        </w:rPr>
        <w:t>An adopting state may establish a conservative fiduciary reserve with independent audit, investment controls, explicit distribution rules, and clear separation of budget authority from reserve assets.</w:t>
      </w:r>
    </w:p>
    <w:p>
      <w:pPr>
        <w:pStyle w:val="Heading2"/>
      </w:pPr>
      <w:r>
        <w:t>Section 8. Public research infrastructure</w:t>
      </w:r>
    </w:p>
    <w:p>
      <w:r>
        <w:rPr>
          <w:b w:val="0"/>
          <w:i w:val="0"/>
        </w:rPr>
        <w:t>A capital body shall plan scientific facilities with lifecycle cost, environmental review, local utilities, independent estimates, and scientific-access obligations.</w:t>
      </w:r>
    </w:p>
    <w:p>
      <w:pPr>
        <w:pStyle w:val="Heading2"/>
      </w:pPr>
      <w:r>
        <w:t>Section 9. Workforce and education</w:t>
      </w:r>
    </w:p>
    <w:p>
      <w:r>
        <w:rPr>
          <w:b w:val="0"/>
          <w:i w:val="0"/>
        </w:rPr>
        <w:t>Paid apprenticeships, technical colleges, universities, teacher fellowships, skilled trades, scientists, operators, mission managers, safety officers, and support staff shall be included in capacity plans.</w:t>
      </w:r>
    </w:p>
    <w:p>
      <w:pPr>
        <w:pStyle w:val="Heading2"/>
      </w:pPr>
      <w:r>
        <w:t>Section 10. Publicly funded open science</w:t>
      </w:r>
    </w:p>
    <w:p>
      <w:r>
        <w:rPr>
          <w:b w:val="0"/>
          <w:i w:val="0"/>
        </w:rPr>
        <w:t>Fundamental research should generally be publishable and supported by documented data, reproducible methods, interoperable instruments, and durable public archives subject to legitimate legal restrictions.</w:t>
      </w:r>
    </w:p>
    <w:p>
      <w:pPr>
        <w:pStyle w:val="Heading2"/>
      </w:pPr>
      <w:r>
        <w:t>Section 11. Research security and civil liberties</w:t>
      </w:r>
    </w:p>
    <w:p>
      <w:r>
        <w:rPr>
          <w:b w:val="0"/>
          <w:i w:val="0"/>
        </w:rPr>
        <w:t>Controls should be evidence-based, proportionate, reviewable, and compatible with lawful privacy, labor, equality, informed consent, and freedom of research.</w:t>
      </w:r>
    </w:p>
    <w:p>
      <w:pPr>
        <w:pStyle w:val="Heading2"/>
      </w:pPr>
      <w:r>
        <w:t>Section 12. Procurement and scientific awards</w:t>
      </w:r>
    </w:p>
    <w:p>
      <w:r>
        <w:rPr>
          <w:b w:val="0"/>
          <w:i w:val="0"/>
        </w:rPr>
        <w:t>The state should permit grants, contracts, research consortia, prizes, and staged prototypes while preserving competition, anti-corruption law, data rights, and technical oversight.</w:t>
      </w:r>
    </w:p>
    <w:p>
      <w:pPr>
        <w:pStyle w:val="Heading2"/>
      </w:pPr>
      <w:r>
        <w:t>Section 13. Translation and public return</w:t>
      </w:r>
    </w:p>
    <w:p>
      <w:r>
        <w:rPr>
          <w:b w:val="0"/>
          <w:i w:val="0"/>
        </w:rPr>
        <w:t>Technology transfer may use standards, pilot production, public first-customer purchasing, nonexclusive licensing, and reasonable compensation for exceptional government commercialization risk.</w:t>
      </w:r>
    </w:p>
    <w:p>
      <w:pPr>
        <w:pStyle w:val="Heading2"/>
      </w:pPr>
      <w:r>
        <w:t>Section 14. Regional and community effects</w:t>
      </w:r>
    </w:p>
    <w:p>
      <w:r>
        <w:rPr>
          <w:b w:val="0"/>
          <w:i w:val="0"/>
        </w:rPr>
        <w:t>Research sites shall account for electricity, water, transport, housing, occupational safety, land, environmental impacts, and local emergency needs.</w:t>
      </w:r>
    </w:p>
    <w:p>
      <w:pPr>
        <w:pStyle w:val="Heading2"/>
      </w:pPr>
      <w:r>
        <w:t>Section 15. International participation</w:t>
      </w:r>
    </w:p>
    <w:p>
      <w:r>
        <w:rPr>
          <w:b w:val="0"/>
          <w:i w:val="0"/>
        </w:rPr>
        <w:t>The state may subscribe to common and optional scientific programs under lawful treaties and appropriations while preserving sovereign regulatory powers.</w:t>
      </w:r>
    </w:p>
    <w:p>
      <w:pPr>
        <w:pStyle w:val="Heading2"/>
      </w:pPr>
      <w:r>
        <w:t>Section 16. Independent review and public dashboard</w:t>
      </w:r>
    </w:p>
    <w:p>
      <w:r>
        <w:rPr>
          <w:b w:val="0"/>
          <w:i w:val="0"/>
        </w:rPr>
        <w:t>A national audit institution should verify spending, project milestones, workforce capacity, safety, facilities, and data quality using public reports with narrowly tailored lawful exceptions.</w:t>
      </w:r>
    </w:p>
    <w:p>
      <w:pPr>
        <w:pStyle w:val="Heading2"/>
      </w:pPr>
      <w:r>
        <w:t>Section 17. Long-horizon institutional continuity</w:t>
      </w:r>
    </w:p>
    <w:p>
      <w:r>
        <w:rPr>
          <w:b w:val="0"/>
          <w:i w:val="0"/>
        </w:rPr>
        <w:t>The framework should require periodic capability reviews, scientific archives, workforce succession, continuity tests, and a nonbinding long-range stewardship exercise.</w:t>
      </w:r>
    </w:p>
    <w:p>
      <w:pPr>
        <w:pStyle w:val="Heading2"/>
      </w:pPr>
      <w:r>
        <w:t>Section 18. Savings, severability, and effective date</w:t>
      </w:r>
    </w:p>
    <w:p>
      <w:r>
        <w:rPr>
          <w:b w:val="0"/>
          <w:i w:val="0"/>
        </w:rPr>
        <w:t>The act shall preserve domestic constitutional rights, agency laws, existing legal obligations and judicial review, with an effective date and lawful transitional process suited to the adopting state.</w:t>
      </w:r>
    </w:p>
    <w:p>
      <w:pPr>
        <w:pStyle w:val="Heading2"/>
      </w:pPr>
      <w:r>
        <w:t>Adaptation questions</w:t>
      </w:r>
    </w:p>
    <w:p>
      <w:pPr>
        <w:ind w:left="346" w:hanging="202"/>
      </w:pPr>
      <w:r>
        <w:rPr>
          <w:b/>
        </w:rPr>
        <w:t xml:space="preserve">•  </w:t>
      </w:r>
      <w:r>
        <w:t>Is the state parliamentary, presidential, federal, or unitary, and which entity holds appropriation authority?</w:t>
      </w:r>
    </w:p>
    <w:p>
      <w:pPr>
        <w:ind w:left="346" w:hanging="202"/>
      </w:pPr>
      <w:r>
        <w:rPr>
          <w:b/>
        </w:rPr>
        <w:t xml:space="preserve">•  </w:t>
      </w:r>
      <w:r>
        <w:t>Does domestic law permit continuing appropriations, no-year capital accounts, public pension-style endowments, or sovereign investment funds?</w:t>
      </w:r>
    </w:p>
    <w:p>
      <w:pPr>
        <w:ind w:left="346" w:hanging="202"/>
      </w:pPr>
      <w:r>
        <w:rPr>
          <w:b/>
        </w:rPr>
        <w:t xml:space="preserve">•  </w:t>
      </w:r>
      <w:r>
        <w:t>Which scientific institutions require protected independent peer review and which require executive mission-direction?</w:t>
      </w:r>
    </w:p>
    <w:p>
      <w:pPr>
        <w:ind w:left="346" w:hanging="202"/>
      </w:pPr>
      <w:r>
        <w:rPr>
          <w:b/>
        </w:rPr>
        <w:t xml:space="preserve">•  </w:t>
      </w:r>
      <w:r>
        <w:t>What domestic rules govern public employment, procurement, labor, personal data, research subjects, environmental review, and indigenous communities?</w:t>
      </w:r>
    </w:p>
    <w:p>
      <w:pPr>
        <w:ind w:left="346" w:hanging="202"/>
      </w:pPr>
      <w:r>
        <w:rPr>
          <w:b/>
        </w:rPr>
        <w:t xml:space="preserve">•  </w:t>
      </w:r>
      <w:r>
        <w:t>What treaty and international financial obligations require parliamentary, judicial, or referendum approval?</w:t>
      </w:r>
    </w:p>
    <w:p>
      <w:r>
        <w:br w:type="page"/>
      </w:r>
    </w:p>
    <w:p>
      <w:pPr>
        <w:pStyle w:val="Heading1"/>
      </w:pPr>
      <w:r>
        <w:t>ANNEX H — STAKEHOLDER, DISTRIBUTIONAL, AND PUBLIC-INTEREST REVIEW</w:t>
      </w:r>
    </w:p>
    <w:p>
      <w:pPr>
        <w:pStyle w:val="Heading2"/>
      </w:pPr>
      <w:r>
        <w:t>Stakeholder and incentive matrix</w:t>
      </w:r>
    </w:p>
    <w:tbl>
      <w:tblPr>
        <w:tblStyle w:val="TableGrid"/>
        <w:tblW w:type="auto" w:w="0"/>
        <w:jc w:val="center"/>
        <w:tblLayout w:type="fixed"/>
        <w:tblLook w:firstColumn="1" w:firstRow="1" w:lastColumn="0" w:lastRow="0" w:noHBand="0" w:noVBand="1" w:val="04A0"/>
      </w:tblPr>
      <w:tblGrid>
        <w:gridCol w:w="2462"/>
        <w:gridCol w:w="2462"/>
        <w:gridCol w:w="2462"/>
        <w:gridCol w:w="2462"/>
      </w:tblGrid>
      <w:tr>
        <w:trPr>
          <w:tblHeader w:val="true"/>
          <w:cantSplit/>
        </w:trPr>
        <w:tc>
          <w:tcPr>
            <w:tcW w:type="dxa" w:w="1967"/>
            <w:shd w:fill="E8EBED"/>
          </w:tcPr>
          <w:p>
            <w:pPr>
              <w:spacing w:after="0"/>
            </w:pPr>
            <w:r>
              <w:rPr>
                <w:rFonts w:ascii="Times New Roman" w:hAnsi="Times New Roman"/>
                <w:b/>
                <w:color w:val="172C3C"/>
                <w:sz w:val="15"/>
              </w:rPr>
              <w:t>Group</w:t>
            </w:r>
          </w:p>
        </w:tc>
        <w:tc>
          <w:tcPr>
            <w:tcW w:type="dxa" w:w="2713"/>
            <w:shd w:fill="E8EBED"/>
          </w:tcPr>
          <w:p>
            <w:pPr>
              <w:spacing w:after="0"/>
            </w:pPr>
            <w:r>
              <w:rPr>
                <w:rFonts w:ascii="Times New Roman" w:hAnsi="Times New Roman"/>
                <w:b/>
                <w:color w:val="172C3C"/>
                <w:sz w:val="15"/>
              </w:rPr>
              <w:t>Benefit</w:t>
            </w:r>
          </w:p>
        </w:tc>
        <w:tc>
          <w:tcPr>
            <w:tcW w:type="dxa" w:w="2442"/>
            <w:shd w:fill="E8EBED"/>
          </w:tcPr>
          <w:p>
            <w:pPr>
              <w:spacing w:after="0"/>
            </w:pPr>
            <w:r>
              <w:rPr>
                <w:rFonts w:ascii="Times New Roman" w:hAnsi="Times New Roman"/>
                <w:b/>
                <w:color w:val="172C3C"/>
                <w:sz w:val="15"/>
              </w:rPr>
              <w:t>Primary risk</w:t>
            </w:r>
          </w:p>
        </w:tc>
        <w:tc>
          <w:tcPr>
            <w:tcW w:type="dxa" w:w="2713"/>
            <w:shd w:fill="E8EBED"/>
          </w:tcPr>
          <w:p>
            <w:pPr>
              <w:spacing w:after="0"/>
            </w:pPr>
            <w:r>
              <w:rPr>
                <w:rFonts w:ascii="Times New Roman" w:hAnsi="Times New Roman"/>
                <w:b/>
                <w:color w:val="172C3C"/>
                <w:sz w:val="15"/>
              </w:rPr>
              <w:t>Protection</w:t>
            </w:r>
          </w:p>
        </w:tc>
      </w:tr>
      <w:tr>
        <w:trPr>
          <w:cantSplit/>
        </w:trPr>
        <w:tc>
          <w:tcPr>
            <w:tcW w:type="dxa" w:w="1967"/>
            <w:vAlign w:val="center"/>
          </w:tcPr>
          <w:p>
            <w:pPr>
              <w:spacing w:after="0" w:before="0"/>
            </w:pPr>
            <w:r>
              <w:rPr>
                <w:rFonts w:ascii="Times New Roman" w:hAnsi="Times New Roman"/>
                <w:color w:val="14191C"/>
                <w:sz w:val="15"/>
              </w:rPr>
              <w:t>NASA and mission teams</w:t>
            </w:r>
          </w:p>
        </w:tc>
        <w:tc>
          <w:tcPr>
            <w:tcW w:type="dxa" w:w="2713"/>
            <w:vAlign w:val="center"/>
          </w:tcPr>
          <w:p>
            <w:pPr>
              <w:spacing w:after="0" w:before="0"/>
            </w:pPr>
            <w:r>
              <w:rPr>
                <w:rFonts w:ascii="Times New Roman" w:hAnsi="Times New Roman"/>
                <w:color w:val="14191C"/>
                <w:sz w:val="15"/>
              </w:rPr>
              <w:t>Scientific expansion, better facilities, multidecade continuity</w:t>
            </w:r>
          </w:p>
        </w:tc>
        <w:tc>
          <w:tcPr>
            <w:tcW w:type="dxa" w:w="2442"/>
            <w:vAlign w:val="center"/>
          </w:tcPr>
          <w:p>
            <w:pPr>
              <w:spacing w:after="0" w:before="0"/>
            </w:pPr>
            <w:r>
              <w:rPr>
                <w:rFonts w:ascii="Times New Roman" w:hAnsi="Times New Roman"/>
                <w:color w:val="14191C"/>
                <w:sz w:val="15"/>
              </w:rPr>
              <w:t>Oversight and delivery capacity may lag</w:t>
            </w:r>
          </w:p>
        </w:tc>
        <w:tc>
          <w:tcPr>
            <w:tcW w:type="dxa" w:w="2713"/>
            <w:vAlign w:val="center"/>
          </w:tcPr>
          <w:p>
            <w:pPr>
              <w:spacing w:after="0" w:before="0"/>
            </w:pPr>
            <w:r>
              <w:rPr>
                <w:rFonts w:ascii="Times New Roman" w:hAnsi="Times New Roman"/>
                <w:color w:val="14191C"/>
                <w:sz w:val="15"/>
              </w:rPr>
              <w:t>Independent technical plans, stage gates, protected NASA accounts</w:t>
            </w:r>
          </w:p>
        </w:tc>
      </w:tr>
      <w:tr>
        <w:trPr>
          <w:cantSplit/>
        </w:trPr>
        <w:tc>
          <w:tcPr>
            <w:tcW w:type="dxa" w:w="1967"/>
            <w:vAlign w:val="center"/>
          </w:tcPr>
          <w:p>
            <w:pPr>
              <w:spacing w:after="0" w:before="0"/>
            </w:pPr>
            <w:r>
              <w:rPr>
                <w:rFonts w:ascii="Times New Roman" w:hAnsi="Times New Roman"/>
                <w:color w:val="14191C"/>
                <w:sz w:val="15"/>
              </w:rPr>
              <w:t>DARPA and defense laboratories</w:t>
            </w:r>
          </w:p>
        </w:tc>
        <w:tc>
          <w:tcPr>
            <w:tcW w:type="dxa" w:w="2713"/>
            <w:vAlign w:val="center"/>
          </w:tcPr>
          <w:p>
            <w:pPr>
              <w:spacing w:after="0" w:before="0"/>
            </w:pPr>
            <w:r>
              <w:rPr>
                <w:rFonts w:ascii="Times New Roman" w:hAnsi="Times New Roman"/>
                <w:color w:val="14191C"/>
                <w:sz w:val="15"/>
              </w:rPr>
              <w:t>Deep high-risk portfolio and rapid prototyping</w:t>
            </w:r>
          </w:p>
        </w:tc>
        <w:tc>
          <w:tcPr>
            <w:tcW w:type="dxa" w:w="2442"/>
            <w:vAlign w:val="center"/>
          </w:tcPr>
          <w:p>
            <w:pPr>
              <w:spacing w:after="0" w:before="0"/>
            </w:pPr>
            <w:r>
              <w:rPr>
                <w:rFonts w:ascii="Times New Roman" w:hAnsi="Times New Roman"/>
                <w:color w:val="14191C"/>
                <w:sz w:val="15"/>
              </w:rPr>
              <w:t>Bureaucracy can crowd out program managers</w:t>
            </w:r>
          </w:p>
        </w:tc>
        <w:tc>
          <w:tcPr>
            <w:tcW w:type="dxa" w:w="2713"/>
            <w:vAlign w:val="center"/>
          </w:tcPr>
          <w:p>
            <w:pPr>
              <w:spacing w:after="0" w:before="0"/>
            </w:pPr>
            <w:r>
              <w:rPr>
                <w:rFonts w:ascii="Times New Roman" w:hAnsi="Times New Roman"/>
                <w:color w:val="14191C"/>
                <w:sz w:val="15"/>
              </w:rPr>
              <w:t>Compact management, protected performers, technical validation</w:t>
            </w:r>
          </w:p>
        </w:tc>
      </w:tr>
      <w:tr>
        <w:trPr>
          <w:cantSplit/>
        </w:trPr>
        <w:tc>
          <w:tcPr>
            <w:tcW w:type="dxa" w:w="1967"/>
            <w:vAlign w:val="center"/>
          </w:tcPr>
          <w:p>
            <w:pPr>
              <w:spacing w:after="0" w:before="0"/>
            </w:pPr>
            <w:r>
              <w:rPr>
                <w:rFonts w:ascii="Times New Roman" w:hAnsi="Times New Roman"/>
                <w:color w:val="14191C"/>
                <w:sz w:val="15"/>
              </w:rPr>
              <w:t>NSF, DOE, NIST, NOAA, USGS</w:t>
            </w:r>
          </w:p>
        </w:tc>
        <w:tc>
          <w:tcPr>
            <w:tcW w:type="dxa" w:w="2713"/>
            <w:vAlign w:val="center"/>
          </w:tcPr>
          <w:p>
            <w:pPr>
              <w:spacing w:after="0" w:before="0"/>
            </w:pPr>
            <w:r>
              <w:rPr>
                <w:rFonts w:ascii="Times New Roman" w:hAnsi="Times New Roman"/>
                <w:color w:val="14191C"/>
                <w:sz w:val="15"/>
              </w:rPr>
              <w:t>Investigator-led science and shared facilities</w:t>
            </w:r>
          </w:p>
        </w:tc>
        <w:tc>
          <w:tcPr>
            <w:tcW w:type="dxa" w:w="2442"/>
            <w:vAlign w:val="center"/>
          </w:tcPr>
          <w:p>
            <w:pPr>
              <w:spacing w:after="0" w:before="0"/>
            </w:pPr>
            <w:r>
              <w:rPr>
                <w:rFonts w:ascii="Times New Roman" w:hAnsi="Times New Roman"/>
                <w:color w:val="14191C"/>
                <w:sz w:val="15"/>
              </w:rPr>
              <w:t>Mission megaprojects may absorb attention</w:t>
            </w:r>
          </w:p>
        </w:tc>
        <w:tc>
          <w:tcPr>
            <w:tcW w:type="dxa" w:w="2713"/>
            <w:vAlign w:val="center"/>
          </w:tcPr>
          <w:p>
            <w:pPr>
              <w:spacing w:after="0" w:before="0"/>
            </w:pPr>
            <w:r>
              <w:rPr>
                <w:rFonts w:ascii="Times New Roman" w:hAnsi="Times New Roman"/>
                <w:color w:val="14191C"/>
                <w:sz w:val="15"/>
              </w:rPr>
              <w:t>Separate $49.845B Network account and program-specific management</w:t>
            </w:r>
          </w:p>
        </w:tc>
      </w:tr>
      <w:tr>
        <w:trPr>
          <w:cantSplit/>
        </w:trPr>
        <w:tc>
          <w:tcPr>
            <w:tcW w:type="dxa" w:w="1967"/>
            <w:vAlign w:val="center"/>
          </w:tcPr>
          <w:p>
            <w:pPr>
              <w:spacing w:after="0" w:before="0"/>
            </w:pPr>
            <w:r>
              <w:rPr>
                <w:rFonts w:ascii="Times New Roman" w:hAnsi="Times New Roman"/>
                <w:color w:val="14191C"/>
                <w:sz w:val="15"/>
              </w:rPr>
              <w:t>Universities and research nonprofits</w:t>
            </w:r>
          </w:p>
        </w:tc>
        <w:tc>
          <w:tcPr>
            <w:tcW w:type="dxa" w:w="2713"/>
            <w:vAlign w:val="center"/>
          </w:tcPr>
          <w:p>
            <w:pPr>
              <w:spacing w:after="0" w:before="0"/>
            </w:pPr>
            <w:r>
              <w:rPr>
                <w:rFonts w:ascii="Times New Roman" w:hAnsi="Times New Roman"/>
                <w:color w:val="14191C"/>
                <w:sz w:val="15"/>
              </w:rPr>
              <w:t>Access to awards, compute and instruments</w:t>
            </w:r>
          </w:p>
        </w:tc>
        <w:tc>
          <w:tcPr>
            <w:tcW w:type="dxa" w:w="2442"/>
            <w:vAlign w:val="center"/>
          </w:tcPr>
          <w:p>
            <w:pPr>
              <w:spacing w:after="0" w:before="0"/>
            </w:pPr>
            <w:r>
              <w:rPr>
                <w:rFonts w:ascii="Times New Roman" w:hAnsi="Times New Roman"/>
                <w:color w:val="14191C"/>
                <w:sz w:val="15"/>
              </w:rPr>
              <w:t>Compliance burden and slow grant decisions</w:t>
            </w:r>
          </w:p>
        </w:tc>
        <w:tc>
          <w:tcPr>
            <w:tcW w:type="dxa" w:w="2713"/>
            <w:vAlign w:val="center"/>
          </w:tcPr>
          <w:p>
            <w:pPr>
              <w:spacing w:after="0" w:before="0"/>
            </w:pPr>
            <w:r>
              <w:rPr>
                <w:rFonts w:ascii="Times New Roman" w:hAnsi="Times New Roman"/>
                <w:color w:val="14191C"/>
                <w:sz w:val="15"/>
              </w:rPr>
              <w:t>Simple proposals, shared science services, proportional security</w:t>
            </w:r>
          </w:p>
        </w:tc>
      </w:tr>
      <w:tr>
        <w:trPr>
          <w:cantSplit/>
        </w:trPr>
        <w:tc>
          <w:tcPr>
            <w:tcW w:type="dxa" w:w="1967"/>
            <w:vAlign w:val="center"/>
          </w:tcPr>
          <w:p>
            <w:pPr>
              <w:spacing w:after="0" w:before="0"/>
            </w:pPr>
            <w:r>
              <w:rPr>
                <w:rFonts w:ascii="Times New Roman" w:hAnsi="Times New Roman"/>
                <w:color w:val="14191C"/>
                <w:sz w:val="15"/>
              </w:rPr>
              <w:t>Technicians, trades, research support</w:t>
            </w:r>
          </w:p>
        </w:tc>
        <w:tc>
          <w:tcPr>
            <w:tcW w:type="dxa" w:w="2713"/>
            <w:vAlign w:val="center"/>
          </w:tcPr>
          <w:p>
            <w:pPr>
              <w:spacing w:after="0" w:before="0"/>
            </w:pPr>
            <w:r>
              <w:rPr>
                <w:rFonts w:ascii="Times New Roman" w:hAnsi="Times New Roman"/>
                <w:color w:val="14191C"/>
                <w:sz w:val="15"/>
              </w:rPr>
              <w:t>Paid pathways, technical career growth</w:t>
            </w:r>
          </w:p>
        </w:tc>
        <w:tc>
          <w:tcPr>
            <w:tcW w:type="dxa" w:w="2442"/>
            <w:vAlign w:val="center"/>
          </w:tcPr>
          <w:p>
            <w:pPr>
              <w:spacing w:after="0" w:before="0"/>
            </w:pPr>
            <w:r>
              <w:rPr>
                <w:rFonts w:ascii="Times New Roman" w:hAnsi="Times New Roman"/>
                <w:color w:val="14191C"/>
                <w:sz w:val="15"/>
              </w:rPr>
              <w:t>Degree gatekeeping and project labor shortages</w:t>
            </w:r>
          </w:p>
        </w:tc>
        <w:tc>
          <w:tcPr>
            <w:tcW w:type="dxa" w:w="2713"/>
            <w:vAlign w:val="center"/>
          </w:tcPr>
          <w:p>
            <w:pPr>
              <w:spacing w:after="0" w:before="0"/>
            </w:pPr>
            <w:r>
              <w:rPr>
                <w:rFonts w:ascii="Times New Roman" w:hAnsi="Times New Roman"/>
                <w:color w:val="14191C"/>
                <w:sz w:val="15"/>
              </w:rPr>
              <w:t>$20B workforce account and competency-based recruitment</w:t>
            </w:r>
          </w:p>
        </w:tc>
      </w:tr>
      <w:tr>
        <w:trPr>
          <w:cantSplit/>
        </w:trPr>
        <w:tc>
          <w:tcPr>
            <w:tcW w:type="dxa" w:w="1967"/>
            <w:vAlign w:val="center"/>
          </w:tcPr>
          <w:p>
            <w:pPr>
              <w:spacing w:after="0" w:before="0"/>
            </w:pPr>
            <w:r>
              <w:rPr>
                <w:rFonts w:ascii="Times New Roman" w:hAnsi="Times New Roman"/>
                <w:color w:val="14191C"/>
                <w:sz w:val="15"/>
              </w:rPr>
              <w:t>Small and new firms</w:t>
            </w:r>
          </w:p>
        </w:tc>
        <w:tc>
          <w:tcPr>
            <w:tcW w:type="dxa" w:w="2713"/>
            <w:vAlign w:val="center"/>
          </w:tcPr>
          <w:p>
            <w:pPr>
              <w:spacing w:after="0" w:before="0"/>
            </w:pPr>
            <w:r>
              <w:rPr>
                <w:rFonts w:ascii="Times New Roman" w:hAnsi="Times New Roman"/>
                <w:color w:val="14191C"/>
                <w:sz w:val="15"/>
              </w:rPr>
              <w:t>More pilots, fair award access and public procurement</w:t>
            </w:r>
          </w:p>
        </w:tc>
        <w:tc>
          <w:tcPr>
            <w:tcW w:type="dxa" w:w="2442"/>
            <w:vAlign w:val="center"/>
          </w:tcPr>
          <w:p>
            <w:pPr>
              <w:spacing w:after="0" w:before="0"/>
            </w:pPr>
            <w:r>
              <w:rPr>
                <w:rFonts w:ascii="Times New Roman" w:hAnsi="Times New Roman"/>
                <w:color w:val="14191C"/>
                <w:sz w:val="15"/>
              </w:rPr>
              <w:t>Large incumbents may dominate awards</w:t>
            </w:r>
          </w:p>
        </w:tc>
        <w:tc>
          <w:tcPr>
            <w:tcW w:type="dxa" w:w="2713"/>
            <w:vAlign w:val="center"/>
          </w:tcPr>
          <w:p>
            <w:pPr>
              <w:spacing w:after="0" w:before="0"/>
            </w:pPr>
            <w:r>
              <w:rPr>
                <w:rFonts w:ascii="Times New Roman" w:hAnsi="Times New Roman"/>
                <w:color w:val="14191C"/>
                <w:sz w:val="15"/>
              </w:rPr>
              <w:t>Data rights, open solicitations, IP templates, anti-capture review</w:t>
            </w:r>
          </w:p>
        </w:tc>
      </w:tr>
      <w:tr>
        <w:trPr>
          <w:cantSplit/>
        </w:trPr>
        <w:tc>
          <w:tcPr>
            <w:tcW w:type="dxa" w:w="1967"/>
            <w:vAlign w:val="center"/>
          </w:tcPr>
          <w:p>
            <w:pPr>
              <w:spacing w:after="0" w:before="0"/>
            </w:pPr>
            <w:r>
              <w:rPr>
                <w:rFonts w:ascii="Times New Roman" w:hAnsi="Times New Roman"/>
                <w:color w:val="14191C"/>
                <w:sz w:val="15"/>
              </w:rPr>
              <w:t>Large contractors</w:t>
            </w:r>
          </w:p>
        </w:tc>
        <w:tc>
          <w:tcPr>
            <w:tcW w:type="dxa" w:w="2713"/>
            <w:vAlign w:val="center"/>
          </w:tcPr>
          <w:p>
            <w:pPr>
              <w:spacing w:after="0" w:before="0"/>
            </w:pPr>
            <w:r>
              <w:rPr>
                <w:rFonts w:ascii="Times New Roman" w:hAnsi="Times New Roman"/>
                <w:color w:val="14191C"/>
                <w:sz w:val="15"/>
              </w:rPr>
              <w:t>Complex development work and stable demand</w:t>
            </w:r>
          </w:p>
        </w:tc>
        <w:tc>
          <w:tcPr>
            <w:tcW w:type="dxa" w:w="2442"/>
            <w:vAlign w:val="center"/>
          </w:tcPr>
          <w:p>
            <w:pPr>
              <w:spacing w:after="0" w:before="0"/>
            </w:pPr>
            <w:r>
              <w:rPr>
                <w:rFonts w:ascii="Times New Roman" w:hAnsi="Times New Roman"/>
                <w:color w:val="14191C"/>
                <w:sz w:val="15"/>
              </w:rPr>
              <w:t>Technical concentration and conflicts</w:t>
            </w:r>
          </w:p>
        </w:tc>
        <w:tc>
          <w:tcPr>
            <w:tcW w:type="dxa" w:w="2713"/>
            <w:vAlign w:val="center"/>
          </w:tcPr>
          <w:p>
            <w:pPr>
              <w:spacing w:after="0" w:before="0"/>
            </w:pPr>
            <w:r>
              <w:rPr>
                <w:rFonts w:ascii="Times New Roman" w:hAnsi="Times New Roman"/>
                <w:color w:val="14191C"/>
                <w:sz w:val="15"/>
              </w:rPr>
              <w:t>Independent estimates, competition and lifecycle accountability</w:t>
            </w:r>
          </w:p>
        </w:tc>
      </w:tr>
      <w:tr>
        <w:trPr>
          <w:cantSplit/>
        </w:trPr>
        <w:tc>
          <w:tcPr>
            <w:tcW w:type="dxa" w:w="1967"/>
            <w:vAlign w:val="center"/>
          </w:tcPr>
          <w:p>
            <w:pPr>
              <w:spacing w:after="0" w:before="0"/>
            </w:pPr>
            <w:r>
              <w:rPr>
                <w:rFonts w:ascii="Times New Roman" w:hAnsi="Times New Roman"/>
                <w:color w:val="14191C"/>
                <w:sz w:val="15"/>
              </w:rPr>
              <w:t>Regional and tribal communities</w:t>
            </w:r>
          </w:p>
        </w:tc>
        <w:tc>
          <w:tcPr>
            <w:tcW w:type="dxa" w:w="2713"/>
            <w:vAlign w:val="center"/>
          </w:tcPr>
          <w:p>
            <w:pPr>
              <w:spacing w:after="0" w:before="0"/>
            </w:pPr>
            <w:r>
              <w:rPr>
                <w:rFonts w:ascii="Times New Roman" w:hAnsi="Times New Roman"/>
                <w:color w:val="14191C"/>
                <w:sz w:val="15"/>
              </w:rPr>
              <w:t>Facility investment and jobs</w:t>
            </w:r>
          </w:p>
        </w:tc>
        <w:tc>
          <w:tcPr>
            <w:tcW w:type="dxa" w:w="2442"/>
            <w:vAlign w:val="center"/>
          </w:tcPr>
          <w:p>
            <w:pPr>
              <w:spacing w:after="0" w:before="0"/>
            </w:pPr>
            <w:r>
              <w:rPr>
                <w:rFonts w:ascii="Times New Roman" w:hAnsi="Times New Roman"/>
                <w:color w:val="14191C"/>
                <w:sz w:val="15"/>
              </w:rPr>
              <w:t>Local housing, utilities, land and environmental impacts</w:t>
            </w:r>
          </w:p>
        </w:tc>
        <w:tc>
          <w:tcPr>
            <w:tcW w:type="dxa" w:w="2713"/>
            <w:vAlign w:val="center"/>
          </w:tcPr>
          <w:p>
            <w:pPr>
              <w:spacing w:after="0" w:before="0"/>
            </w:pPr>
            <w:r>
              <w:rPr>
                <w:rFonts w:ascii="Times New Roman" w:hAnsi="Times New Roman"/>
                <w:color w:val="14191C"/>
                <w:sz w:val="15"/>
              </w:rPr>
              <w:t>Impact plans, lawful agreements, environmental protections</w:t>
            </w:r>
          </w:p>
        </w:tc>
      </w:tr>
      <w:tr>
        <w:trPr>
          <w:cantSplit/>
        </w:trPr>
        <w:tc>
          <w:tcPr>
            <w:tcW w:type="dxa" w:w="1967"/>
            <w:vAlign w:val="center"/>
          </w:tcPr>
          <w:p>
            <w:pPr>
              <w:spacing w:after="0" w:before="0"/>
            </w:pPr>
            <w:r>
              <w:rPr>
                <w:rFonts w:ascii="Times New Roman" w:hAnsi="Times New Roman"/>
                <w:color w:val="14191C"/>
                <w:sz w:val="15"/>
              </w:rPr>
              <w:t>Civil-rights and safety groups</w:t>
            </w:r>
          </w:p>
        </w:tc>
        <w:tc>
          <w:tcPr>
            <w:tcW w:type="dxa" w:w="2713"/>
            <w:vAlign w:val="center"/>
          </w:tcPr>
          <w:p>
            <w:pPr>
              <w:spacing w:after="0" w:before="0"/>
            </w:pPr>
            <w:r>
              <w:rPr>
                <w:rFonts w:ascii="Times New Roman" w:hAnsi="Times New Roman"/>
                <w:color w:val="14191C"/>
                <w:sz w:val="15"/>
              </w:rPr>
              <w:t>Rights protections and independent review</w:t>
            </w:r>
          </w:p>
        </w:tc>
        <w:tc>
          <w:tcPr>
            <w:tcW w:type="dxa" w:w="2442"/>
            <w:vAlign w:val="center"/>
          </w:tcPr>
          <w:p>
            <w:pPr>
              <w:spacing w:after="0" w:before="0"/>
            </w:pPr>
            <w:r>
              <w:rPr>
                <w:rFonts w:ascii="Times New Roman" w:hAnsi="Times New Roman"/>
                <w:color w:val="14191C"/>
                <w:sz w:val="15"/>
              </w:rPr>
              <w:t>AI, biotech and cyber could threaten people</w:t>
            </w:r>
          </w:p>
        </w:tc>
        <w:tc>
          <w:tcPr>
            <w:tcW w:type="dxa" w:w="2713"/>
            <w:vAlign w:val="center"/>
          </w:tcPr>
          <w:p>
            <w:pPr>
              <w:spacing w:after="0" w:before="0"/>
            </w:pPr>
            <w:r>
              <w:rPr>
                <w:rFonts w:ascii="Times New Roman" w:hAnsi="Times New Roman"/>
                <w:color w:val="14191C"/>
                <w:sz w:val="15"/>
              </w:rPr>
              <w:t>Explicit rights savings, no new surveillance, risk controls</w:t>
            </w:r>
          </w:p>
        </w:tc>
      </w:tr>
      <w:tr>
        <w:trPr>
          <w:cantSplit/>
        </w:trPr>
        <w:tc>
          <w:tcPr>
            <w:tcW w:type="dxa" w:w="1967"/>
            <w:vAlign w:val="center"/>
          </w:tcPr>
          <w:p>
            <w:pPr>
              <w:spacing w:after="0" w:before="0"/>
            </w:pPr>
            <w:r>
              <w:rPr>
                <w:rFonts w:ascii="Times New Roman" w:hAnsi="Times New Roman"/>
                <w:color w:val="14191C"/>
                <w:sz w:val="15"/>
              </w:rPr>
              <w:t>Financial markets and taxpayers</w:t>
            </w:r>
          </w:p>
        </w:tc>
        <w:tc>
          <w:tcPr>
            <w:tcW w:type="dxa" w:w="2713"/>
            <w:vAlign w:val="center"/>
          </w:tcPr>
          <w:p>
            <w:pPr>
              <w:spacing w:after="0" w:before="0"/>
            </w:pPr>
            <w:r>
              <w:rPr>
                <w:rFonts w:ascii="Times New Roman" w:hAnsi="Times New Roman"/>
                <w:color w:val="14191C"/>
                <w:sz w:val="15"/>
              </w:rPr>
              <w:t>Potential scientific spillovers and resilience</w:t>
            </w:r>
          </w:p>
        </w:tc>
        <w:tc>
          <w:tcPr>
            <w:tcW w:type="dxa" w:w="2442"/>
            <w:vAlign w:val="center"/>
          </w:tcPr>
          <w:p>
            <w:pPr>
              <w:spacing w:after="0" w:before="0"/>
            </w:pPr>
            <w:r>
              <w:rPr>
                <w:rFonts w:ascii="Times New Roman" w:hAnsi="Times New Roman"/>
                <w:color w:val="14191C"/>
                <w:sz w:val="15"/>
              </w:rPr>
              <w:t>Tax incidence, deficits and financial-market effects</w:t>
            </w:r>
          </w:p>
        </w:tc>
        <w:tc>
          <w:tcPr>
            <w:tcW w:type="dxa" w:w="2713"/>
            <w:vAlign w:val="center"/>
          </w:tcPr>
          <w:p>
            <w:pPr>
              <w:spacing w:after="0" w:before="0"/>
            </w:pPr>
            <w:r>
              <w:rPr>
                <w:rFonts w:ascii="Times New Roman" w:hAnsi="Times New Roman"/>
                <w:color w:val="14191C"/>
                <w:sz w:val="15"/>
              </w:rPr>
              <w:t>Explicit scoring, incidence report, Treasury backstop disclosure</w:t>
            </w:r>
          </w:p>
        </w:tc>
      </w:tr>
      <w:tr>
        <w:trPr>
          <w:cantSplit/>
        </w:trPr>
        <w:tc>
          <w:tcPr>
            <w:tcW w:type="dxa" w:w="1967"/>
            <w:vAlign w:val="center"/>
          </w:tcPr>
          <w:p>
            <w:pPr>
              <w:spacing w:after="0" w:before="0"/>
            </w:pPr>
            <w:r>
              <w:rPr>
                <w:rFonts w:ascii="Times New Roman" w:hAnsi="Times New Roman"/>
                <w:color w:val="14191C"/>
                <w:sz w:val="15"/>
              </w:rPr>
              <w:t>International partners</w:t>
            </w:r>
          </w:p>
        </w:tc>
        <w:tc>
          <w:tcPr>
            <w:tcW w:type="dxa" w:w="2713"/>
            <w:vAlign w:val="center"/>
          </w:tcPr>
          <w:p>
            <w:pPr>
              <w:spacing w:after="0" w:before="0"/>
            </w:pPr>
            <w:r>
              <w:rPr>
                <w:rFonts w:ascii="Times New Roman" w:hAnsi="Times New Roman"/>
                <w:color w:val="14191C"/>
                <w:sz w:val="15"/>
              </w:rPr>
              <w:t>Shared facilities, mobility and archives</w:t>
            </w:r>
          </w:p>
        </w:tc>
        <w:tc>
          <w:tcPr>
            <w:tcW w:type="dxa" w:w="2442"/>
            <w:vAlign w:val="center"/>
          </w:tcPr>
          <w:p>
            <w:pPr>
              <w:spacing w:after="0" w:before="0"/>
            </w:pPr>
            <w:r>
              <w:rPr>
                <w:rFonts w:ascii="Times New Roman" w:hAnsi="Times New Roman"/>
                <w:color w:val="14191C"/>
                <w:sz w:val="15"/>
              </w:rPr>
              <w:t>Unequal contributions or sovereign concerns</w:t>
            </w:r>
          </w:p>
        </w:tc>
        <w:tc>
          <w:tcPr>
            <w:tcW w:type="dxa" w:w="2713"/>
            <w:vAlign w:val="center"/>
          </w:tcPr>
          <w:p>
            <w:pPr>
              <w:spacing w:after="0" w:before="0"/>
            </w:pPr>
            <w:r>
              <w:rPr>
                <w:rFonts w:ascii="Times New Roman" w:hAnsi="Times New Roman"/>
                <w:color w:val="14191C"/>
                <w:sz w:val="15"/>
              </w:rPr>
              <w:t>Model voluntary treaty, optional subscriptions and audit</w:t>
            </w:r>
          </w:p>
        </w:tc>
      </w:tr>
      <w:tr>
        <w:trPr>
          <w:cantSplit/>
        </w:trPr>
        <w:tc>
          <w:tcPr>
            <w:tcW w:type="dxa" w:w="1967"/>
            <w:vAlign w:val="center"/>
          </w:tcPr>
          <w:p>
            <w:pPr>
              <w:spacing w:after="0" w:before="0"/>
            </w:pPr>
            <w:r>
              <w:rPr>
                <w:rFonts w:ascii="Times New Roman" w:hAnsi="Times New Roman"/>
                <w:color w:val="14191C"/>
                <w:sz w:val="15"/>
              </w:rPr>
              <w:t>Future generations</w:t>
            </w:r>
          </w:p>
        </w:tc>
        <w:tc>
          <w:tcPr>
            <w:tcW w:type="dxa" w:w="2713"/>
            <w:vAlign w:val="center"/>
          </w:tcPr>
          <w:p>
            <w:pPr>
              <w:spacing w:after="0" w:before="0"/>
            </w:pPr>
            <w:r>
              <w:rPr>
                <w:rFonts w:ascii="Times New Roman" w:hAnsi="Times New Roman"/>
                <w:color w:val="14191C"/>
                <w:sz w:val="15"/>
              </w:rPr>
              <w:t>Long-lived knowledge, institutions and infrastructure</w:t>
            </w:r>
          </w:p>
        </w:tc>
        <w:tc>
          <w:tcPr>
            <w:tcW w:type="dxa" w:w="2442"/>
            <w:vAlign w:val="center"/>
          </w:tcPr>
          <w:p>
            <w:pPr>
              <w:spacing w:after="0" w:before="0"/>
            </w:pPr>
            <w:r>
              <w:rPr>
                <w:rFonts w:ascii="Times New Roman" w:hAnsi="Times New Roman"/>
                <w:color w:val="14191C"/>
                <w:sz w:val="15"/>
              </w:rPr>
              <w:t>Capital depletion and obsolete facilities</w:t>
            </w:r>
          </w:p>
        </w:tc>
        <w:tc>
          <w:tcPr>
            <w:tcW w:type="dxa" w:w="2713"/>
            <w:vAlign w:val="center"/>
          </w:tcPr>
          <w:p>
            <w:pPr>
              <w:spacing w:after="0" w:before="0"/>
            </w:pPr>
            <w:r>
              <w:rPr>
                <w:rFonts w:ascii="Times New Roman" w:hAnsi="Times New Roman"/>
                <w:color w:val="14191C"/>
                <w:sz w:val="15"/>
              </w:rPr>
              <w:t>50-times target, archives, succession, recurring stewardship</w:t>
            </w:r>
          </w:p>
        </w:tc>
      </w:tr>
    </w:tbl>
    <w:p>
      <w:pPr>
        <w:spacing w:after="20"/>
      </w:pPr>
    </w:p>
    <w:p>
      <w:pPr>
        <w:pStyle w:val="Heading2"/>
      </w:pPr>
      <w:r>
        <w:t>Research-market effects</w:t>
      </w:r>
    </w:p>
    <w:p>
      <w:r>
        <w:rPr>
          <w:b w:val="0"/>
          <w:i w:val="0"/>
        </w:rPr>
        <w:t>At this scale, public science policy can increase research demand faster than trained personnel or highly specialized supplier capacity can grow. Public awards may attract private R&amp;D and create new commercial opportunities, but they may also temporarily compete for skilled workers, power, land, specialized instruments, and construction resources. Independent reviews must examine both effects rather than assume that all funding produces immediate additional national capability.</w:t>
      </w:r>
    </w:p>
    <w:p>
      <w:pPr>
        <w:pStyle w:val="Heading2"/>
      </w:pPr>
      <w:r>
        <w:t>Fiscal and household distribution</w:t>
      </w:r>
    </w:p>
    <w:p>
      <w:r>
        <w:rPr>
          <w:b w:val="0"/>
          <w:i w:val="0"/>
        </w:rPr>
        <w:t>The Financial-Transactions Contribution could affect liquidity, bid-ask spreads, investor returns, pension portfolios, retirement saving, institutional trading, and cross-border capital movement. A stock-repurchase contribution may influence dividends and the allocation of corporate cash. The Act requires ongoing tax-incidence and revenue-base evaluation; it does not treat financial transaction taxes as free revenue.</w:t>
      </w:r>
    </w:p>
    <w:p>
      <w:pPr>
        <w:pStyle w:val="Heading2"/>
      </w:pPr>
      <w:r>
        <w:t>Rights and geographic distribution</w:t>
      </w:r>
    </w:p>
    <w:p>
      <w:r>
        <w:rPr>
          <w:b w:val="0"/>
          <w:i w:val="0"/>
        </w:rPr>
        <w:t>The Act does not allocate scientific awards by a uniform district formula; scientific merit and mission requirements remain primary. Separate regional capacity and training provisions help qualified institutions in under-resourced regions participate. Facility siting decisions remain subject to labor, environmental, tribal and community protections; national science goals do not extinguish local legal rights.</w:t>
      </w:r>
    </w:p>
    <w:p>
      <w:r>
        <w:br w:type="page"/>
      </w:r>
    </w:p>
    <w:p>
      <w:pPr>
        <w:pStyle w:val="Heading1"/>
      </w:pPr>
      <w:r>
        <w:t>ANNEX I — TITLE-BY-TITLE LEGISLATIVE COMMENTARY</w:t>
      </w:r>
    </w:p>
    <w:p>
      <w:r>
        <w:rPr>
          <w:b w:val="0"/>
          <w:i w:val="0"/>
        </w:rPr>
        <w:t>The following commentary explains the principal legal effect of each statutory title. Commentary is explanatory and does not alter the operative text.</w:t>
      </w:r>
    </w:p>
    <w:p>
      <w:pPr>
        <w:pStyle w:val="Heading2"/>
      </w:pPr>
      <w:r>
        <w:t>Title I - General Provisions, Purposes, Findings, And Definitions</w:t>
      </w:r>
    </w:p>
    <w:p>
      <w:r>
        <w:rPr>
          <w:b w:val="0"/>
          <w:i w:val="0"/>
        </w:rPr>
        <w:t>Defines public-science purposes, constitutional mission boundaries, and a stewardship rather than an impossible promise of permanent scientific results.</w:t>
      </w:r>
    </w:p>
    <w:p>
      <w:pPr>
        <w:pStyle w:val="Heading2"/>
      </w:pPr>
      <w:r>
        <w:t>Title II - National Science And Exploration Funding Compact</w:t>
      </w:r>
    </w:p>
    <w:p>
      <w:r>
        <w:rPr>
          <w:b w:val="0"/>
          <w:i w:val="0"/>
        </w:rPr>
        <w:t>Creates six-times-FY2025 NASA and DARPA agency funding floors, complementary scientific accounts, and a single exact annual appropriation with anti-double-counting rules.</w:t>
      </w:r>
    </w:p>
    <w:p>
      <w:pPr>
        <w:pStyle w:val="Heading2"/>
      </w:pPr>
      <w:r>
        <w:t>Title III - Scientific Autonomy, Research Freedom, And Institutional Governance</w:t>
      </w:r>
    </w:p>
    <w:p>
      <w:r>
        <w:rPr>
          <w:b w:val="0"/>
          <w:i w:val="0"/>
        </w:rPr>
        <w:t>Protects scientific integrity, independent technical judgment, peer review, dissent, and lawful publication without insulating agencies from elected policy direction.</w:t>
      </w:r>
    </w:p>
    <w:p>
      <w:pPr>
        <w:pStyle w:val="Heading2"/>
      </w:pPr>
      <w:r>
        <w:t>Title IV - Space Future Fund And Intergenerational Finance</w:t>
      </w:r>
    </w:p>
    <w:p>
      <w:r>
        <w:rPr>
          <w:b w:val="0"/>
          <w:i w:val="0"/>
        </w:rPr>
        <w:t>Supplies the Treasury backstop, dedicated tax offsets, Stabilization Account, 50-times Endowment target, and honest fiscal disclosures.</w:t>
      </w:r>
    </w:p>
    <w:p>
      <w:pPr>
        <w:pStyle w:val="Heading2"/>
      </w:pPr>
      <w:r>
        <w:t>Title V - National Scientific Infrastructure Authority And Research Environments</w:t>
      </w:r>
    </w:p>
    <w:p>
      <w:r>
        <w:rPr>
          <w:b w:val="0"/>
          <w:i w:val="0"/>
        </w:rPr>
        <w:t>Creates professional capacity to build and sustain scientific facilities while protecting environmental, safety, workforce, utility, and scientific access requirements.</w:t>
      </w:r>
    </w:p>
    <w:p>
      <w:pPr>
        <w:pStyle w:val="Heading2"/>
      </w:pPr>
      <w:r>
        <w:t>Title VI - Nasa Capacity, Science, Exploration, And Aeronautics</w:t>
      </w:r>
    </w:p>
    <w:p>
      <w:r>
        <w:rPr>
          <w:b w:val="0"/>
          <w:i w:val="0"/>
        </w:rPr>
        <w:t>Expands NASA mission portfolios while preserving civilian oversight, scientific competition, technical independence, flight safety, and accountable lifecycle costs.</w:t>
      </w:r>
    </w:p>
    <w:p>
      <w:pPr>
        <w:pStyle w:val="Heading2"/>
      </w:pPr>
      <w:r>
        <w:t>Title VII - Darpa Capacity And High-Risk Research</w:t>
      </w:r>
    </w:p>
    <w:p>
      <w:r>
        <w:rPr>
          <w:b w:val="0"/>
          <w:i w:val="0"/>
        </w:rPr>
        <w:t>Preserves DARPA program-manager autonomy, time-limited talent renewal, failure tolerance, independent tests, lawful Other Transactions, and multiple technology transition paths.</w:t>
      </w:r>
    </w:p>
    <w:p>
      <w:pPr>
        <w:pStyle w:val="Heading2"/>
      </w:pPr>
      <w:r>
        <w:t>Title VIII - Federal Frontier Science Network</w:t>
      </w:r>
    </w:p>
    <w:p>
      <w:r>
        <w:rPr>
          <w:b w:val="0"/>
          <w:i w:val="0"/>
        </w:rPr>
        <w:t>Coordinates NSF, DOE, NIST, NOAA, USGS and other science agencies without imposing a uniform, mission-directed research culture.</w:t>
      </w:r>
    </w:p>
    <w:p>
      <w:pPr>
        <w:pStyle w:val="Heading2"/>
      </w:pPr>
      <w:r>
        <w:t>Title IX - Fundamental Science, Grand Instruments, And Discovery</w:t>
      </w:r>
    </w:p>
    <w:p>
      <w:r>
        <w:rPr>
          <w:b w:val="0"/>
          <w:i w:val="0"/>
        </w:rPr>
        <w:t>Protects investigator-led basic science, major user instruments, independent verification and long-duration scientific observations.</w:t>
      </w:r>
    </w:p>
    <w:p>
      <w:pPr>
        <w:pStyle w:val="Heading2"/>
      </w:pPr>
      <w:r>
        <w:t>Title X - Grand Challenges, Moonshots, And Far-Horizon Research</w:t>
      </w:r>
    </w:p>
    <w:p>
      <w:r>
        <w:rPr>
          <w:b w:val="0"/>
          <w:i w:val="0"/>
        </w:rPr>
        <w:t>Finances speculative but testable Grand Challenges, prizes, seed research, and informative failure with rigorous scaling rules.</w:t>
      </w:r>
    </w:p>
    <w:p>
      <w:pPr>
        <w:pStyle w:val="Heading2"/>
      </w:pPr>
      <w:r>
        <w:t>Title XI - Cislunar, Lunar, Mars, And Deep-Space Systems</w:t>
      </w:r>
    </w:p>
    <w:p>
      <w:r>
        <w:rPr>
          <w:b w:val="0"/>
          <w:i w:val="0"/>
        </w:rPr>
        <w:t>Supports lunar, cislunar, Mars and deep-space scientific access, logistics, communications, and safe mission integration.</w:t>
      </w:r>
    </w:p>
    <w:p>
      <w:pPr>
        <w:pStyle w:val="Heading2"/>
      </w:pPr>
      <w:r>
        <w:t>Title XII - Astronomy, Astrophysics, Heliophysics, And Planetary Science</w:t>
      </w:r>
    </w:p>
    <w:p>
      <w:r>
        <w:rPr>
          <w:b w:val="0"/>
          <w:i w:val="0"/>
        </w:rPr>
        <w:t>Maintains astronomical, astrophysical, heliophysical, planetary and life-detection science mission continuity.</w:t>
      </w:r>
    </w:p>
    <w:p>
      <w:pPr>
        <w:pStyle w:val="Heading2"/>
      </w:pPr>
      <w:r>
        <w:t>Title XIII - Aeronautics, Advanced Mobility, And Transport</w:t>
      </w:r>
    </w:p>
    <w:p>
      <w:r>
        <w:rPr>
          <w:b w:val="0"/>
          <w:i w:val="0"/>
        </w:rPr>
        <w:t>Finances high-risk civil aeronautics while preserving flight safety, regulatory authority, and external operational impacts.</w:t>
      </w:r>
    </w:p>
    <w:p>
      <w:pPr>
        <w:pStyle w:val="Heading2"/>
      </w:pPr>
      <w:r>
        <w:t>Title XIV - Computing, Artificial Intelligence, Quantum, Robotics, And Cyber-Physical Systems</w:t>
      </w:r>
    </w:p>
    <w:p>
      <w:r>
        <w:rPr>
          <w:b w:val="0"/>
          <w:i w:val="0"/>
        </w:rPr>
        <w:t>Establishes scientific computing, AI, quantum, robotics, independent evaluation, and digital infrastructure capacity.</w:t>
      </w:r>
    </w:p>
    <w:p>
      <w:pPr>
        <w:pStyle w:val="Heading2"/>
      </w:pPr>
      <w:r>
        <w:t>Title XV - Energy, Materials, Microelectronics, And Advanced Manufacturing</w:t>
      </w:r>
    </w:p>
    <w:p>
      <w:r>
        <w:rPr>
          <w:b w:val="0"/>
          <w:i w:val="0"/>
        </w:rPr>
        <w:t>Supports energy, materials, microelectronics, instrumentation manufacturing, pilot facilities, and rigorous performance validation.</w:t>
      </w:r>
    </w:p>
    <w:p>
      <w:pPr>
        <w:pStyle w:val="Heading2"/>
      </w:pPr>
      <w:r>
        <w:t>Title XVI - Biology, Biotechnology, Human Performance, And Closed-Loop Life Support</w:t>
      </w:r>
    </w:p>
    <w:p>
      <w:r>
        <w:rPr>
          <w:b w:val="0"/>
          <w:i w:val="0"/>
        </w:rPr>
        <w:t>Enables biotechnology, human performance, remote medicine and closed-loop life support with risk-tiered ethics and biosecurity.</w:t>
      </w:r>
    </w:p>
    <w:p>
      <w:pPr>
        <w:pStyle w:val="Heading2"/>
      </w:pPr>
      <w:r>
        <w:t>Title XVII - Earth, Ocean, Atmospheric, Polar, And Environmental Science</w:t>
      </w:r>
    </w:p>
    <w:p>
      <w:r>
        <w:rPr>
          <w:b w:val="0"/>
          <w:i w:val="0"/>
        </w:rPr>
        <w:t>Protects Earth, ocean, polar, climate and hazard science, including observations that become more valuable over many decades.</w:t>
      </w:r>
    </w:p>
    <w:p>
      <w:pPr>
        <w:pStyle w:val="Heading2"/>
      </w:pPr>
      <w:r>
        <w:t>Title XVIII - Planetary Defense, Space Weather, And Catastrophic-Risk Science</w:t>
      </w:r>
    </w:p>
    <w:p>
      <w:r>
        <w:rPr>
          <w:b w:val="0"/>
          <w:i w:val="0"/>
        </w:rPr>
        <w:t>Builds planetary defense, severe space-weather research, hazard warning and scientific continuity without creating police emergency powers.</w:t>
      </w:r>
    </w:p>
    <w:p>
      <w:pPr>
        <w:pStyle w:val="Heading2"/>
      </w:pPr>
      <w:r>
        <w:t>Title XIX - Advanced Propulsion, In-Space Industry, And Interstellar Precursor Research</w:t>
      </w:r>
    </w:p>
    <w:p>
      <w:r>
        <w:rPr>
          <w:b w:val="0"/>
          <w:i w:val="0"/>
        </w:rPr>
        <w:t>Supports advanced propulsion, in-space systems and interstellar precursors while requiring physical evidence and independent replication of extraordinary performance.</w:t>
      </w:r>
    </w:p>
    <w:p>
      <w:pPr>
        <w:pStyle w:val="Heading2"/>
      </w:pPr>
      <w:r>
        <w:t>Title XX - Federal Frontier Science Workforce</w:t>
      </w:r>
    </w:p>
    <w:p>
      <w:r>
        <w:rPr>
          <w:b w:val="0"/>
          <w:i w:val="0"/>
        </w:rPr>
        <w:t>Creates the special scientific personnel system, technical tracks, mobility, family supports, operational talent and institutional knowledge protection.</w:t>
      </w:r>
    </w:p>
    <w:p>
      <w:pPr>
        <w:pStyle w:val="Heading2"/>
      </w:pPr>
      <w:r>
        <w:t>Title XXI - Education, Apprenticeships, Fellowships, And Public Science</w:t>
      </w:r>
    </w:p>
    <w:p>
      <w:r>
        <w:rPr>
          <w:b w:val="0"/>
          <w:i w:val="0"/>
        </w:rPr>
        <w:t>Finances scholarships, paid apprenticeships, technical schools, teacher labs, public science and midcareer retraining.</w:t>
      </w:r>
    </w:p>
    <w:p>
      <w:pPr>
        <w:pStyle w:val="Heading2"/>
      </w:pPr>
      <w:r>
        <w:t>Title XXII - Global Scientific Talent And Mobility</w:t>
      </w:r>
    </w:p>
    <w:p>
      <w:r>
        <w:rPr>
          <w:b w:val="0"/>
          <w:i w:val="0"/>
        </w:rPr>
        <w:t>Coordinates legitimate scientific talent mobility within immigration, labor, security and family protections without inventing visas by administrative fiat.</w:t>
      </w:r>
    </w:p>
    <w:p>
      <w:pPr>
        <w:pStyle w:val="Heading2"/>
      </w:pPr>
      <w:r>
        <w:t>Title XXIII - Frontier Procurement, Grants, Other Transactions, Prizes, And Rapid Experimentation</w:t>
      </w:r>
    </w:p>
    <w:p>
      <w:r>
        <w:rPr>
          <w:b w:val="0"/>
          <w:i w:val="0"/>
        </w:rPr>
        <w:t>Accelerates research awards using the correct legal instruments while maintaining competition, ethics, audit, evidence and technical milestones.</w:t>
      </w:r>
    </w:p>
    <w:p>
      <w:pPr>
        <w:pStyle w:val="Heading2"/>
      </w:pPr>
      <w:r>
        <w:t>Title XXIV - Technology Transition, Intellectual Property, Standards, And Public Return</w:t>
      </w:r>
    </w:p>
    <w:p>
      <w:r>
        <w:rPr>
          <w:b w:val="0"/>
          <w:i w:val="0"/>
        </w:rPr>
        <w:t>Supports first-customer procurement, pilot manufacturing, standards, commercial technology transition, licensing, and accountable public economic return.</w:t>
      </w:r>
    </w:p>
    <w:p>
      <w:pPr>
        <w:pStyle w:val="Heading2"/>
      </w:pPr>
      <w:r>
        <w:t>Title XXV - Open Science, Data, Software, Publication, And Knowledge Preservation</w:t>
      </w:r>
    </w:p>
    <w:p>
      <w:r>
        <w:rPr>
          <w:b w:val="0"/>
          <w:i w:val="0"/>
        </w:rPr>
        <w:t>Builds the scientific archive and the reproducible data and software infrastructure needed to make taxpayer-funded learning reusable.</w:t>
      </w:r>
    </w:p>
    <w:p>
      <w:pPr>
        <w:pStyle w:val="Heading2"/>
      </w:pPr>
      <w:r>
        <w:t>Title XXVI - Safety, Ethics, Civil Liberties, Research Security, And Dual-Use Governance</w:t>
      </w:r>
    </w:p>
    <w:p>
      <w:r>
        <w:rPr>
          <w:b w:val="0"/>
          <w:i w:val="0"/>
        </w:rPr>
        <w:t>Provides safeguards for safety-critical AI, cyber and biological research, civil rights, human subjects, privacy and protected whistleblowing.</w:t>
      </w:r>
    </w:p>
    <w:p>
      <w:pPr>
        <w:pStyle w:val="Heading2"/>
      </w:pPr>
      <w:r>
        <w:t>Title XXVII - Regional Science Capacity, Small Business, And Local Infrastructure</w:t>
      </w:r>
    </w:p>
    <w:p>
      <w:r>
        <w:rPr>
          <w:b w:val="0"/>
          <w:i w:val="0"/>
        </w:rPr>
        <w:t>Spreads research capacity through credible regional corridors, small suppliers, remote sites, local infrastructure and tribal partnerships.</w:t>
      </w:r>
    </w:p>
    <w:p>
      <w:pPr>
        <w:pStyle w:val="Heading2"/>
      </w:pPr>
      <w:r>
        <w:t>Title XXVIII - International Space Compact And Global Adoption</w:t>
      </w:r>
    </w:p>
    <w:p>
      <w:r>
        <w:rPr>
          <w:b w:val="0"/>
          <w:i w:val="0"/>
        </w:rPr>
        <w:t>Authorizes negotiation of a voluntary international scientific compact without transferring sovereignty or bypassing constitutional treaty procedures.</w:t>
      </w:r>
    </w:p>
    <w:p>
      <w:pPr>
        <w:pStyle w:val="Heading2"/>
      </w:pPr>
      <w:r>
        <w:t>Title XXIX - Oversight, Audit, Performance, Transparency, And Anti-Capture</w:t>
      </w:r>
    </w:p>
    <w:p>
      <w:r>
        <w:rPr>
          <w:b w:val="0"/>
          <w:i w:val="0"/>
        </w:rPr>
        <w:t>Creates independent cost estimation, auditable project gates, anti-capture checks, public performance and research-outcome reporting.</w:t>
      </w:r>
    </w:p>
    <w:p>
      <w:pPr>
        <w:pStyle w:val="Heading2"/>
      </w:pPr>
      <w:r>
        <w:t>Title XXX - Implementation, Adaptive Governance, Continuity, And Long-Horizon Planning</w:t>
      </w:r>
    </w:p>
    <w:p>
      <w:r>
        <w:rPr>
          <w:b w:val="0"/>
          <w:i w:val="0"/>
        </w:rPr>
        <w:t>Sets implementation, continuous review, workforce readiness, scientific continuity and 500-year stewardship procedures.</w:t>
      </w:r>
    </w:p>
    <w:p>
      <w:pPr>
        <w:pStyle w:val="Heading2"/>
      </w:pPr>
      <w:r>
        <w:t>Title XXXI - Consolidated Appropriations Schedule And Allocation Control</w:t>
      </w:r>
    </w:p>
    <w:p>
      <w:r>
        <w:rPr>
          <w:b w:val="0"/>
          <w:i w:val="0"/>
        </w:rPr>
        <w:t>Reconciles the $309.748 billion schedule and specifies line-item allocations, single-ledger controls, executive reporting, and lawful reprogramming.</w:t>
      </w:r>
    </w:p>
    <w:p>
      <w:pPr>
        <w:pStyle w:val="Heading2"/>
      </w:pPr>
      <w:r>
        <w:t>Title XXXII - Capital Project Readiness, Scientific Facilities, And Delivery Assurance</w:t>
      </w:r>
    </w:p>
    <w:p>
      <w:r>
        <w:rPr>
          <w:b w:val="0"/>
          <w:i w:val="0"/>
        </w:rPr>
        <w:t>Makes capital construction contingent on design, cost, personnel, environmental, utility, commissioning and maintenance readiness.</w:t>
      </w:r>
    </w:p>
    <w:p>
      <w:pPr>
        <w:pStyle w:val="Heading2"/>
      </w:pPr>
      <w:r>
        <w:t>Title XXXIII - Scientific Human Capital, Professional Development, And Institutional Absorption</w:t>
      </w:r>
    </w:p>
    <w:p>
      <w:r>
        <w:rPr>
          <w:b w:val="0"/>
          <w:i w:val="0"/>
        </w:rPr>
        <w:t>Connects university science, Federal technical staffing, apprenticeships, mission support and professional development to actual absorption limits.</w:t>
      </w:r>
    </w:p>
    <w:p>
      <w:pPr>
        <w:pStyle w:val="Heading2"/>
      </w:pPr>
      <w:r>
        <w:t>Title XXXIV - Technology Maturation, Integrated Systems Engineering, And Frontier Discovery</w:t>
      </w:r>
    </w:p>
    <w:p>
      <w:r>
        <w:rPr>
          <w:b w:val="0"/>
          <w:i w:val="0"/>
        </w:rPr>
        <w:t>Creates disciplined discovery-to-demonstration pathways, independent verification, integrated engineering and evidence-based technical termination.</w:t>
      </w:r>
    </w:p>
    <w:p>
      <w:pPr>
        <w:pStyle w:val="Heading2"/>
      </w:pPr>
      <w:r>
        <w:t>Title XXXV - Peaceful Space Operations, Orbital Stewardship, And Planetary Protection</w:t>
      </w:r>
    </w:p>
    <w:p>
      <w:r>
        <w:rPr>
          <w:b w:val="0"/>
          <w:i w:val="0"/>
        </w:rPr>
        <w:t>Preserves orbital and planetary scientific environments, debris safety, planetary protection, resource legality and long-duration mission continuity.</w:t>
      </w:r>
    </w:p>
    <w:p>
      <w:pPr>
        <w:pStyle w:val="Heading2"/>
      </w:pPr>
      <w:r>
        <w:t>Title XXXVI - International Science Governance, Common Facilities, And Treaty Implementation</w:t>
      </w:r>
    </w:p>
    <w:p>
      <w:r>
        <w:rPr>
          <w:b w:val="0"/>
          <w:i w:val="0"/>
        </w:rPr>
        <w:t>Provides detailed international shared-facility rules, audit, scientific mobility, cost sharing, disputes and treaty implementation.</w:t>
      </w:r>
    </w:p>
    <w:p>
      <w:pPr>
        <w:pStyle w:val="Heading2"/>
      </w:pPr>
      <w:r>
        <w:t>Title XXXVII - Open-Science Systems, Data Rights, Responsible Computing, And Advanced Technology Safety</w:t>
      </w:r>
    </w:p>
    <w:p>
      <w:r>
        <w:rPr>
          <w:b w:val="0"/>
          <w:i w:val="0"/>
        </w:rPr>
        <w:t>Builds proportionate protection for public research data, AI, automated labs, biological and cyber capabilities, publications and scientific rights.</w:t>
      </w:r>
    </w:p>
    <w:p>
      <w:pPr>
        <w:pStyle w:val="Heading2"/>
      </w:pPr>
      <w:r>
        <w:t>Title XXXVIII - Intergenerational Science, Perpetual Institutional Capacity, And Continuity</w:t>
      </w:r>
    </w:p>
    <w:p>
      <w:r>
        <w:rPr>
          <w:b w:val="0"/>
          <w:i w:val="0"/>
        </w:rPr>
        <w:t>Defines real intergenerational stewardship and protects archives, succession, finances, long-duration observations and future scientific optionality.</w:t>
      </w:r>
    </w:p>
    <w:p>
      <w:pPr>
        <w:pStyle w:val="Heading2"/>
      </w:pPr>
      <w:r>
        <w:t>Title XXXIX - Constitutional Authority, Judicial Review, Severability, And Effective Dates</w:t>
      </w:r>
    </w:p>
    <w:p>
      <w:r>
        <w:rPr>
          <w:b w:val="0"/>
          <w:i w:val="0"/>
        </w:rPr>
        <w:t>Preserves appropriations law, taxation procedure, administrative review, constitutional limits, international obligations, severability and effective dates.</w:t>
      </w:r>
    </w:p>
    <w:p>
      <w:r>
        <w:br w:type="page"/>
      </w:r>
    </w:p>
    <w:p>
      <w:pPr>
        <w:pStyle w:val="Heading1"/>
      </w:pPr>
      <w:r>
        <w:t>ANNEX J — PLAIN-LANGUAGE PUBLIC SUMMARY AND QUESTIONS</w:t>
      </w:r>
    </w:p>
    <w:p>
      <w:r>
        <w:rPr>
          <w:b w:val="0"/>
          <w:i w:val="0"/>
        </w:rPr>
        <w:t>The SPACE Act makes frontier scientific capacity a durable public institution. It funds not only rockets or prototypes, but also the experiments, research people, laboratories, instruments, software, operating systems, archives, safety standards, scientific freedom, and international partnerships that let ambitious discoveries actually happen.</w:t>
      </w:r>
    </w:p>
    <w:p>
      <w:pPr>
        <w:pStyle w:val="Heading2"/>
      </w:pPr>
      <w:r>
        <w:t>What is the enacted annual amount in the model bill?</w:t>
      </w:r>
    </w:p>
    <w:p>
      <w:r>
        <w:rPr>
          <w:b w:val="0"/>
          <w:i w:val="0"/>
        </w:rPr>
        <w:t>The annual schedule is $309.748 billion in constant FY2025 dollars, adjusted by a common inflation index. The Act specifies exactly where each dollar of statutory program authority goes.</w:t>
      </w:r>
    </w:p>
    <w:p>
      <w:pPr>
        <w:pStyle w:val="Heading2"/>
      </w:pPr>
      <w:r>
        <w:t>How much does NASA receive?</w:t>
      </w:r>
    </w:p>
    <w:p>
      <w:r>
        <w:rPr>
          <w:b w:val="0"/>
          <w:i w:val="0"/>
        </w:rPr>
        <w:t>NASA receives $149.028 billion annually in FY2025 purchasing power, with science, human and robotic operations, advanced technology, aeronautics, centers, deep-space networks, technical personnel, and risk reserves separately budgeted.</w:t>
      </w:r>
    </w:p>
    <w:p>
      <w:pPr>
        <w:pStyle w:val="Heading2"/>
      </w:pPr>
      <w:r>
        <w:t>How much does DARPA receive?</w:t>
      </w:r>
    </w:p>
    <w:p>
      <w:r>
        <w:rPr>
          <w:b w:val="0"/>
          <w:i w:val="0"/>
        </w:rPr>
        <w:t>DARPA receives $24.875 billion annually in FY2025 purchasing power. That is slightly more than six times its enacted FY2025 research budget of $4.145693 billion.</w:t>
      </w:r>
    </w:p>
    <w:p>
      <w:pPr>
        <w:pStyle w:val="Heading2"/>
      </w:pPr>
      <w:r>
        <w:t>Why is so much outside NASA and DARPA?</w:t>
      </w:r>
    </w:p>
    <w:p>
      <w:r>
        <w:rPr>
          <w:b w:val="0"/>
          <w:i w:val="0"/>
        </w:rPr>
        <w:t>Scientific discovery depends on universities, independent basic research, national laboratories, advanced instruments, safe buildings, power systems, technical staff, software, metrology, and independent verification.</w:t>
      </w:r>
    </w:p>
    <w:p>
      <w:pPr>
        <w:pStyle w:val="Heading2"/>
      </w:pPr>
      <w:r>
        <w:t>Is the program fully funded?</w:t>
      </w:r>
    </w:p>
    <w:p>
      <w:r>
        <w:rPr>
          <w:b w:val="0"/>
          <w:i w:val="0"/>
        </w:rPr>
        <w:t>The bill contains a permanent appropriation providing legal annual budget authority. It does not claim that proposed taxes fully cover the outlays or that federal deficits cannot rise. That requires an official fiscal score and, if desired, additional revenue or offset legislation.</w:t>
      </w:r>
    </w:p>
    <w:p>
      <w:pPr>
        <w:pStyle w:val="Heading2"/>
      </w:pPr>
      <w:r>
        <w:t>Why not spend every dollar immediately?</w:t>
      </w:r>
    </w:p>
    <w:p>
      <w:r>
        <w:rPr>
          <w:b w:val="0"/>
          <w:i w:val="0"/>
        </w:rPr>
        <w:t>The law appropriates the amount now for each fiscal year, but actual obligations and payments may follow years of design, technical evidence, environmental review, procurement, training, construction and commissioning.</w:t>
      </w:r>
    </w:p>
    <w:p>
      <w:pPr>
        <w:pStyle w:val="Heading2"/>
      </w:pPr>
      <w:r>
        <w:t>Will DARPA become an enormous bureaucracy?</w:t>
      </w:r>
    </w:p>
    <w:p>
      <w:r>
        <w:rPr>
          <w:b w:val="0"/>
          <w:i w:val="0"/>
        </w:rPr>
        <w:t>The law preserves agile program management, term-limited technical leadership, milestone termination, independent test and a dominant share of funding for actual technical programs.</w:t>
      </w:r>
    </w:p>
    <w:p>
      <w:pPr>
        <w:pStyle w:val="Heading2"/>
      </w:pPr>
      <w:r>
        <w:t>Can scientists pursue ideas nobody knows how to monetize?</w:t>
      </w:r>
    </w:p>
    <w:p>
      <w:r>
        <w:rPr>
          <w:b w:val="0"/>
          <w:i w:val="0"/>
        </w:rPr>
        <w:t>Yes. Independent fundamental research and a far-horizon account receive protected resources, provided work meets scientific merit, safety and research integrity standards.</w:t>
      </w:r>
    </w:p>
    <w:p>
      <w:pPr>
        <w:pStyle w:val="Heading2"/>
      </w:pPr>
      <w:r>
        <w:t>Can unproven propulsion concepts get funded?</w:t>
      </w:r>
    </w:p>
    <w:p>
      <w:r>
        <w:rPr>
          <w:b w:val="0"/>
          <w:i w:val="0"/>
        </w:rPr>
        <w:t>Small, testable hypotheses can receive research funding. Expensive scale-up requires credible measurements, independent replication and engineering evidence.</w:t>
      </w:r>
    </w:p>
    <w:p>
      <w:pPr>
        <w:pStyle w:val="Heading2"/>
      </w:pPr>
      <w:r>
        <w:t>What is the endowment target?</w:t>
      </w:r>
    </w:p>
    <w:p>
      <w:r>
        <w:rPr>
          <w:b w:val="0"/>
          <w:i w:val="0"/>
        </w:rPr>
        <w:t>A long-run goal of 50 times annual program authority, initially $15.4874 trillion in FY2025 dollars. It is an aspiration for capitalization over time and is not funded automatically by the $309.748 billion operating appropriation.</w:t>
      </w:r>
    </w:p>
    <w:p>
      <w:pPr>
        <w:pStyle w:val="Heading2"/>
      </w:pPr>
      <w:r>
        <w:t>Is the reserve already funded?</w:t>
      </w:r>
    </w:p>
    <w:p>
      <w:r>
        <w:rPr>
          <w:b w:val="0"/>
          <w:i w:val="0"/>
        </w:rPr>
        <w:t>No. A 30-month protected NASA/DARPA reserve target is about $434.7575 billion in FY2025 dollars. The Act requires lawful accumulation and honest asset reporting.</w:t>
      </w:r>
    </w:p>
    <w:p>
      <w:pPr>
        <w:pStyle w:val="Heading2"/>
      </w:pPr>
      <w:r>
        <w:t>Does the law guarantee 500 years?</w:t>
      </w:r>
    </w:p>
    <w:p>
      <w:r>
        <w:rPr>
          <w:b w:val="0"/>
          <w:i w:val="0"/>
        </w:rPr>
        <w:t>No ordinary statute can guarantee future Congresses, scientific results or investment returns. It creates renewable 500-year stewardship, long-lived institutions, archives, financial controls and periodic reviews.</w:t>
      </w:r>
    </w:p>
    <w:p>
      <w:pPr>
        <w:pStyle w:val="Heading2"/>
      </w:pPr>
      <w:r>
        <w:t>Does the law encourage international science?</w:t>
      </w:r>
    </w:p>
    <w:p>
      <w:r>
        <w:rPr>
          <w:b w:val="0"/>
          <w:i w:val="0"/>
        </w:rPr>
        <w:t>Yes. It provides a model treaty for voluntarily shared peaceful facilities, science, data, talent and financing. Participation by a state follows that state’s own constitutional and treaty processes.</w:t>
      </w:r>
    </w:p>
    <w:p>
      <w:pPr>
        <w:pStyle w:val="Heading2"/>
      </w:pPr>
      <w:r>
        <w:t>Does NASA obtain military authority?</w:t>
      </w:r>
    </w:p>
    <w:p>
      <w:r>
        <w:rPr>
          <w:b w:val="0"/>
          <w:i w:val="0"/>
        </w:rPr>
        <w:t>No. Civilian NASA activities remain subject to its existing peaceful-purpose statute. DARPA remains a defense research agency.</w:t>
      </w:r>
    </w:p>
    <w:p>
      <w:pPr>
        <w:pStyle w:val="Heading2"/>
      </w:pPr>
      <w:r>
        <w:t>Can the Act be used for spying on people?</w:t>
      </w:r>
    </w:p>
    <w:p>
      <w:r>
        <w:rPr>
          <w:b w:val="0"/>
          <w:i w:val="0"/>
        </w:rPr>
        <w:t>No. It expressly creates no independent domestic surveillance authority. Sensitive research data are protected under applicable privacy and security law.</w:t>
      </w:r>
    </w:p>
    <w:p>
      <w:pPr>
        <w:pStyle w:val="Heading2"/>
      </w:pPr>
      <w:r>
        <w:t>Can science leaders waive safety rules to innovate faster?</w:t>
      </w:r>
    </w:p>
    <w:p>
      <w:r>
        <w:rPr>
          <w:b w:val="0"/>
          <w:i w:val="0"/>
        </w:rPr>
        <w:t>No. Some internal administrative practices may be streamlined, but statutory human-subject, biosafety, environmental, civil-rights, labor, nuclear, and public-integrity rules remain enforceable.</w:t>
      </w:r>
    </w:p>
    <w:p>
      <w:pPr>
        <w:pStyle w:val="Heading2"/>
      </w:pPr>
      <w:r>
        <w:t>How is financial waste distinguished from scientific failure?</w:t>
      </w:r>
    </w:p>
    <w:p>
      <w:r>
        <w:rPr>
          <w:b w:val="0"/>
          <w:i w:val="0"/>
        </w:rPr>
        <w:t>Failed experiments may be useful if well designed, honestly evaluated and documented. Fraud, falsification, poor controls, unsafe behavior and politically protected continuation remain reviewable.</w:t>
      </w:r>
    </w:p>
    <w:p>
      <w:pPr>
        <w:pStyle w:val="Heading2"/>
      </w:pPr>
      <w:r>
        <w:t>How will the public see progress?</w:t>
      </w:r>
    </w:p>
    <w:p>
      <w:r>
        <w:rPr>
          <w:b w:val="0"/>
          <w:i w:val="0"/>
        </w:rPr>
        <w:t>A public dashboard will show accounts, obligations, actual outlays, recruitment, facilities, scientific access, independent verification, program milestones and measured outcomes, with lawful security exceptions.</w:t>
      </w:r>
    </w:p>
    <w:p>
      <w:r>
        <w:br w:type="page"/>
      </w:r>
    </w:p>
    <w:p>
      <w:pPr>
        <w:pStyle w:val="Heading1"/>
      </w:pPr>
      <w:r>
        <w:t>ANNEX K — QUALITY-CHECK, OPEN QUESTIONS, AND SOURCE URL REGISTER</w:t>
      </w:r>
    </w:p>
    <w:p>
      <w:pPr>
        <w:pStyle w:val="Heading2"/>
      </w:pPr>
      <w:r>
        <w:t>Legislative counsel quality check</w:t>
      </w:r>
    </w:p>
    <w:tbl>
      <w:tblPr>
        <w:tblStyle w:val="TableGrid"/>
        <w:tblW w:type="auto" w:w="0"/>
        <w:jc w:val="center"/>
        <w:tblLayout w:type="fixed"/>
        <w:tblLook w:firstColumn="1" w:firstRow="1" w:lastColumn="0" w:lastRow="0" w:noHBand="0" w:noVBand="1" w:val="04A0"/>
      </w:tblPr>
      <w:tblGrid>
        <w:gridCol w:w="4925"/>
        <w:gridCol w:w="4925"/>
      </w:tblGrid>
      <w:tr>
        <w:trPr>
          <w:tblHeader w:val="true"/>
          <w:cantSplit/>
        </w:trPr>
        <w:tc>
          <w:tcPr>
            <w:tcW w:type="dxa" w:w="2103"/>
            <w:shd w:fill="E8EBED"/>
          </w:tcPr>
          <w:p>
            <w:pPr>
              <w:spacing w:after="0"/>
            </w:pPr>
            <w:r>
              <w:rPr>
                <w:rFonts w:ascii="Times New Roman" w:hAnsi="Times New Roman"/>
                <w:b/>
                <w:color w:val="172C3C"/>
                <w:sz w:val="16"/>
              </w:rPr>
              <w:t>Review field</w:t>
            </w:r>
          </w:p>
        </w:tc>
        <w:tc>
          <w:tcPr>
            <w:tcW w:type="dxa" w:w="7733"/>
            <w:shd w:fill="E8EBED"/>
          </w:tcPr>
          <w:p>
            <w:pPr>
              <w:spacing w:after="0"/>
            </w:pPr>
            <w:r>
              <w:rPr>
                <w:rFonts w:ascii="Times New Roman" w:hAnsi="Times New Roman"/>
                <w:b/>
                <w:color w:val="172C3C"/>
                <w:sz w:val="16"/>
              </w:rPr>
              <w:t>Assessment</w:t>
            </w:r>
          </w:p>
        </w:tc>
      </w:tr>
      <w:tr>
        <w:trPr>
          <w:cantSplit/>
        </w:trPr>
        <w:tc>
          <w:tcPr>
            <w:tcW w:type="dxa" w:w="2103"/>
            <w:vAlign w:val="center"/>
          </w:tcPr>
          <w:p>
            <w:pPr>
              <w:spacing w:after="0" w:before="0"/>
            </w:pPr>
            <w:r>
              <w:rPr>
                <w:rFonts w:ascii="Times New Roman" w:hAnsi="Times New Roman"/>
                <w:color w:val="14191C"/>
                <w:sz w:val="15"/>
              </w:rPr>
              <w:t>Internal consistency</w:t>
            </w:r>
          </w:p>
        </w:tc>
        <w:tc>
          <w:tcPr>
            <w:tcW w:type="dxa" w:w="7733"/>
            <w:vAlign w:val="center"/>
          </w:tcPr>
          <w:p>
            <w:pPr>
              <w:spacing w:after="0" w:before="0"/>
            </w:pPr>
            <w:r>
              <w:rPr>
                <w:rFonts w:ascii="Times New Roman" w:hAnsi="Times New Roman"/>
                <w:color w:val="14191C"/>
                <w:sz w:val="15"/>
              </w:rPr>
              <w:t>Eight accounts sum to exactly $309.748B; NASA is 6 x $24.838B and DARPA exceeds 6 x $4.145693B; the annual sum includes counted regular NASA/DARPA funds only once.</w:t>
            </w:r>
          </w:p>
        </w:tc>
      </w:tr>
      <w:tr>
        <w:trPr>
          <w:cantSplit/>
        </w:trPr>
        <w:tc>
          <w:tcPr>
            <w:tcW w:type="dxa" w:w="2103"/>
            <w:vAlign w:val="center"/>
          </w:tcPr>
          <w:p>
            <w:pPr>
              <w:spacing w:after="0" w:before="0"/>
            </w:pPr>
            <w:r>
              <w:rPr>
                <w:rFonts w:ascii="Times New Roman" w:hAnsi="Times New Roman"/>
                <w:color w:val="14191C"/>
                <w:sz w:val="15"/>
              </w:rPr>
              <w:t>Authority</w:t>
            </w:r>
          </w:p>
        </w:tc>
        <w:tc>
          <w:tcPr>
            <w:tcW w:type="dxa" w:w="7733"/>
            <w:vAlign w:val="center"/>
          </w:tcPr>
          <w:p>
            <w:pPr>
              <w:spacing w:after="0" w:before="0"/>
            </w:pPr>
            <w:r>
              <w:rPr>
                <w:rFonts w:ascii="Times New Roman" w:hAnsi="Times New Roman"/>
                <w:color w:val="14191C"/>
                <w:sz w:val="15"/>
              </w:rPr>
              <w:t>NASA/DARPA legal mission boundaries, 10 U.S.C. procurement rules, Federal facility authorities, and treaty limitations are preserved.</w:t>
            </w:r>
          </w:p>
        </w:tc>
      </w:tr>
      <w:tr>
        <w:trPr>
          <w:cantSplit/>
        </w:trPr>
        <w:tc>
          <w:tcPr>
            <w:tcW w:type="dxa" w:w="2103"/>
            <w:vAlign w:val="center"/>
          </w:tcPr>
          <w:p>
            <w:pPr>
              <w:spacing w:after="0" w:before="0"/>
            </w:pPr>
            <w:r>
              <w:rPr>
                <w:rFonts w:ascii="Times New Roman" w:hAnsi="Times New Roman"/>
                <w:color w:val="14191C"/>
                <w:sz w:val="15"/>
              </w:rPr>
              <w:t>Constitutional risk</w:t>
            </w:r>
          </w:p>
        </w:tc>
        <w:tc>
          <w:tcPr>
            <w:tcW w:type="dxa" w:w="7733"/>
            <w:vAlign w:val="center"/>
          </w:tcPr>
          <w:p>
            <w:pPr>
              <w:spacing w:after="0" w:before="0"/>
            </w:pPr>
            <w:r>
              <w:rPr>
                <w:rFonts w:ascii="Times New Roman" w:hAnsi="Times New Roman"/>
                <w:color w:val="14191C"/>
                <w:sz w:val="15"/>
              </w:rPr>
              <w:t>Permanent appropriations, tax administration, supervision, privacy, federalism and international governance have explicit constraints; future Congresses remain free to amend.</w:t>
            </w:r>
          </w:p>
        </w:tc>
      </w:tr>
      <w:tr>
        <w:trPr>
          <w:cantSplit/>
        </w:trPr>
        <w:tc>
          <w:tcPr>
            <w:tcW w:type="dxa" w:w="2103"/>
            <w:vAlign w:val="center"/>
          </w:tcPr>
          <w:p>
            <w:pPr>
              <w:spacing w:after="0" w:before="0"/>
            </w:pPr>
            <w:r>
              <w:rPr>
                <w:rFonts w:ascii="Times New Roman" w:hAnsi="Times New Roman"/>
                <w:color w:val="14191C"/>
                <w:sz w:val="15"/>
              </w:rPr>
              <w:t>Fiscal assumptions</w:t>
            </w:r>
          </w:p>
        </w:tc>
        <w:tc>
          <w:tcPr>
            <w:tcW w:type="dxa" w:w="7733"/>
            <w:vAlign w:val="center"/>
          </w:tcPr>
          <w:p>
            <w:pPr>
              <w:spacing w:after="0" w:before="0"/>
            </w:pPr>
            <w:r>
              <w:rPr>
                <w:rFonts w:ascii="Times New Roman" w:hAnsi="Times New Roman"/>
                <w:color w:val="14191C"/>
                <w:sz w:val="15"/>
              </w:rPr>
              <w:t>Budget authority is guaranteed by text; revenue neutrality is NOT established; official CBO/JCT score and debt analysis remain necessary.</w:t>
            </w:r>
          </w:p>
        </w:tc>
      </w:tr>
      <w:tr>
        <w:trPr>
          <w:cantSplit/>
        </w:trPr>
        <w:tc>
          <w:tcPr>
            <w:tcW w:type="dxa" w:w="2103"/>
            <w:vAlign w:val="center"/>
          </w:tcPr>
          <w:p>
            <w:pPr>
              <w:spacing w:after="0" w:before="0"/>
            </w:pPr>
            <w:r>
              <w:rPr>
                <w:rFonts w:ascii="Times New Roman" w:hAnsi="Times New Roman"/>
                <w:color w:val="14191C"/>
                <w:sz w:val="15"/>
              </w:rPr>
              <w:t>Operational enforceability</w:t>
            </w:r>
          </w:p>
        </w:tc>
        <w:tc>
          <w:tcPr>
            <w:tcW w:type="dxa" w:w="7733"/>
            <w:vAlign w:val="center"/>
          </w:tcPr>
          <w:p>
            <w:pPr>
              <w:spacing w:after="0" w:before="0"/>
            </w:pPr>
            <w:r>
              <w:rPr>
                <w:rFonts w:ascii="Times New Roman" w:hAnsi="Times New Roman"/>
                <w:color w:val="14191C"/>
                <w:sz w:val="15"/>
              </w:rPr>
              <w:t>Agency leads, specific sums, deadlines, public reports, eligibility and risk controls, project gates, IG review and GAO audits are defined.</w:t>
            </w:r>
          </w:p>
        </w:tc>
      </w:tr>
      <w:tr>
        <w:trPr>
          <w:cantSplit/>
        </w:trPr>
        <w:tc>
          <w:tcPr>
            <w:tcW w:type="dxa" w:w="2103"/>
            <w:vAlign w:val="center"/>
          </w:tcPr>
          <w:p>
            <w:pPr>
              <w:spacing w:after="0" w:before="0"/>
            </w:pPr>
            <w:r>
              <w:rPr>
                <w:rFonts w:ascii="Times New Roman" w:hAnsi="Times New Roman"/>
                <w:color w:val="14191C"/>
                <w:sz w:val="15"/>
              </w:rPr>
              <w:t>Scientific integrity</w:t>
            </w:r>
          </w:p>
        </w:tc>
        <w:tc>
          <w:tcPr>
            <w:tcW w:type="dxa" w:w="7733"/>
            <w:vAlign w:val="center"/>
          </w:tcPr>
          <w:p>
            <w:pPr>
              <w:spacing w:after="0" w:before="0"/>
            </w:pPr>
            <w:r>
              <w:rPr>
                <w:rFonts w:ascii="Times New Roman" w:hAnsi="Times New Roman"/>
                <w:color w:val="14191C"/>
                <w:sz w:val="15"/>
              </w:rPr>
              <w:t>Uncertainty, replication, failure tolerance, dissent, basic research, independent peer review and technical safety are preserved.</w:t>
            </w:r>
          </w:p>
        </w:tc>
      </w:tr>
      <w:tr>
        <w:trPr>
          <w:cantSplit/>
        </w:trPr>
        <w:tc>
          <w:tcPr>
            <w:tcW w:type="dxa" w:w="2103"/>
            <w:vAlign w:val="center"/>
          </w:tcPr>
          <w:p>
            <w:pPr>
              <w:spacing w:after="0" w:before="0"/>
            </w:pPr>
            <w:r>
              <w:rPr>
                <w:rFonts w:ascii="Times New Roman" w:hAnsi="Times New Roman"/>
                <w:color w:val="14191C"/>
                <w:sz w:val="15"/>
              </w:rPr>
              <w:t>Implementation risk</w:t>
            </w:r>
          </w:p>
        </w:tc>
        <w:tc>
          <w:tcPr>
            <w:tcW w:type="dxa" w:w="7733"/>
            <w:vAlign w:val="center"/>
          </w:tcPr>
          <w:p>
            <w:pPr>
              <w:spacing w:after="0" w:before="0"/>
            </w:pPr>
            <w:r>
              <w:rPr>
                <w:rFonts w:ascii="Times New Roman" w:hAnsi="Times New Roman"/>
                <w:color w:val="14191C"/>
                <w:sz w:val="15"/>
              </w:rPr>
              <w:t>Infrastructure, personnel, procurement and supply-chain bottlenecks are addressed through lifecycle planning and readiness-conditioned obligations.</w:t>
            </w:r>
          </w:p>
        </w:tc>
      </w:tr>
      <w:tr>
        <w:trPr>
          <w:cantSplit/>
        </w:trPr>
        <w:tc>
          <w:tcPr>
            <w:tcW w:type="dxa" w:w="2103"/>
            <w:vAlign w:val="center"/>
          </w:tcPr>
          <w:p>
            <w:pPr>
              <w:spacing w:after="0" w:before="0"/>
            </w:pPr>
            <w:r>
              <w:rPr>
                <w:rFonts w:ascii="Times New Roman" w:hAnsi="Times New Roman"/>
                <w:color w:val="14191C"/>
                <w:sz w:val="15"/>
              </w:rPr>
              <w:t>Global transferability</w:t>
            </w:r>
          </w:p>
        </w:tc>
        <w:tc>
          <w:tcPr>
            <w:tcW w:type="dxa" w:w="7733"/>
            <w:vAlign w:val="center"/>
          </w:tcPr>
          <w:p>
            <w:pPr>
              <w:spacing w:after="0" w:before="0"/>
            </w:pPr>
            <w:r>
              <w:rPr>
                <w:rFonts w:ascii="Times New Roman" w:hAnsi="Times New Roman"/>
                <w:color w:val="14191C"/>
                <w:sz w:val="15"/>
              </w:rPr>
              <w:t>Treaty and national model law are non-self-executing; domestic constitutional and institutional adaptation is required.</w:t>
            </w:r>
          </w:p>
        </w:tc>
      </w:tr>
    </w:tbl>
    <w:p>
      <w:pPr>
        <w:spacing w:after="20"/>
      </w:pPr>
    </w:p>
    <w:p>
      <w:pPr>
        <w:pStyle w:val="Heading2"/>
      </w:pPr>
      <w:r>
        <w:t>Open subjects for congressional technical drafting</w:t>
      </w:r>
    </w:p>
    <w:p>
      <w:pPr>
        <w:spacing w:after="0"/>
        <w:ind w:left="346" w:hanging="202"/>
      </w:pPr>
      <w:r>
        <w:rPr>
          <w:b/>
        </w:rPr>
        <w:t xml:space="preserve">•  </w:t>
      </w:r>
      <w:r>
        <w:t>Obtain official CBO and JCT scoring of the statutory Financial-Transactions Contribution, incremental stock-repurchase tax, annual mandatory outlays, general-fund financing and debt-service effects.</w:t>
      </w:r>
    </w:p>
    <w:p>
      <w:pPr>
        <w:spacing w:after="0"/>
        <w:ind w:left="346" w:hanging="202"/>
      </w:pPr>
      <w:r>
        <w:rPr>
          <w:b/>
        </w:rPr>
        <w:t xml:space="preserve">•  </w:t>
      </w:r>
      <w:r>
        <w:t>Finalize detailed Internal Revenue Code integration and derivative-transaction valuation, clearing, territorial nexus, exemption and penalty provisions with tax counsel.</w:t>
      </w:r>
    </w:p>
    <w:p>
      <w:pPr>
        <w:spacing w:after="0"/>
        <w:ind w:left="346" w:hanging="202"/>
      </w:pPr>
      <w:r>
        <w:rPr>
          <w:b/>
        </w:rPr>
        <w:t xml:space="preserve">•  </w:t>
      </w:r>
      <w:r>
        <w:t>Determine whether the Infrastructure Authority is best structured as a government corporation, a GSA service, an agency component or a revolving fund under Federal appointments and acquisition law.</w:t>
      </w:r>
    </w:p>
    <w:p>
      <w:pPr>
        <w:spacing w:after="0"/>
        <w:ind w:left="346" w:hanging="202"/>
      </w:pPr>
      <w:r>
        <w:rPr>
          <w:b/>
        </w:rPr>
        <w:t xml:space="preserve">•  </w:t>
      </w:r>
      <w:r>
        <w:t>Evaluate the NASA internal allocation and mission concentration safeguards against current program commitments, decadal priorities and independent cost estimates.</w:t>
      </w:r>
    </w:p>
    <w:p>
      <w:pPr>
        <w:spacing w:after="0"/>
        <w:ind w:left="346" w:hanging="202"/>
      </w:pPr>
      <w:r>
        <w:rPr>
          <w:b/>
        </w:rPr>
        <w:t xml:space="preserve">•  </w:t>
      </w:r>
      <w:r>
        <w:t>Coordinate title 10 defense controls and classification with the Department of Defense and the applicable congressional defense committees.</w:t>
      </w:r>
    </w:p>
    <w:p>
      <w:pPr>
        <w:spacing w:after="0"/>
        <w:ind w:left="346" w:hanging="202"/>
      </w:pPr>
      <w:r>
        <w:rPr>
          <w:b/>
        </w:rPr>
        <w:t xml:space="preserve">•  </w:t>
      </w:r>
      <w:r>
        <w:t>Audit every extraordinary personnel authority against existing civil-service, pay, ethics, immigration and labor statutes; pass direct INA amendments where necessary.</w:t>
      </w:r>
    </w:p>
    <w:p>
      <w:pPr>
        <w:spacing w:after="0"/>
        <w:ind w:left="346" w:hanging="202"/>
      </w:pPr>
      <w:r>
        <w:rPr>
          <w:b/>
        </w:rPr>
        <w:t xml:space="preserve">•  </w:t>
      </w:r>
      <w:r>
        <w:t>Conduct Federal and international environmental, space, biosafety, cybersecurity, AI and human-subject reviews before adopting detailed implementing rules.</w:t>
      </w:r>
    </w:p>
    <w:p>
      <w:pPr>
        <w:spacing w:after="0"/>
        <w:ind w:left="346" w:hanging="202"/>
      </w:pPr>
      <w:r>
        <w:rPr>
          <w:b/>
        </w:rPr>
        <w:t xml:space="preserve">•  </w:t>
      </w:r>
      <w:r>
        <w:t>Review how multilateral funding and withdrawal commitments would be consented to, appropriated and adjudicated in each participating country.</w:t>
      </w:r>
    </w:p>
    <w:p>
      <w:pPr>
        <w:pStyle w:val="Heading2"/>
      </w:pPr>
      <w:r>
        <w:t>Primary source URL register</w:t>
      </w:r>
    </w:p>
    <w:p>
      <w:pPr>
        <w:pStyle w:val="SmallSource"/>
        <w:spacing w:after="2" w:line="230" w:lineRule="auto"/>
      </w:pPr>
      <w:r>
        <w:rPr>
          <w:b w:val="0"/>
          <w:i w:val="0"/>
          <w:sz w:val="14"/>
        </w:rPr>
        <w:t>NASA recurring FY2025 appropriations — https://www.nasa.gov/wp-content/uploads/2023/11/fy25-afr-final-tagged.pdf</w:t>
      </w:r>
    </w:p>
    <w:p>
      <w:pPr>
        <w:pStyle w:val="SmallSource"/>
        <w:spacing w:after="2" w:line="230" w:lineRule="auto"/>
      </w:pPr>
      <w:r>
        <w:rPr>
          <w:b w:val="0"/>
          <w:i w:val="0"/>
          <w:sz w:val="14"/>
        </w:rPr>
        <w:t>DARPA enacted FY2025 RDT&amp;E — https://comptroller.defense.gov/Portals/45/Documents/defbudget/FY2026/budget_justification/pdfs/03_RDT_and_E/RDTE_Vol1_DARPA_MasterJustificationBook_PB_2026.pdf</w:t>
      </w:r>
    </w:p>
    <w:p>
      <w:pPr>
        <w:spacing w:after="2" w:line="230" w:lineRule="auto"/>
      </w:pPr>
      <w:r>
        <w:rPr>
          <w:b w:val="0"/>
          <w:i w:val="0"/>
          <w:sz w:val="14"/>
        </w:rPr>
        <w:t>NASA management execution risk — https://www.gao.gov/products/gao-26-108556</w:t>
      </w:r>
    </w:p>
    <w:p>
      <w:pPr>
        <w:pStyle w:val="SmallSource"/>
        <w:spacing w:after="2" w:line="230" w:lineRule="auto"/>
      </w:pPr>
      <w:r>
        <w:rPr>
          <w:b w:val="0"/>
          <w:i w:val="0"/>
          <w:sz w:val="14"/>
        </w:rPr>
        <w:t>NASA launch infrastructure constraints — https://oig.nasa.gov/news/nasas-aging-launch-infrastructure-faces-capacity-limits-amid-growing-mission-demands/</w:t>
      </w:r>
    </w:p>
    <w:p>
      <w:pPr>
        <w:pStyle w:val="SmallSource"/>
        <w:spacing w:after="2" w:line="230" w:lineRule="auto"/>
      </w:pPr>
      <w:r>
        <w:rPr>
          <w:b w:val="0"/>
          <w:i w:val="0"/>
          <w:sz w:val="14"/>
        </w:rPr>
        <w:t>DARPA nontraditional procurement — https://uscode.house.gov/us/usc/119-124/t10/s4022/</w:t>
      </w:r>
    </w:p>
    <w:p>
      <w:pPr>
        <w:pStyle w:val="SmallSource"/>
        <w:spacing w:after="2" w:line="230" w:lineRule="auto"/>
      </w:pPr>
      <w:r>
        <w:rPr>
          <w:b w:val="0"/>
          <w:i w:val="0"/>
          <w:sz w:val="14"/>
        </w:rPr>
        <w:t>NASA civilian mission and agreements — https://uscode.house.gov/us/usc/119-118/t51/s20113/</w:t>
      </w:r>
    </w:p>
    <w:p>
      <w:pPr>
        <w:spacing w:after="2" w:line="230" w:lineRule="auto"/>
      </w:pPr>
      <w:r>
        <w:rPr>
          <w:b w:val="0"/>
          <w:i w:val="0"/>
          <w:sz w:val="14"/>
        </w:rPr>
        <w:t>Federal science enterprise — https://ncses.nsf.gov/pubs/nsbsep20261</w:t>
      </w:r>
    </w:p>
    <w:p>
      <w:pPr>
        <w:spacing w:after="2" w:line="230" w:lineRule="auto"/>
      </w:pPr>
      <w:r>
        <w:rPr>
          <w:b w:val="0"/>
          <w:i w:val="0"/>
          <w:sz w:val="14"/>
        </w:rPr>
        <w:t>Financial transactions tax benchmark — https://www.cbo.gov/budget-options/60966</w:t>
      </w:r>
    </w:p>
    <w:p>
      <w:pPr>
        <w:pStyle w:val="SmallSource"/>
        <w:spacing w:after="2" w:line="230" w:lineRule="auto"/>
      </w:pPr>
      <w:r>
        <w:rPr>
          <w:b w:val="0"/>
          <w:i w:val="0"/>
          <w:sz w:val="14"/>
        </w:rPr>
        <w:t>Corporate stock repurchase excise tax — https://uscode.house.gov/us/usc/119-121/t26/s4501/</w:t>
      </w:r>
    </w:p>
    <w:p>
      <w:pPr>
        <w:spacing w:after="2" w:line="230" w:lineRule="auto"/>
      </w:pPr>
      <w:r>
        <w:rPr>
          <w:b w:val="0"/>
          <w:i w:val="0"/>
          <w:sz w:val="14"/>
        </w:rPr>
        <w:t>Federal appropriations rules — https://www.gao.gov/legal/appropriations-law</w:t>
      </w:r>
    </w:p>
    <w:p>
      <w:pPr>
        <w:spacing w:after="2" w:line="230" w:lineRule="auto"/>
      </w:pPr>
      <w:r>
        <w:rPr>
          <w:b w:val="0"/>
          <w:i w:val="0"/>
          <w:sz w:val="14"/>
        </w:rPr>
        <w:t>Constitutional interpretation — https://constitution.congress.gov/</w:t>
      </w:r>
    </w:p>
    <w:p>
      <w:pPr>
        <w:pStyle w:val="SmallSource"/>
        <w:spacing w:after="2" w:line="230" w:lineRule="auto"/>
      </w:pPr>
      <w:r>
        <w:rPr>
          <w:b w:val="0"/>
          <w:i w:val="0"/>
          <w:sz w:val="14"/>
        </w:rPr>
        <w:t>ESA institutional contributions — https://www.esa.int/About_Us/Corporate_news/ESA_facts</w:t>
      </w:r>
    </w:p>
    <w:p>
      <w:pPr>
        <w:spacing w:after="2" w:line="230" w:lineRule="auto"/>
      </w:pPr>
      <w:r>
        <w:rPr>
          <w:b w:val="0"/>
          <w:i w:val="0"/>
          <w:sz w:val="14"/>
        </w:rPr>
        <w:t>CERN governance — https://home.cern/about/who-we-are/our-governance/</w:t>
      </w:r>
    </w:p>
    <w:p>
      <w:r>
        <w:rPr>
          <w:b w:val="0"/>
          <w:i w:val="0"/>
        </w:rPr>
        <w:t>Prepared as an integrated legislative-counsel model. The sources support specified background facts; they do not constitute agency, CBO, JCT, GAO, or judicial approval of this proposed statutory design.</w:t>
      </w:r>
    </w:p>
    <w:sectPr w:rsidR="00FC693F" w:rsidRPr="0006063C" w:rsidSect="00034616">
      <w:headerReference w:type="default" r:id="rId9"/>
      <w:footerReference w:type="default" r:id="rId10"/>
      <w:pgSz w:w="12240" w:h="15840"/>
      <w:pgMar w:top="1166" w:right="1195" w:bottom="1094" w:left="1195"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4C5D67"/>
        <w:sz w:val="16"/>
      </w:rPr>
      <w:t xml:space="preserve">SPACE Act of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color w:val="4C5D67"/>
        <w:sz w:val="15"/>
      </w:rPr>
      <w:t>SPACE ACT  •  SCIENTIFIC PROGRESS, AUTONOMY, CAPACITY &amp; EXPLORATION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Times New Roman" w:hAnsi="Times New Roman"/>
      <w:color w:val="14191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Times New Roman" w:hAnsi="Times New Roman"/>
      <w:b/>
      <w:bCs/>
      <w:color w:val="172C3C"/>
      <w:sz w:val="25"/>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Times New Roman" w:hAnsi="Times New Roman"/>
      <w:b/>
      <w:bCs/>
      <w:color w:val="172C3C"/>
      <w:sz w:val="21"/>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Times New Roman" w:hAnsi="Times New Roman"/>
      <w:b/>
      <w:bCs/>
      <w:color w:val="172C3C"/>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60" w:line="240" w:lineRule="auto" w:before="200"/>
      <w:contextualSpacing/>
    </w:pPr>
    <w:rPr>
      <w:rFonts w:asciiTheme="majorHAnsi" w:eastAsiaTheme="majorEastAsia" w:hAnsiTheme="majorHAnsi" w:cstheme="majorBidi" w:ascii="Times New Roman" w:hAnsi="Times New Roman"/>
      <w:b/>
      <w:color w:val="172C3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Title">
    <w:name w:val="LegTitle"/>
    <w:basedOn w:val="Heading1"/>
    <w:pPr>
      <w:keepNext/>
      <w:spacing w:before="280" w:after="120"/>
    </w:pPr>
    <w:rPr>
      <w:rFonts w:ascii="Times New Roman" w:hAnsi="Times New Roman"/>
      <w:b/>
      <w:color w:val="172C3C"/>
      <w:sz w:val="24"/>
    </w:rPr>
  </w:style>
  <w:style w:type="paragraph" w:customStyle="1" w:styleId="LegSection">
    <w:name w:val="LegSection"/>
    <w:basedOn w:val="Heading2"/>
    <w:pPr>
      <w:keepNext/>
      <w:spacing w:before="160" w:after="48"/>
    </w:pPr>
    <w:rPr>
      <w:rFonts w:ascii="Times New Roman" w:hAnsi="Times New Roman"/>
      <w:b/>
      <w:color w:val="172C3C"/>
      <w:sz w:val="20"/>
    </w:rPr>
  </w:style>
  <w:style w:type="paragraph" w:customStyle="1" w:styleId="LegClause">
    <w:name w:val="LegClause"/>
    <w:basedOn w:val="Normal"/>
    <w:pPr>
      <w:keepNext w:val="0"/>
      <w:spacing w:before="0" w:after="60" w:line="259" w:lineRule="auto"/>
      <w:ind w:left="302" w:hanging="259"/>
    </w:pPr>
    <w:rPr>
      <w:rFonts w:ascii="Times New Roman" w:hAnsi="Times New Roman"/>
      <w:b w:val="0"/>
      <w:color w:val="14191C"/>
      <w:sz w:val="19"/>
    </w:rPr>
  </w:style>
  <w:style w:type="paragraph" w:customStyle="1" w:styleId="LegBillLead">
    <w:name w:val="LegBillLead"/>
    <w:basedOn w:val="Normal"/>
    <w:pPr>
      <w:keepNext w:val="0"/>
      <w:spacing w:before="0" w:after="160"/>
    </w:pPr>
    <w:rPr>
      <w:rFonts w:ascii="Times New Roman" w:hAnsi="Times New Roman"/>
      <w:b w:val="0"/>
      <w:color w:val="14191C"/>
      <w:sz w:val="20"/>
    </w:rPr>
  </w:style>
  <w:style w:type="paragraph" w:customStyle="1" w:styleId="SmallSource">
    <w:name w:val="SmallSource"/>
    <w:basedOn w:val="Normal"/>
    <w:pPr>
      <w:keepNext w:val="0"/>
      <w:spacing w:before="0" w:after="60"/>
    </w:pPr>
    <w:rPr>
      <w:rFonts w:ascii="Times New Roman" w:hAnsi="Times New Roman"/>
      <w:b w:val="0"/>
      <w:color w:val="14191C"/>
      <w:sz w:val="16"/>
    </w:rPr>
  </w:style>
  <w:style w:type="paragraph" w:customStyle="1" w:styleId="TOCEntry">
    <w:name w:val="TOCEntry"/>
    <w:basedOn w:val="Normal"/>
    <w:pPr>
      <w:keepNext w:val="0"/>
      <w:spacing w:before="0" w:after="36"/>
      <w:ind w:left="173"/>
    </w:pPr>
    <w:rPr>
      <w:rFonts w:ascii="Times New Roman" w:hAnsi="Times New Roman"/>
      <w:b w:val="0"/>
      <w:color w:val="14191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Act of 2026 — Scientific Progress, Autonomy, Capacity, and Exploration</dc:title>
  <dc:subject>Full consolidated legislative model, $309.748 billion annual appropriation, constitutional and fiscal analysis</dc:subject>
  <dc:creator>Legislative Counsel - Model Draft</dc:creator>
  <cp:keywords>SPACE Act; NASA; DARPA; frontier science; annual appropriations; research; engineering; exploration</cp:keywords>
  <dc:description>Model legislation with independent fiscal, legal, research, implementation, and international annexes.</dc:description>
  <cp:lastModifiedBy/>
  <cp:revision>1</cp:revision>
  <dcterms:created xsi:type="dcterms:W3CDTF">2013-12-23T23:15:00Z</dcterms:created>
  <dcterms:modified xsi:type="dcterms:W3CDTF">2013-12-23T23:15:00Z</dcterms:modified>
  <cp:category/>
</cp:coreProperties>
</file>