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Kicker"/>
      </w:pPr>
      <w:r>
        <w:t>LEGISLATIVE SUBMISSION DRAFT</w:t>
      </w:r>
    </w:p>
    <w:p>
      <w:pPr>
        <w:pStyle w:val="LegislativeTitle"/>
      </w:pPr>
      <w:r>
        <w:t>The SEXY Act</w:t>
      </w:r>
    </w:p>
    <w:p>
      <w:pPr>
        <w:pStyle w:val="LegislativeSubtitle"/>
      </w:pPr>
      <w:r>
        <w:t>Safety, Equity, eXpression, and Yearning Act</w:t>
      </w:r>
    </w:p>
    <w:tbl>
      <w:tblPr>
        <w:tblW w:type="dxa" w:w="9360"/>
        <w:jc w:val="center"/>
        <w:tblLayout w:type="fixed"/>
        <w:tblLook w:firstColumn="1" w:firstRow="1" w:lastColumn="0" w:lastRow="0" w:noHBand="0" w:noVBand="1" w:val="04A0"/>
        <w:tblCellMar>
          <w:top w:w="160" w:type="dxa"/>
          <w:start w:w="180" w:type="dxa"/>
          <w:bottom w:w="160" w:type="dxa"/>
          <w:end w:w="180" w:type="dxa"/>
        </w:tblCellMar>
      </w:tblPr>
      <w:tblGrid>
        <w:gridCol w:w="9360"/>
      </w:tblGrid>
      <w:tr>
        <w:tc>
          <w:tcPr>
            <w:tcW w:type="dxa" w:w="9360"/>
            <w:shd w:fill="F4F6F8"/>
            <w:tcBorders>
              <w:top w:val="single" w:sz="6" w:space="0" w:color="C9D3DF"/>
              <w:left w:val="single" w:sz="6" w:space="0" w:color="C9D3DF"/>
              <w:bottom w:val="single" w:sz="6" w:space="0" w:color="C9D3DF"/>
              <w:right w:val="single" w:sz="6" w:space="0" w:color="C9D3DF"/>
            </w:tcBorders>
            <w:vAlign w:val="center"/>
          </w:tcPr>
          <w:p>
            <w:pPr>
              <w:pStyle w:val="ActDescription"/>
              <w:spacing w:after="0"/>
            </w:pPr>
            <w:r>
              <w:rPr>
                <w:rFonts w:ascii="Times New Roman" w:hAnsi="Times New Roman"/>
                <w:color w:val="111827"/>
                <w:sz w:val="22"/>
              </w:rPr>
              <w:t>An Act concerning consensual adult intimate work; legalizing and regulating adult intimate services and related businesses; establishing worker rights, client responsibilities, health and safety standards, licensing, taxation, advertising rules, platform obligations, privacy protections, anti-trafficking safeguards, anti-harassment and anti-violence protections, survivor services, due-process protections, enforcement mechanisms, local zoning standards, transition rules, and periodic legislative review.</w:t>
            </w:r>
          </w:p>
        </w:tc>
      </w:tr>
    </w:tbl>
    <w:p/>
    <w:tbl>
      <w:tblPr>
        <w:tblW w:type="dxa" w:w="9360"/>
        <w:jc w:val="center"/>
        <w:tblLayout w:type="fixed"/>
        <w:tblLook w:firstColumn="1" w:firstRow="1" w:lastColumn="0" w:lastRow="0" w:noHBand="0" w:noVBand="1" w:val="04A0"/>
        <w:tblCellMar>
          <w:top w:w="100" w:type="dxa"/>
          <w:start w:w="140" w:type="dxa"/>
          <w:bottom w:w="100" w:type="dxa"/>
          <w:end w:w="140" w:type="dxa"/>
        </w:tblCellMar>
      </w:tblPr>
      <w:tblGrid>
        <w:gridCol w:w="2400"/>
        <w:gridCol w:w="6960"/>
      </w:tblGrid>
      <w:tr>
        <w:tc>
          <w:tcPr>
            <w:tcW w:type="dxa" w:w="2400"/>
            <w:tcBorders>
              <w:top w:val="single" w:sz="6" w:space="0" w:color="C9D3DF"/>
              <w:left w:val="single" w:sz="6" w:space="0" w:color="C9D3DF"/>
              <w:bottom w:val="single" w:sz="6" w:space="0" w:color="C9D3DF"/>
              <w:right w:val="single" w:sz="6" w:space="0" w:color="C9D3DF"/>
            </w:tcBorders>
            <w:vAlign w:val="center"/>
            <w:shd w:fill="EEF2F6"/>
          </w:tcPr>
          <w:p>
            <w:pPr>
              <w:spacing w:after="0"/>
            </w:pPr>
            <w:r>
              <w:rPr>
                <w:rFonts w:ascii="Arial" w:hAnsi="Arial"/>
                <w:b/>
                <w:color w:val="0B2545"/>
                <w:sz w:val="19"/>
              </w:rPr>
              <w:t>Chamber</w:t>
            </w:r>
          </w:p>
        </w:tc>
        <w:tc>
          <w:tcPr>
            <w:tcW w:type="dxa" w:w="6960"/>
            <w:tcBorders>
              <w:top w:val="single" w:sz="6" w:space="0" w:color="C9D3DF"/>
              <w:left w:val="single" w:sz="6" w:space="0" w:color="C9D3DF"/>
              <w:bottom w:val="single" w:sz="6" w:space="0" w:color="C9D3DF"/>
              <w:right w:val="single" w:sz="6" w:space="0" w:color="C9D3DF"/>
            </w:tcBorders>
            <w:vAlign w:val="center"/>
          </w:tcPr>
          <w:p>
            <w:pPr>
              <w:spacing w:after="0"/>
            </w:pPr>
            <w:r>
              <w:rPr>
                <w:rFonts w:ascii="Times New Roman" w:hAnsi="Times New Roman"/>
                <w:color w:val="111827"/>
                <w:sz w:val="21"/>
              </w:rPr>
              <w:t>[House / Senate]</w:t>
            </w:r>
          </w:p>
        </w:tc>
      </w:tr>
      <w:tr>
        <w:tc>
          <w:tcPr>
            <w:tcW w:type="dxa" w:w="2400"/>
            <w:tcBorders>
              <w:top w:val="single" w:sz="6" w:space="0" w:color="C9D3DF"/>
              <w:left w:val="single" w:sz="6" w:space="0" w:color="C9D3DF"/>
              <w:bottom w:val="single" w:sz="6" w:space="0" w:color="C9D3DF"/>
              <w:right w:val="single" w:sz="6" w:space="0" w:color="C9D3DF"/>
            </w:tcBorders>
            <w:vAlign w:val="center"/>
            <w:shd w:fill="EEF2F6"/>
          </w:tcPr>
          <w:p>
            <w:pPr>
              <w:spacing w:after="0"/>
            </w:pPr>
            <w:r>
              <w:rPr>
                <w:rFonts w:ascii="Arial" w:hAnsi="Arial"/>
                <w:b/>
                <w:color w:val="0B2545"/>
                <w:sz w:val="19"/>
              </w:rPr>
              <w:t>Sponsor</w:t>
            </w:r>
          </w:p>
        </w:tc>
        <w:tc>
          <w:tcPr>
            <w:tcW w:type="dxa" w:w="6960"/>
            <w:tcBorders>
              <w:top w:val="single" w:sz="6" w:space="0" w:color="C9D3DF"/>
              <w:left w:val="single" w:sz="6" w:space="0" w:color="C9D3DF"/>
              <w:bottom w:val="single" w:sz="6" w:space="0" w:color="C9D3DF"/>
              <w:right w:val="single" w:sz="6" w:space="0" w:color="C9D3DF"/>
            </w:tcBorders>
            <w:vAlign w:val="center"/>
          </w:tcPr>
          <w:p>
            <w:pPr>
              <w:spacing w:after="0"/>
            </w:pPr>
            <w:r>
              <w:rPr>
                <w:rFonts w:ascii="Times New Roman" w:hAnsi="Times New Roman"/>
                <w:color w:val="111827"/>
                <w:sz w:val="21"/>
              </w:rPr>
              <w:t>[Insert sponsor]</w:t>
            </w:r>
          </w:p>
        </w:tc>
      </w:tr>
      <w:tr>
        <w:tc>
          <w:tcPr>
            <w:tcW w:type="dxa" w:w="2400"/>
            <w:tcBorders>
              <w:top w:val="single" w:sz="6" w:space="0" w:color="C9D3DF"/>
              <w:left w:val="single" w:sz="6" w:space="0" w:color="C9D3DF"/>
              <w:bottom w:val="single" w:sz="6" w:space="0" w:color="C9D3DF"/>
              <w:right w:val="single" w:sz="6" w:space="0" w:color="C9D3DF"/>
            </w:tcBorders>
            <w:vAlign w:val="center"/>
            <w:shd w:fill="EEF2F6"/>
          </w:tcPr>
          <w:p>
            <w:pPr>
              <w:spacing w:after="0"/>
            </w:pPr>
            <w:r>
              <w:rPr>
                <w:rFonts w:ascii="Arial" w:hAnsi="Arial"/>
                <w:b/>
                <w:color w:val="0B2545"/>
                <w:sz w:val="19"/>
              </w:rPr>
              <w:t>Committee</w:t>
            </w:r>
          </w:p>
        </w:tc>
        <w:tc>
          <w:tcPr>
            <w:tcW w:type="dxa" w:w="6960"/>
            <w:tcBorders>
              <w:top w:val="single" w:sz="6" w:space="0" w:color="C9D3DF"/>
              <w:left w:val="single" w:sz="6" w:space="0" w:color="C9D3DF"/>
              <w:bottom w:val="single" w:sz="6" w:space="0" w:color="C9D3DF"/>
              <w:right w:val="single" w:sz="6" w:space="0" w:color="C9D3DF"/>
            </w:tcBorders>
            <w:vAlign w:val="center"/>
          </w:tcPr>
          <w:p>
            <w:pPr>
              <w:spacing w:after="0"/>
            </w:pPr>
            <w:r>
              <w:rPr>
                <w:rFonts w:ascii="Times New Roman" w:hAnsi="Times New Roman"/>
                <w:color w:val="111827"/>
                <w:sz w:val="21"/>
              </w:rPr>
              <w:t>[Insert committee or referral]</w:t>
            </w:r>
          </w:p>
        </w:tc>
      </w:tr>
      <w:tr>
        <w:tc>
          <w:tcPr>
            <w:tcW w:type="dxa" w:w="2400"/>
            <w:tcBorders>
              <w:top w:val="single" w:sz="6" w:space="0" w:color="C9D3DF"/>
              <w:left w:val="single" w:sz="6" w:space="0" w:color="C9D3DF"/>
              <w:bottom w:val="single" w:sz="6" w:space="0" w:color="C9D3DF"/>
              <w:right w:val="single" w:sz="6" w:space="0" w:color="C9D3DF"/>
            </w:tcBorders>
            <w:vAlign w:val="center"/>
            <w:shd w:fill="EEF2F6"/>
          </w:tcPr>
          <w:p>
            <w:pPr>
              <w:spacing w:after="0"/>
            </w:pPr>
            <w:r>
              <w:rPr>
                <w:rFonts w:ascii="Arial" w:hAnsi="Arial"/>
                <w:b/>
                <w:color w:val="0B2545"/>
                <w:sz w:val="19"/>
              </w:rPr>
              <w:t>Congress / Session</w:t>
            </w:r>
          </w:p>
        </w:tc>
        <w:tc>
          <w:tcPr>
            <w:tcW w:type="dxa" w:w="6960"/>
            <w:tcBorders>
              <w:top w:val="single" w:sz="6" w:space="0" w:color="C9D3DF"/>
              <w:left w:val="single" w:sz="6" w:space="0" w:color="C9D3DF"/>
              <w:bottom w:val="single" w:sz="6" w:space="0" w:color="C9D3DF"/>
              <w:right w:val="single" w:sz="6" w:space="0" w:color="C9D3DF"/>
            </w:tcBorders>
            <w:vAlign w:val="center"/>
          </w:tcPr>
          <w:p>
            <w:pPr>
              <w:spacing w:after="0"/>
            </w:pPr>
            <w:r>
              <w:rPr>
                <w:rFonts w:ascii="Times New Roman" w:hAnsi="Times New Roman"/>
                <w:color w:val="111827"/>
                <w:sz w:val="21"/>
              </w:rPr>
              <w:t>[Insert Congress and session]</w:t>
            </w:r>
          </w:p>
        </w:tc>
      </w:tr>
      <w:tr>
        <w:tc>
          <w:tcPr>
            <w:tcW w:type="dxa" w:w="2400"/>
            <w:tcBorders>
              <w:top w:val="single" w:sz="6" w:space="0" w:color="C9D3DF"/>
              <w:left w:val="single" w:sz="6" w:space="0" w:color="C9D3DF"/>
              <w:bottom w:val="single" w:sz="6" w:space="0" w:color="C9D3DF"/>
              <w:right w:val="single" w:sz="6" w:space="0" w:color="C9D3DF"/>
            </w:tcBorders>
            <w:vAlign w:val="center"/>
            <w:shd w:fill="EEF2F6"/>
          </w:tcPr>
          <w:p>
            <w:pPr>
              <w:spacing w:after="0"/>
            </w:pPr>
            <w:r>
              <w:rPr>
                <w:rFonts w:ascii="Arial" w:hAnsi="Arial"/>
                <w:b/>
                <w:color w:val="0B2545"/>
                <w:sz w:val="19"/>
              </w:rPr>
              <w:t>Date</w:t>
            </w:r>
          </w:p>
        </w:tc>
        <w:tc>
          <w:tcPr>
            <w:tcW w:type="dxa" w:w="6960"/>
            <w:tcBorders>
              <w:top w:val="single" w:sz="6" w:space="0" w:color="C9D3DF"/>
              <w:left w:val="single" w:sz="6" w:space="0" w:color="C9D3DF"/>
              <w:bottom w:val="single" w:sz="6" w:space="0" w:color="C9D3DF"/>
              <w:right w:val="single" w:sz="6" w:space="0" w:color="C9D3DF"/>
            </w:tcBorders>
            <w:vAlign w:val="center"/>
          </w:tcPr>
          <w:p>
            <w:pPr>
              <w:spacing w:after="0"/>
            </w:pPr>
            <w:r>
              <w:rPr>
                <w:rFonts w:ascii="Times New Roman" w:hAnsi="Times New Roman"/>
                <w:color w:val="111827"/>
                <w:sz w:val="21"/>
              </w:rPr>
              <w:t>[Insert filing date]</w:t>
            </w:r>
          </w:p>
        </w:tc>
      </w:tr>
      <w:tr>
        <w:tc>
          <w:tcPr>
            <w:tcW w:type="dxa" w:w="2400"/>
            <w:tcBorders>
              <w:top w:val="single" w:sz="6" w:space="0" w:color="C9D3DF"/>
              <w:left w:val="single" w:sz="6" w:space="0" w:color="C9D3DF"/>
              <w:bottom w:val="single" w:sz="6" w:space="0" w:color="C9D3DF"/>
              <w:right w:val="single" w:sz="6" w:space="0" w:color="C9D3DF"/>
            </w:tcBorders>
            <w:vAlign w:val="center"/>
            <w:shd w:fill="EEF2F6"/>
          </w:tcPr>
          <w:p>
            <w:pPr>
              <w:spacing w:after="0"/>
            </w:pPr>
            <w:r>
              <w:rPr>
                <w:rFonts w:ascii="Arial" w:hAnsi="Arial"/>
                <w:b/>
                <w:color w:val="0B2545"/>
                <w:sz w:val="19"/>
              </w:rPr>
              <w:t>Source treatment</w:t>
            </w:r>
          </w:p>
        </w:tc>
        <w:tc>
          <w:tcPr>
            <w:tcW w:type="dxa" w:w="6960"/>
            <w:tcBorders>
              <w:top w:val="single" w:sz="6" w:space="0" w:color="C9D3DF"/>
              <w:left w:val="single" w:sz="6" w:space="0" w:color="C9D3DF"/>
              <w:bottom w:val="single" w:sz="6" w:space="0" w:color="C9D3DF"/>
              <w:right w:val="single" w:sz="6" w:space="0" w:color="C9D3DF"/>
            </w:tcBorders>
            <w:vAlign w:val="center"/>
          </w:tcPr>
          <w:p>
            <w:pPr>
              <w:spacing w:after="0"/>
            </w:pPr>
            <w:r>
              <w:rPr>
                <w:rFonts w:ascii="Times New Roman" w:hAnsi="Times New Roman"/>
                <w:color w:val="111827"/>
                <w:sz w:val="21"/>
              </w:rPr>
              <w:t>Substantive bill language preserved from the attached draft.</w:t>
            </w:r>
          </w:p>
        </w:tc>
      </w:tr>
    </w:tbl>
    <w:p/>
    <w:p>
      <w:pPr>
        <w:pStyle w:val="LegalBody"/>
        <w:spacing w:before="200" w:after="0"/>
        <w:jc w:val="left"/>
      </w:pPr>
      <w:r>
        <w:rPr>
          <w:rFonts w:ascii="Times New Roman" w:hAnsi="Times New Roman"/>
          <w:i/>
          <w:color w:val="585858"/>
          <w:sz w:val="19"/>
        </w:rPr>
        <w:t>Submission note: this packet is formatted for legislative review. Bracketed cover-page fields should be completed before filing; the bill text itself is not substantively rewritten here.</w:t>
      </w:r>
    </w:p>
    <w:p>
      <w:r>
        <w:br w:type="page"/>
      </w:r>
    </w:p>
    <w:p>
      <w:pPr>
        <w:pStyle w:val="LegislativeTitle"/>
      </w:pPr>
      <w:r>
        <w:rPr>
          <w:rFonts w:ascii="Times New Roman" w:hAnsi="Times New Roman"/>
          <w:b w:val="0"/>
          <w:color w:val="111827"/>
          <w:sz w:val="22"/>
        </w:rPr>
        <w:t>The SEXY Act</w:t>
      </w:r>
    </w:p>
    <w:p>
      <w:pPr>
        <w:pStyle w:val="LegislativeSubtitle"/>
      </w:pPr>
      <w:r>
        <w:rPr>
          <w:rFonts w:ascii="Times New Roman" w:hAnsi="Times New Roman"/>
          <w:b w:val="0"/>
          <w:color w:val="111827"/>
          <w:sz w:val="22"/>
        </w:rPr>
        <w:t>Safety, Equity, eXpression, and Yearning Act</w:t>
      </w:r>
    </w:p>
    <w:p>
      <w:pPr>
        <w:pStyle w:val="ActDescription"/>
      </w:pPr>
      <w:r>
        <w:rPr>
          <w:rFonts w:ascii="Times New Roman" w:hAnsi="Times New Roman"/>
          <w:b w:val="0"/>
          <w:color w:val="111827"/>
          <w:sz w:val="22"/>
        </w:rPr>
        <w:t>An Act concerning consensual adult intimate work; legalizing and regulating adult intimate services and related businesses; establishing worker rights, client responsibilities, health and safety standards, licensing, taxation, advertising rules, platform obligations, privacy protections, anti-trafficking safeguards, anti-harassment and anti-violence protections, survivor services, due-process protections, enforcement mechanisms, local zoning standards, transition rules, and periodic legislative review.</w:t>
      </w:r>
    </w:p>
    <w:p>
      <w:pPr>
        <w:spacing w:after="80"/>
      </w:pPr>
    </w:p>
    <w:p>
      <w:pPr>
        <w:pStyle w:val="SectionHeading"/>
      </w:pPr>
      <w:r>
        <w:rPr>
          <w:rFonts w:ascii="Arial" w:hAnsi="Arial"/>
          <w:b/>
          <w:color w:val="0B2545"/>
          <w:sz w:val="21"/>
        </w:rPr>
        <w:t>SECTION 1. Short title.</w:t>
      </w:r>
    </w:p>
    <w:p>
      <w:pPr>
        <w:pStyle w:val="LegalBody"/>
      </w:pPr>
      <w:r>
        <w:rPr>
          <w:rFonts w:ascii="Times New Roman" w:hAnsi="Times New Roman"/>
          <w:b w:val="0"/>
          <w:color w:val="111827"/>
          <w:sz w:val="22"/>
        </w:rPr>
        <w:t>This Act shall be known and may be cited as the “Safety, Equity, eXpression, and Yearning Act” or the “SEXY Act.”</w:t>
      </w:r>
    </w:p>
    <w:p>
      <w:pPr>
        <w:spacing w:after="80"/>
      </w:pPr>
    </w:p>
    <w:p>
      <w:pPr>
        <w:pStyle w:val="SectionHeading"/>
      </w:pPr>
      <w:r>
        <w:rPr>
          <w:rFonts w:ascii="Arial" w:hAnsi="Arial"/>
          <w:b/>
          <w:color w:val="0B2545"/>
          <w:sz w:val="21"/>
        </w:rPr>
        <w:t>SECTION 2. Legislative findings.</w:t>
      </w:r>
    </w:p>
    <w:p>
      <w:pPr>
        <w:pStyle w:val="LegalBody"/>
      </w:pPr>
      <w:r>
        <w:rPr>
          <w:rFonts w:ascii="Times New Roman" w:hAnsi="Times New Roman"/>
          <w:b w:val="0"/>
          <w:color w:val="111827"/>
          <w:sz w:val="22"/>
        </w:rPr>
        <w:t>The Legislature finds that:</w:t>
      </w:r>
    </w:p>
    <w:p>
      <w:pPr>
        <w:pStyle w:val="LegalNumber"/>
      </w:pPr>
      <w:r>
        <w:rPr>
          <w:rFonts w:ascii="Times New Roman" w:hAnsi="Times New Roman"/>
          <w:b w:val="0"/>
          <w:color w:val="111827"/>
          <w:sz w:val="22"/>
        </w:rPr>
        <w:t>1. Adults have rights to bodily autonomy, personal security, privacy, freedom from violence, freedom from coercion, equal protection, and fair labor conditions.</w:t>
      </w:r>
    </w:p>
    <w:p>
      <w:pPr>
        <w:pStyle w:val="LegalNumber"/>
      </w:pPr>
      <w:r>
        <w:rPr>
          <w:rFonts w:ascii="Times New Roman" w:hAnsi="Times New Roman"/>
          <w:b w:val="0"/>
          <w:color w:val="111827"/>
          <w:sz w:val="22"/>
        </w:rPr>
        <w:t>2. Criminalization of consensual adult intimate work has historically impeded reporting of violence, trafficking, wage theft, assault, extortion, stalking, harassment, and exploitation.</w:t>
      </w:r>
    </w:p>
    <w:p>
      <w:pPr>
        <w:pStyle w:val="LegalNumber"/>
      </w:pPr>
      <w:r>
        <w:rPr>
          <w:rFonts w:ascii="Times New Roman" w:hAnsi="Times New Roman"/>
          <w:b w:val="0"/>
          <w:color w:val="111827"/>
          <w:sz w:val="22"/>
        </w:rPr>
        <w:t>3. Legalization without regulation may permit unsafe establishments, opaque ownership, abusive management arrangements, trafficking concealment, financial coercion, unsafe premises, unlawful recording, and community disruption.</w:t>
      </w:r>
    </w:p>
    <w:p>
      <w:pPr>
        <w:pStyle w:val="LegalNumber"/>
      </w:pPr>
      <w:r>
        <w:rPr>
          <w:rFonts w:ascii="Times New Roman" w:hAnsi="Times New Roman"/>
          <w:b w:val="0"/>
          <w:color w:val="111827"/>
          <w:sz w:val="22"/>
        </w:rPr>
        <w:t>4. The State has a compelling interest in preventing sexual assault, trafficking, exploitation of minors, coercion, stalking, nonconsensual recording and distribution of intimate content, harassment, discrimination, retaliation, and unsafe business practices.</w:t>
      </w:r>
    </w:p>
    <w:p>
      <w:pPr>
        <w:pStyle w:val="LegalNumber"/>
      </w:pPr>
      <w:r>
        <w:rPr>
          <w:rFonts w:ascii="Times New Roman" w:hAnsi="Times New Roman"/>
          <w:b w:val="0"/>
          <w:color w:val="111827"/>
          <w:sz w:val="22"/>
        </w:rPr>
        <w:t>5. The State also has substantial interests in public health, occupational safety, transparent business regulation, consumer protection, tax compliance, data privacy, worker autonomy, and community stability.</w:t>
      </w:r>
    </w:p>
    <w:p>
      <w:pPr>
        <w:pStyle w:val="LegalNumber"/>
      </w:pPr>
      <w:r>
        <w:rPr>
          <w:rFonts w:ascii="Times New Roman" w:hAnsi="Times New Roman"/>
          <w:b w:val="0"/>
          <w:color w:val="111827"/>
          <w:sz w:val="22"/>
        </w:rPr>
        <w:t>6. Consensual adult intimate work is categorically distinct from trafficking, coercion, exploitation, sexual assault, abuse of minors, nonconsensual intimate conduct, and unlawful recording or distribution of intimate content.</w:t>
      </w:r>
    </w:p>
    <w:p>
      <w:pPr>
        <w:pStyle w:val="LegalNumber"/>
      </w:pPr>
      <w:r>
        <w:rPr>
          <w:rFonts w:ascii="Times New Roman" w:hAnsi="Times New Roman"/>
          <w:b w:val="0"/>
          <w:color w:val="111827"/>
          <w:sz w:val="22"/>
        </w:rPr>
        <w:t>7. A lawful and regulated framework can improve safety by bringing businesses into the open, protecting workers and clients, creating reporting channels, funding survivor services, and allowing enforcement to focus on coercion, violence, trafficking, exploitation, and abuse.</w:t>
      </w:r>
    </w:p>
    <w:p>
      <w:pPr>
        <w:pStyle w:val="LegalNumber"/>
      </w:pPr>
      <w:r>
        <w:rPr>
          <w:rFonts w:ascii="Times New Roman" w:hAnsi="Times New Roman"/>
          <w:b w:val="0"/>
          <w:color w:val="111827"/>
          <w:sz w:val="22"/>
        </w:rPr>
        <w:t>8. The State shall regulate adult intimate work without moral stigma, viewpoint discrimination, arbitrary exclusion, or unnecessary intrusion into private lawful adult conduct.</w:t>
      </w:r>
    </w:p>
    <w:p>
      <w:pPr>
        <w:spacing w:after="80"/>
      </w:pPr>
    </w:p>
    <w:p>
      <w:pPr>
        <w:pStyle w:val="SectionHeading"/>
      </w:pPr>
      <w:r>
        <w:rPr>
          <w:rFonts w:ascii="Arial" w:hAnsi="Arial"/>
          <w:b/>
          <w:color w:val="0B2545"/>
          <w:sz w:val="21"/>
        </w:rPr>
        <w:t>SECTION 3. Purposes.</w:t>
      </w:r>
    </w:p>
    <w:p>
      <w:pPr>
        <w:pStyle w:val="LegalBody"/>
      </w:pPr>
      <w:r>
        <w:rPr>
          <w:rFonts w:ascii="Times New Roman" w:hAnsi="Times New Roman"/>
          <w:b w:val="0"/>
          <w:color w:val="111827"/>
          <w:sz w:val="22"/>
        </w:rPr>
        <w:t>The purposes of this Act are to:</w:t>
      </w:r>
    </w:p>
    <w:p>
      <w:pPr>
        <w:pStyle w:val="LegalNumber"/>
      </w:pPr>
      <w:r>
        <w:rPr>
          <w:rFonts w:ascii="Times New Roman" w:hAnsi="Times New Roman"/>
          <w:b w:val="0"/>
          <w:color w:val="111827"/>
          <w:sz w:val="22"/>
        </w:rPr>
        <w:t>1. legalize consensual adult intimate work under a regulated framework;</w:t>
      </w:r>
    </w:p>
    <w:p>
      <w:pPr>
        <w:pStyle w:val="LegalNumber"/>
      </w:pPr>
      <w:r>
        <w:rPr>
          <w:rFonts w:ascii="Times New Roman" w:hAnsi="Times New Roman"/>
          <w:b w:val="0"/>
          <w:color w:val="111827"/>
          <w:sz w:val="22"/>
        </w:rPr>
        <w:t>2. protect adult intimate workers’ autonomy, safety, labor rights, health, privacy, and freedom from discrimination;</w:t>
      </w:r>
    </w:p>
    <w:p>
      <w:pPr>
        <w:pStyle w:val="LegalNumber"/>
      </w:pPr>
      <w:r>
        <w:rPr>
          <w:rFonts w:ascii="Times New Roman" w:hAnsi="Times New Roman"/>
          <w:b w:val="0"/>
          <w:color w:val="111827"/>
          <w:sz w:val="22"/>
        </w:rPr>
        <w:t>3. protect clients, content participants, consumers, and community members through transparent rules, privacy safeguards, truthful advertising, and accountability;</w:t>
      </w:r>
    </w:p>
    <w:p>
      <w:pPr>
        <w:pStyle w:val="LegalNumber"/>
      </w:pPr>
      <w:r>
        <w:rPr>
          <w:rFonts w:ascii="Times New Roman" w:hAnsi="Times New Roman"/>
          <w:b w:val="0"/>
          <w:color w:val="111827"/>
          <w:sz w:val="22"/>
        </w:rPr>
        <w:t>4. prevent and punish trafficking, coercion, exploitation, sexual violence, harassment, stalking, retaliation, nonconsensual recording, nonconsensual distribution of intimate content, and abuse of power;</w:t>
      </w:r>
    </w:p>
    <w:p>
      <w:pPr>
        <w:pStyle w:val="LegalNumber"/>
      </w:pPr>
      <w:r>
        <w:rPr>
          <w:rFonts w:ascii="Times New Roman" w:hAnsi="Times New Roman"/>
          <w:b w:val="0"/>
          <w:color w:val="111827"/>
          <w:sz w:val="22"/>
        </w:rPr>
        <w:t>5. create confidential, accessible, nonpunitive reporting and survivor-support systems;</w:t>
      </w:r>
    </w:p>
    <w:p>
      <w:pPr>
        <w:pStyle w:val="LegalNumber"/>
      </w:pPr>
      <w:r>
        <w:rPr>
          <w:rFonts w:ascii="Times New Roman" w:hAnsi="Times New Roman"/>
          <w:b w:val="0"/>
          <w:color w:val="111827"/>
          <w:sz w:val="22"/>
        </w:rPr>
        <w:t>6. ensure fair investigations, due process, confidentiality, and protection against knowingly false or malicious claims;</w:t>
      </w:r>
    </w:p>
    <w:p>
      <w:pPr>
        <w:pStyle w:val="LegalNumber"/>
      </w:pPr>
      <w:r>
        <w:rPr>
          <w:rFonts w:ascii="Times New Roman" w:hAnsi="Times New Roman"/>
          <w:b w:val="0"/>
          <w:color w:val="111827"/>
          <w:sz w:val="22"/>
        </w:rPr>
        <w:t>7. regulate establishments, agencies, platforms, content distributors, advertising, ownership, taxation, and local land use;</w:t>
      </w:r>
    </w:p>
    <w:p>
      <w:pPr>
        <w:pStyle w:val="LegalNumber"/>
      </w:pPr>
      <w:r>
        <w:rPr>
          <w:rFonts w:ascii="Times New Roman" w:hAnsi="Times New Roman"/>
          <w:b w:val="0"/>
          <w:color w:val="111827"/>
          <w:sz w:val="22"/>
        </w:rPr>
        <w:t>8. preserve public health through voluntary, confidential, nonstigmatizing healthcare access and evidence-based occupational safety standards;</w:t>
      </w:r>
    </w:p>
    <w:p>
      <w:pPr>
        <w:pStyle w:val="LegalNumber"/>
      </w:pPr>
      <w:r>
        <w:rPr>
          <w:rFonts w:ascii="Times New Roman" w:hAnsi="Times New Roman"/>
          <w:b w:val="0"/>
          <w:color w:val="111827"/>
          <w:sz w:val="22"/>
        </w:rPr>
        <w:t>9. prevent unregulated market proliferation while prohibiting local governments from using zoning or licensing to functionally ban lawful adult intimate work;</w:t>
      </w:r>
    </w:p>
    <w:p>
      <w:pPr>
        <w:pStyle w:val="LegalNumber"/>
      </w:pPr>
      <w:r>
        <w:rPr>
          <w:rFonts w:ascii="Times New Roman" w:hAnsi="Times New Roman"/>
          <w:b w:val="0"/>
          <w:color w:val="111827"/>
          <w:sz w:val="22"/>
        </w:rPr>
        <w:t>10. dedicate revenue to worker health, survivor services, anti-trafficking enforcement, legal aid, public education, inspections, and community impact mitigation.</w:t>
      </w:r>
    </w:p>
    <w:p>
      <w:pPr>
        <w:spacing w:after="80"/>
      </w:pPr>
    </w:p>
    <w:p>
      <w:pPr>
        <w:pStyle w:val="SectionHeading"/>
      </w:pPr>
      <w:r>
        <w:rPr>
          <w:rFonts w:ascii="Arial" w:hAnsi="Arial"/>
          <w:b/>
          <w:color w:val="0B2545"/>
          <w:sz w:val="21"/>
        </w:rPr>
        <w:t>SECTION 4. Definitions.</w:t>
      </w:r>
    </w:p>
    <w:p>
      <w:pPr>
        <w:pStyle w:val="LegalBody"/>
      </w:pPr>
      <w:r>
        <w:rPr>
          <w:rFonts w:ascii="Times New Roman" w:hAnsi="Times New Roman"/>
          <w:b w:val="0"/>
          <w:color w:val="111827"/>
          <w:sz w:val="22"/>
        </w:rPr>
        <w:t>For purposes of this Act:</w:t>
      </w:r>
    </w:p>
    <w:p>
      <w:pPr>
        <w:pStyle w:val="LegalNumber"/>
      </w:pPr>
      <w:r>
        <w:rPr>
          <w:rFonts w:ascii="Times New Roman" w:hAnsi="Times New Roman"/>
          <w:b w:val="0"/>
          <w:color w:val="111827"/>
          <w:sz w:val="22"/>
        </w:rPr>
        <w:t>1. “Adult” means an individual who is at least 18 years of age.</w:t>
      </w:r>
    </w:p>
    <w:p>
      <w:pPr>
        <w:pStyle w:val="LegalNumber"/>
      </w:pPr>
      <w:r>
        <w:rPr>
          <w:rFonts w:ascii="Times New Roman" w:hAnsi="Times New Roman"/>
          <w:b w:val="0"/>
          <w:color w:val="111827"/>
          <w:sz w:val="22"/>
        </w:rPr>
        <w:t>2. “Adult intimate work” means the consensual provision, facilitation, advertising, management, production, distribution, or purchase of adult intimate services or adult intimate content for remuneration, when conducted in compliance with this Act.</w:t>
      </w:r>
    </w:p>
    <w:p>
      <w:pPr>
        <w:pStyle w:val="LegalNumber"/>
      </w:pPr>
      <w:r>
        <w:rPr>
          <w:rFonts w:ascii="Times New Roman" w:hAnsi="Times New Roman"/>
          <w:b w:val="0"/>
          <w:color w:val="111827"/>
          <w:sz w:val="22"/>
        </w:rPr>
        <w:t>3. “Adult intimate service” means an in-person service provided by an adult to another adult for remuneration that involves consensual intimate physical contact, erotic entertainment, adult companionship with intimate conduct, or other adult conduct made lawful by this Act. The term does not include sexual assault, trafficking, coercion, exploitation of a minor, nonconsensual conduct, unlawful recording, or conduct otherwise prohibited by this Act.</w:t>
      </w:r>
    </w:p>
    <w:p>
      <w:pPr>
        <w:pStyle w:val="LegalNumber"/>
      </w:pPr>
      <w:r>
        <w:rPr>
          <w:rFonts w:ascii="Times New Roman" w:hAnsi="Times New Roman"/>
          <w:b w:val="0"/>
          <w:color w:val="111827"/>
          <w:sz w:val="22"/>
        </w:rPr>
        <w:t>4. “Adult intimate worker” or “worker” means an adult who personally provides adult intimate services or participates as a performer, model, creator, or subject in adult intimate content for remuneration.</w:t>
      </w:r>
    </w:p>
    <w:p>
      <w:pPr>
        <w:pStyle w:val="LegalNumber"/>
      </w:pPr>
      <w:r>
        <w:rPr>
          <w:rFonts w:ascii="Times New Roman" w:hAnsi="Times New Roman"/>
          <w:b w:val="0"/>
          <w:color w:val="111827"/>
          <w:sz w:val="22"/>
        </w:rPr>
        <w:t>5. “Adult intimate establishment” means a fixed physical premises at which adult intimate services are offered, arranged, performed, or facilitated.</w:t>
      </w:r>
    </w:p>
    <w:p>
      <w:pPr>
        <w:pStyle w:val="LegalNumber"/>
      </w:pPr>
      <w:r>
        <w:rPr>
          <w:rFonts w:ascii="Times New Roman" w:hAnsi="Times New Roman"/>
          <w:b w:val="0"/>
          <w:color w:val="111827"/>
          <w:sz w:val="22"/>
        </w:rPr>
        <w:t>6. “Agency” means a person that arranges, schedules, markets, books, refers, manages, or processes payment for adult intimate services performed by workers who are not owners of that person.</w:t>
      </w:r>
    </w:p>
    <w:p>
      <w:pPr>
        <w:pStyle w:val="LegalNumber"/>
      </w:pPr>
      <w:r>
        <w:rPr>
          <w:rFonts w:ascii="Times New Roman" w:hAnsi="Times New Roman"/>
          <w:b w:val="0"/>
          <w:color w:val="111827"/>
          <w:sz w:val="22"/>
        </w:rPr>
        <w:t>7. “Affirmative consent” means a knowing, voluntary, informed, specific, ongoing, and revocable agreement to engage in a particular act or service. Consent may be communicated by words or clear conduct, but silence, passivity, prior relationship, prior work, prior consent, payment, employment status, intoxication, fear, coercion, or failure to resist does not establish consent.</w:t>
      </w:r>
    </w:p>
    <w:p>
      <w:pPr>
        <w:pStyle w:val="LegalNumber"/>
      </w:pPr>
      <w:r>
        <w:rPr>
          <w:rFonts w:ascii="Times New Roman" w:hAnsi="Times New Roman"/>
          <w:b w:val="0"/>
          <w:color w:val="111827"/>
          <w:sz w:val="22"/>
        </w:rPr>
        <w:t>8. “Bad-faith claim” means a claim made knowingly and intentionally with material falsity and with the purpose of causing unlawful harm. A claim is not bad faith merely because it is unsubstantiated, withdrawn, inconsistently remembered, partially corroborated, difficult to prove, delayed, or rejected by an agency or court.</w:t>
      </w:r>
    </w:p>
    <w:p>
      <w:pPr>
        <w:pStyle w:val="LegalNumber"/>
      </w:pPr>
      <w:r>
        <w:rPr>
          <w:rFonts w:ascii="Times New Roman" w:hAnsi="Times New Roman"/>
          <w:b w:val="0"/>
          <w:color w:val="111827"/>
          <w:sz w:val="22"/>
        </w:rPr>
        <w:t>9. “Biometric data” means data generated by automated or manual measurement of biological, physical, behavioral, or physiological characteristics, including facial geometry, fingerprint, voiceprint, iris or retina scan, gait, or other unique biological identifiers.</w:t>
      </w:r>
    </w:p>
    <w:p>
      <w:pPr>
        <w:pStyle w:val="LegalNumber"/>
      </w:pPr>
      <w:r>
        <w:rPr>
          <w:rFonts w:ascii="Times New Roman" w:hAnsi="Times New Roman"/>
          <w:b w:val="0"/>
          <w:color w:val="111827"/>
          <w:sz w:val="22"/>
        </w:rPr>
        <w:t>10. “Client” or “receiver” means an adult who purchases, seeks to purchase, receives, or seeks to receive adult intimate services or adult intimate content.</w:t>
      </w:r>
    </w:p>
    <w:p>
      <w:pPr>
        <w:pStyle w:val="LegalNumber"/>
      </w:pPr>
      <w:r>
        <w:rPr>
          <w:rFonts w:ascii="Times New Roman" w:hAnsi="Times New Roman"/>
          <w:b w:val="0"/>
          <w:color w:val="111827"/>
          <w:sz w:val="22"/>
        </w:rPr>
        <w:t>11. “Coercion” means any act, threat, scheme, plan, pattern, pressure, or abuse of power that causes or attempts to cause a person to provide, continue, record, distribute, advertise, facilitate, or purchase adult intimate services or content without affirmative consent, including:</w:t>
      </w:r>
    </w:p>
    <w:p>
      <w:pPr>
        <w:pStyle w:val="LegalNumber"/>
      </w:pPr>
      <w:r>
        <w:rPr>
          <w:rFonts w:ascii="Times New Roman" w:hAnsi="Times New Roman"/>
          <w:b w:val="0"/>
          <w:color w:val="111827"/>
          <w:sz w:val="22"/>
        </w:rPr>
        <w:t>12. force, threat of force, restraint, kidnapping, confinement, or surveillance;</w:t>
      </w:r>
    </w:p>
    <w:p>
      <w:pPr>
        <w:pStyle w:val="LegalNumber"/>
      </w:pPr>
      <w:r>
        <w:rPr>
          <w:rFonts w:ascii="Times New Roman" w:hAnsi="Times New Roman"/>
          <w:b w:val="0"/>
          <w:color w:val="111827"/>
          <w:sz w:val="22"/>
        </w:rPr>
        <w:t>13. threat of serious harm to any person;</w:t>
      </w:r>
    </w:p>
    <w:p>
      <w:pPr>
        <w:pStyle w:val="LegalNumber"/>
      </w:pPr>
      <w:r>
        <w:rPr>
          <w:rFonts w:ascii="Times New Roman" w:hAnsi="Times New Roman"/>
          <w:b w:val="0"/>
          <w:color w:val="111827"/>
          <w:sz w:val="22"/>
        </w:rPr>
        <w:t>14. fraud, deception, impersonation, or concealment of material terms;</w:t>
      </w:r>
    </w:p>
    <w:p>
      <w:pPr>
        <w:pStyle w:val="LegalNumber"/>
      </w:pPr>
      <w:r>
        <w:rPr>
          <w:rFonts w:ascii="Times New Roman" w:hAnsi="Times New Roman"/>
          <w:b w:val="0"/>
          <w:color w:val="111827"/>
          <w:sz w:val="22"/>
        </w:rPr>
        <w:t>15. abuse or threatened abuse of law, immigration process, child-custody process, criminal process, licensing process, housing process, employment process, or debt-collection process;</w:t>
      </w:r>
    </w:p>
    <w:p>
      <w:pPr>
        <w:pStyle w:val="LegalNumber"/>
      </w:pPr>
      <w:r>
        <w:rPr>
          <w:rFonts w:ascii="Times New Roman" w:hAnsi="Times New Roman"/>
          <w:b w:val="0"/>
          <w:color w:val="111827"/>
          <w:sz w:val="22"/>
        </w:rPr>
        <w:t>16. withholding, confiscating, destroying, or threatening to withhold, confiscate, or destroy identification documents, immigration documents, phones, medication, mobility aids, wages, money, keys, transportation, or personal property;</w:t>
      </w:r>
    </w:p>
    <w:p>
      <w:pPr>
        <w:pStyle w:val="LegalNumber"/>
      </w:pPr>
      <w:r>
        <w:rPr>
          <w:rFonts w:ascii="Times New Roman" w:hAnsi="Times New Roman"/>
          <w:b w:val="0"/>
          <w:color w:val="111827"/>
          <w:sz w:val="22"/>
        </w:rPr>
        <w:t>17. debt bondage, quotas, unlawful fees, manipulated debts, or threats related to debt;</w:t>
      </w:r>
    </w:p>
    <w:p>
      <w:pPr>
        <w:pStyle w:val="LegalNumber"/>
      </w:pPr>
      <w:r>
        <w:rPr>
          <w:rFonts w:ascii="Times New Roman" w:hAnsi="Times New Roman"/>
          <w:b w:val="0"/>
          <w:color w:val="111827"/>
          <w:sz w:val="22"/>
        </w:rPr>
        <w:t>18. exploiting intoxication, incapacity, disability, dependency, homelessness, immigration vulnerability, economic desperation, caregiving dependency, or institutional authority;</w:t>
      </w:r>
    </w:p>
    <w:p>
      <w:pPr>
        <w:pStyle w:val="LegalNumber"/>
      </w:pPr>
      <w:r>
        <w:rPr>
          <w:rFonts w:ascii="Times New Roman" w:hAnsi="Times New Roman"/>
          <w:b w:val="0"/>
          <w:color w:val="111827"/>
          <w:sz w:val="22"/>
        </w:rPr>
        <w:t>19. threats of outing, blacklisting, doxxing, public exposure, loss of housing, loss of custody, loss of employment, reputational harm, or withdrawal of essential support;</w:t>
      </w:r>
    </w:p>
    <w:p>
      <w:pPr>
        <w:pStyle w:val="LegalNumber"/>
      </w:pPr>
      <w:r>
        <w:rPr>
          <w:rFonts w:ascii="Times New Roman" w:hAnsi="Times New Roman"/>
          <w:b w:val="0"/>
          <w:color w:val="111827"/>
          <w:sz w:val="22"/>
        </w:rPr>
        <w:t>20. retaliation for refusing, reporting, leaving, seeking healthcare, seeking legal advice, joining a worker organization, or cooperating with an investigation.</w:t>
      </w:r>
    </w:p>
    <w:p>
      <w:pPr>
        <w:pStyle w:val="LegalNumber"/>
      </w:pPr>
      <w:r>
        <w:rPr>
          <w:rFonts w:ascii="Times New Roman" w:hAnsi="Times New Roman"/>
          <w:b w:val="0"/>
          <w:color w:val="111827"/>
          <w:sz w:val="22"/>
        </w:rPr>
        <w:t>21. “Commercial adult intimate content” means a visual, audiovisual, digital, live-streamed, photographic, audio, written, virtual, synthetic, or interactive depiction or performance of adult intimate conduct that is produced, hosted, distributed, sold, licensed, advertised, monetized, or otherwise made available for commercial gain.</w:t>
      </w:r>
    </w:p>
    <w:p>
      <w:pPr>
        <w:pStyle w:val="LegalNumber"/>
      </w:pPr>
      <w:r>
        <w:rPr>
          <w:rFonts w:ascii="Times New Roman" w:hAnsi="Times New Roman"/>
          <w:b w:val="0"/>
          <w:color w:val="111827"/>
          <w:sz w:val="22"/>
        </w:rPr>
        <w:t>22. “Commission” means the Adult Intimate Work Regulation Commission established by this Act.</w:t>
      </w:r>
    </w:p>
    <w:p>
      <w:pPr>
        <w:pStyle w:val="LegalNumber"/>
      </w:pPr>
      <w:r>
        <w:rPr>
          <w:rFonts w:ascii="Times New Roman" w:hAnsi="Times New Roman"/>
          <w:b w:val="0"/>
          <w:color w:val="111827"/>
          <w:sz w:val="22"/>
        </w:rPr>
        <w:t>23. “Content distributor” means a person that commercially distributes, hosts, sells, licenses, streams, publishes, transmits, or monetizes adult intimate content.</w:t>
      </w:r>
    </w:p>
    <w:p>
      <w:pPr>
        <w:pStyle w:val="LegalNumber"/>
      </w:pPr>
      <w:r>
        <w:rPr>
          <w:rFonts w:ascii="Times New Roman" w:hAnsi="Times New Roman"/>
          <w:b w:val="0"/>
          <w:color w:val="111827"/>
          <w:sz w:val="22"/>
        </w:rPr>
        <w:t>24. “Covered platform” means an internet website, application, marketplace, listing service, advertising network, payment-integrated service, subscription service, live-streaming service, content-hosting service, or other digital service that knowingly facilitates, advertises, hosts, monetizes, or distributes adult intimate work or adult intimate content in or directed to this State.</w:t>
      </w:r>
    </w:p>
    <w:p>
      <w:pPr>
        <w:pStyle w:val="LegalNumber"/>
      </w:pPr>
      <w:r>
        <w:rPr>
          <w:rFonts w:ascii="Times New Roman" w:hAnsi="Times New Roman"/>
          <w:b w:val="0"/>
          <w:color w:val="111827"/>
          <w:sz w:val="22"/>
        </w:rPr>
        <w:t>25. “Emergency protective order” means a civil order issued by a court or authorized judicial officer to protect a person from immediate or continuing risk of harassment, stalking, coercion, exploitation, retaliation, assault, nonconsensual recording, nonconsensual distribution, trafficking, or threats.</w:t>
      </w:r>
    </w:p>
    <w:p>
      <w:pPr>
        <w:pStyle w:val="LegalNumber"/>
      </w:pPr>
      <w:r>
        <w:rPr>
          <w:rFonts w:ascii="Times New Roman" w:hAnsi="Times New Roman"/>
          <w:b w:val="0"/>
          <w:color w:val="111827"/>
          <w:sz w:val="22"/>
        </w:rPr>
        <w:t>26. “Exploitation” means obtaining labor, services, content, payment, sexual conduct, access, or anything of value through coercion, fraud, abuse of power, unlawful debt, retaliation, or taking unfair advantage of a person’s vulnerability.</w:t>
      </w:r>
    </w:p>
    <w:p>
      <w:pPr>
        <w:pStyle w:val="LegalNumber"/>
      </w:pPr>
      <w:r>
        <w:rPr>
          <w:rFonts w:ascii="Times New Roman" w:hAnsi="Times New Roman"/>
          <w:b w:val="0"/>
          <w:color w:val="111827"/>
          <w:sz w:val="22"/>
        </w:rPr>
        <w:t>27. “Harassment” means unwelcome verbal, physical, digital, visual, economic, or other conduct that is based on a protected characteristic, participation in adult intimate work, refusal of services, reporting, cooperation with enforcement, or exercise of rights under this Act, and that creates a hostile environment, interferes with work or access to services, or conditions any benefit, license, payment, opportunity, housing, safety, or access on submission to such conduct.</w:t>
      </w:r>
    </w:p>
    <w:p>
      <w:pPr>
        <w:pStyle w:val="LegalNumber"/>
      </w:pPr>
      <w:r>
        <w:rPr>
          <w:rFonts w:ascii="Times New Roman" w:hAnsi="Times New Roman"/>
          <w:b w:val="0"/>
          <w:color w:val="111827"/>
          <w:sz w:val="22"/>
        </w:rPr>
        <w:t>28. “Intimate content” means a recording, image, depiction, data file, livestream, synthetic media, or other content that depicts or purports to depict a person’s nudity, intimate body parts, sexual conduct, adult intimate service, or circumstances reasonably understood as private and intimate.</w:t>
      </w:r>
    </w:p>
    <w:p>
      <w:pPr>
        <w:pStyle w:val="LegalNumber"/>
      </w:pPr>
      <w:r>
        <w:rPr>
          <w:rFonts w:ascii="Times New Roman" w:hAnsi="Times New Roman"/>
          <w:b w:val="0"/>
          <w:color w:val="111827"/>
          <w:sz w:val="22"/>
        </w:rPr>
        <w:t>29. “Local government” means a county, city, town, village, borough, parish, municipality, consolidated government, special district, or other political subdivision of this State.</w:t>
      </w:r>
    </w:p>
    <w:p>
      <w:pPr>
        <w:pStyle w:val="LegalNumber"/>
      </w:pPr>
      <w:r>
        <w:rPr>
          <w:rFonts w:ascii="Times New Roman" w:hAnsi="Times New Roman"/>
          <w:b w:val="0"/>
          <w:color w:val="111827"/>
          <w:sz w:val="22"/>
        </w:rPr>
        <w:t>30. “Operator” means a person that owns, controls, manages, finances, directs, or substantially participates in the operation of an adult intimate establishment, agency, production business, content distributor, or covered platform.</w:t>
      </w:r>
    </w:p>
    <w:p>
      <w:pPr>
        <w:pStyle w:val="LegalNumber"/>
      </w:pPr>
      <w:r>
        <w:rPr>
          <w:rFonts w:ascii="Times New Roman" w:hAnsi="Times New Roman"/>
          <w:b w:val="0"/>
          <w:color w:val="111827"/>
          <w:sz w:val="22"/>
        </w:rPr>
        <w:t>31. “Protected characteristic” means actual or perceived race, color, ethnicity, national origin, ancestry, religion, creed, sex, pregnancy, sexual orientation, gender identity, gender expression, sex characteristics, age, disability, neurodivergence, HIV or health status, genetic information, marital status, family status, immigration status, citizenship status, language, housing status, economic status, occupation, lawful participation in adult intimate work, appearance, body size, prior criminal record unrelated to current safety, or any other characteristic protected by state or federal civil-rights law.</w:t>
      </w:r>
    </w:p>
    <w:p>
      <w:pPr>
        <w:pStyle w:val="LegalNumber"/>
      </w:pPr>
      <w:r>
        <w:rPr>
          <w:rFonts w:ascii="Times New Roman" w:hAnsi="Times New Roman"/>
          <w:b w:val="0"/>
          <w:color w:val="111827"/>
          <w:sz w:val="22"/>
        </w:rPr>
        <w:t>32. “Retaliation” means any adverse action, threat, coercion, intimidation, harassment, blacklisting, doxxing, immigration threat, adverse licensing action, denial of services, reduction of work, economic penalty, reputational harm, violence, or other harm because a person exercised, attempted to exercise, supported, or opposed interference with rights under this Act.</w:t>
      </w:r>
    </w:p>
    <w:p>
      <w:pPr>
        <w:pStyle w:val="LegalNumber"/>
      </w:pPr>
      <w:r>
        <w:rPr>
          <w:rFonts w:ascii="Times New Roman" w:hAnsi="Times New Roman"/>
          <w:b w:val="0"/>
          <w:color w:val="111827"/>
          <w:sz w:val="22"/>
        </w:rPr>
        <w:t>33. “Sexual violence” means sexual assault, nonconsensual intimate contact, nonconsensual penetration, stalking with sexual purpose, coerced intimate conduct, nonconsensual recording or distribution of intimate content, trafficking, commercial sexual exploitation of a minor, or any attempt, conspiracy, or threat to commit such conduct.</w:t>
      </w:r>
    </w:p>
    <w:p>
      <w:pPr>
        <w:pStyle w:val="LegalNumber"/>
      </w:pPr>
      <w:r>
        <w:rPr>
          <w:rFonts w:ascii="Times New Roman" w:hAnsi="Times New Roman"/>
          <w:b w:val="0"/>
          <w:color w:val="111827"/>
          <w:sz w:val="22"/>
        </w:rPr>
        <w:t>34. “Trafficking” means recruiting, enticing, harboring, transporting, providing, obtaining, maintaining, advertising, patronizing, soliciting, managing, or benefiting from adult intimate work or commercial sexual conduct through coercion, force, fraud, threats, abuse of law or legal process, or involving a minor.</w:t>
      </w:r>
    </w:p>
    <w:p>
      <w:pPr>
        <w:pStyle w:val="LegalNumber"/>
      </w:pPr>
      <w:r>
        <w:rPr>
          <w:rFonts w:ascii="Times New Roman" w:hAnsi="Times New Roman"/>
          <w:b w:val="0"/>
          <w:color w:val="111827"/>
          <w:sz w:val="22"/>
        </w:rPr>
        <w:t>35. “Worker-controlled cooperative” means an entity owned and democratically controlled by adult intimate workers, in which each worker-member has meaningful governance rights, transparent access to financial records, and the right to refuse clients, services, recording, distribution, or work without penalty.</w:t>
      </w:r>
    </w:p>
    <w:p>
      <w:pPr>
        <w:spacing w:after="80"/>
      </w:pPr>
    </w:p>
    <w:p>
      <w:pPr>
        <w:pStyle w:val="SectionHeading"/>
      </w:pPr>
      <w:r>
        <w:rPr>
          <w:rFonts w:ascii="Arial" w:hAnsi="Arial"/>
          <w:b/>
          <w:color w:val="0B2545"/>
          <w:sz w:val="21"/>
        </w:rPr>
        <w:t>SECTION 5. Scope and rule of construction.</w:t>
      </w:r>
    </w:p>
    <w:p>
      <w:pPr>
        <w:pStyle w:val="LegalNumber"/>
      </w:pPr>
      <w:r>
        <w:rPr>
          <w:rFonts w:ascii="Times New Roman" w:hAnsi="Times New Roman"/>
          <w:b w:val="0"/>
          <w:color w:val="111827"/>
          <w:sz w:val="22"/>
        </w:rPr>
        <w:t>1. This Act applies to adult intimate work occurring in this State, offered to a person located in this State, operated by a person domiciled or doing business in this State, or involving a license issued under this Act.</w:t>
      </w:r>
    </w:p>
    <w:p>
      <w:pPr>
        <w:pStyle w:val="LegalNumber"/>
      </w:pPr>
      <w:r>
        <w:rPr>
          <w:rFonts w:ascii="Times New Roman" w:hAnsi="Times New Roman"/>
          <w:b w:val="0"/>
          <w:color w:val="111827"/>
          <w:sz w:val="22"/>
        </w:rPr>
        <w:t>2. This Act shall not be construed to:</w:t>
      </w:r>
    </w:p>
    <w:p>
      <w:pPr>
        <w:pStyle w:val="LegalNumber2"/>
      </w:pPr>
      <w:r>
        <w:rPr>
          <w:rFonts w:ascii="Times New Roman" w:hAnsi="Times New Roman"/>
          <w:b w:val="0"/>
          <w:color w:val="111827"/>
          <w:sz w:val="22"/>
        </w:rPr>
        <w:t>1. legalize, excuse, or reduce penalties for trafficking, coercion, sexual assault, abuse of a minor, child sexual abuse material, nonconsensual recording, nonconsensual distribution of intimate content, stalking, harassment, extortion, retaliation, money laundering, wage theft, assault, or unlawful confinement;</w:t>
      </w:r>
    </w:p>
    <w:p>
      <w:pPr>
        <w:pStyle w:val="LegalNumber2"/>
      </w:pPr>
      <w:r>
        <w:rPr>
          <w:rFonts w:ascii="Times New Roman" w:hAnsi="Times New Roman"/>
          <w:b w:val="0"/>
          <w:color w:val="111827"/>
          <w:sz w:val="22"/>
        </w:rPr>
        <w:t>2. diminish any person’s right to refuse or withdraw consent;</w:t>
      </w:r>
    </w:p>
    <w:p>
      <w:pPr>
        <w:pStyle w:val="LegalNumber2"/>
      </w:pPr>
      <w:r>
        <w:rPr>
          <w:rFonts w:ascii="Times New Roman" w:hAnsi="Times New Roman"/>
          <w:b w:val="0"/>
          <w:color w:val="111827"/>
          <w:sz w:val="22"/>
        </w:rPr>
        <w:t>3. require any person to provide or receive adult intimate services;</w:t>
      </w:r>
    </w:p>
    <w:p>
      <w:pPr>
        <w:pStyle w:val="LegalNumber2"/>
      </w:pPr>
      <w:r>
        <w:rPr>
          <w:rFonts w:ascii="Times New Roman" w:hAnsi="Times New Roman"/>
          <w:b w:val="0"/>
          <w:color w:val="111827"/>
          <w:sz w:val="22"/>
        </w:rPr>
        <w:t>4. create a property right in another person’s body, labor, consent, image, likeness, data, location, work schedule, or intimate content;</w:t>
      </w:r>
    </w:p>
    <w:p>
      <w:pPr>
        <w:pStyle w:val="LegalNumber2"/>
      </w:pPr>
      <w:r>
        <w:rPr>
          <w:rFonts w:ascii="Times New Roman" w:hAnsi="Times New Roman"/>
          <w:b w:val="0"/>
          <w:color w:val="111827"/>
          <w:sz w:val="22"/>
        </w:rPr>
        <w:t>5. authorize local governments to prohibit adult intimate work through pretextual zoning, licensing, fees, moratoria, or density rules;</w:t>
      </w:r>
    </w:p>
    <w:p>
      <w:pPr>
        <w:pStyle w:val="LegalNumber2"/>
      </w:pPr>
      <w:r>
        <w:rPr>
          <w:rFonts w:ascii="Times New Roman" w:hAnsi="Times New Roman"/>
          <w:b w:val="0"/>
          <w:color w:val="111827"/>
          <w:sz w:val="22"/>
        </w:rPr>
        <w:t>6. impose liability on an interactive computer service in a manner preempted by federal law;</w:t>
      </w:r>
    </w:p>
    <w:p>
      <w:pPr>
        <w:pStyle w:val="LegalNumber2"/>
      </w:pPr>
      <w:r>
        <w:rPr>
          <w:rFonts w:ascii="Times New Roman" w:hAnsi="Times New Roman"/>
          <w:b w:val="0"/>
          <w:color w:val="111827"/>
          <w:sz w:val="22"/>
        </w:rPr>
        <w:t>7. limit federal anti-trafficking, child-protection, obscenity, communications-privacy, civil-rights, labor, tax, immigration, or nonconsensual intimate-image law.</w:t>
      </w:r>
    </w:p>
    <w:p>
      <w:pPr>
        <w:pStyle w:val="LegalNumber"/>
      </w:pPr>
      <w:r>
        <w:rPr>
          <w:rFonts w:ascii="Times New Roman" w:hAnsi="Times New Roman"/>
          <w:b w:val="0"/>
          <w:color w:val="111827"/>
          <w:sz w:val="22"/>
        </w:rPr>
        <w:t>3. Rights under this Act are nonwaivable. A contract, policy, platform term, release, settlement, arbitration agreement, nondisclosure agreement, non-disparagement clause, or other instrument that waives or limits a right under this Act is void as against public policy to the extent of the waiver or limitation.</w:t>
      </w:r>
    </w:p>
    <w:p>
      <w:pPr>
        <w:spacing w:after="80"/>
      </w:pPr>
    </w:p>
    <w:p>
      <w:pPr>
        <w:pStyle w:val="TitleHeading"/>
      </w:pPr>
      <w:r>
        <w:rPr>
          <w:rFonts w:ascii="Arial" w:hAnsi="Arial"/>
          <w:b/>
          <w:color w:val="0B2545"/>
          <w:sz w:val="22"/>
        </w:rPr>
        <w:t>TITLE I. LEGALIZATION AND GENERAL PROHIBITIONS</w:t>
      </w:r>
    </w:p>
    <w:p>
      <w:pPr>
        <w:pStyle w:val="SectionHeading"/>
      </w:pPr>
      <w:r>
        <w:rPr>
          <w:rFonts w:ascii="Arial" w:hAnsi="Arial"/>
          <w:b/>
          <w:color w:val="0B2545"/>
          <w:sz w:val="21"/>
        </w:rPr>
        <w:t>SECTION 101. Lawful adult intimate work.</w:t>
      </w:r>
    </w:p>
    <w:p>
      <w:pPr>
        <w:pStyle w:val="LegalNumber"/>
      </w:pPr>
      <w:r>
        <w:rPr>
          <w:rFonts w:ascii="Times New Roman" w:hAnsi="Times New Roman"/>
          <w:b w:val="0"/>
          <w:color w:val="111827"/>
          <w:sz w:val="22"/>
        </w:rPr>
        <w:t>1. An adult may lawfully provide, purchase, facilitate, advertise, manage, produce, distribute, or receive adult intimate work only as authorized by this Act.</w:t>
      </w:r>
    </w:p>
    <w:p>
      <w:pPr>
        <w:pStyle w:val="LegalNumber"/>
      </w:pPr>
      <w:r>
        <w:rPr>
          <w:rFonts w:ascii="Times New Roman" w:hAnsi="Times New Roman"/>
          <w:b w:val="0"/>
          <w:color w:val="111827"/>
          <w:sz w:val="22"/>
        </w:rPr>
        <w:t>2. An adult intimate worker who provides services independently shall hold a confidential worker certification issued under Section 301.</w:t>
      </w:r>
    </w:p>
    <w:p>
      <w:pPr>
        <w:pStyle w:val="LegalNumber"/>
      </w:pPr>
      <w:r>
        <w:rPr>
          <w:rFonts w:ascii="Times New Roman" w:hAnsi="Times New Roman"/>
          <w:b w:val="0"/>
          <w:color w:val="111827"/>
          <w:sz w:val="22"/>
        </w:rPr>
        <w:t>3. A person shall not operate an adult intimate establishment, agency, covered platform, content production business, or content distribution business unless licensed or certified under this Act.</w:t>
      </w:r>
    </w:p>
    <w:p>
      <w:pPr>
        <w:pStyle w:val="LegalNumber"/>
      </w:pPr>
      <w:r>
        <w:rPr>
          <w:rFonts w:ascii="Times New Roman" w:hAnsi="Times New Roman"/>
          <w:b w:val="0"/>
          <w:color w:val="111827"/>
          <w:sz w:val="22"/>
        </w:rPr>
        <w:t>4. A client shall not purchase or attempt to purchase adult intimate services unless the client:</w:t>
      </w:r>
    </w:p>
    <w:p>
      <w:pPr>
        <w:pStyle w:val="LegalNumber2"/>
      </w:pPr>
      <w:r>
        <w:rPr>
          <w:rFonts w:ascii="Times New Roman" w:hAnsi="Times New Roman"/>
          <w:b w:val="0"/>
          <w:color w:val="111827"/>
          <w:sz w:val="22"/>
        </w:rPr>
        <w:t>1. is an adult;</w:t>
      </w:r>
    </w:p>
    <w:p>
      <w:pPr>
        <w:pStyle w:val="LegalNumber2"/>
      </w:pPr>
      <w:r>
        <w:rPr>
          <w:rFonts w:ascii="Times New Roman" w:hAnsi="Times New Roman"/>
          <w:b w:val="0"/>
          <w:color w:val="111827"/>
          <w:sz w:val="22"/>
        </w:rPr>
        <w:t>2. provides age verification as required by rule;</w:t>
      </w:r>
    </w:p>
    <w:p>
      <w:pPr>
        <w:pStyle w:val="LegalNumber2"/>
      </w:pPr>
      <w:r>
        <w:rPr>
          <w:rFonts w:ascii="Times New Roman" w:hAnsi="Times New Roman"/>
          <w:b w:val="0"/>
          <w:color w:val="111827"/>
          <w:sz w:val="22"/>
        </w:rPr>
        <w:t>3. receives and acknowledges a client-rights and responsibilities notice;</w:t>
      </w:r>
    </w:p>
    <w:p>
      <w:pPr>
        <w:pStyle w:val="LegalNumber2"/>
      </w:pPr>
      <w:r>
        <w:rPr>
          <w:rFonts w:ascii="Times New Roman" w:hAnsi="Times New Roman"/>
          <w:b w:val="0"/>
          <w:color w:val="111827"/>
          <w:sz w:val="22"/>
        </w:rPr>
        <w:t>4. respects all service boundaries and consent rules;</w:t>
      </w:r>
    </w:p>
    <w:p>
      <w:pPr>
        <w:pStyle w:val="LegalNumber2"/>
      </w:pPr>
      <w:r>
        <w:rPr>
          <w:rFonts w:ascii="Times New Roman" w:hAnsi="Times New Roman"/>
          <w:b w:val="0"/>
          <w:color w:val="111827"/>
          <w:sz w:val="22"/>
        </w:rPr>
        <w:t>5. complies with health, safety, privacy, recording, and anti-harassment rules.</w:t>
      </w:r>
    </w:p>
    <w:p>
      <w:pPr>
        <w:pStyle w:val="LegalNumber"/>
      </w:pPr>
      <w:r>
        <w:rPr>
          <w:rFonts w:ascii="Times New Roman" w:hAnsi="Times New Roman"/>
          <w:b w:val="0"/>
          <w:color w:val="111827"/>
          <w:sz w:val="22"/>
        </w:rPr>
        <w:t>5. A worker’s failure to hold a current confidential certification shall not constitute a criminal offense. The Commission may issue a civil warning, provide certification assistance, and impose a civil administrative penalty only after notice, safe-harbor opportunity, and a finding that the worker knowingly and repeatedly refused certification without good cause.</w:t>
      </w:r>
    </w:p>
    <w:p>
      <w:pPr>
        <w:spacing w:after="80"/>
      </w:pPr>
    </w:p>
    <w:p>
      <w:pPr>
        <w:pStyle w:val="SectionHeading"/>
      </w:pPr>
      <w:r>
        <w:rPr>
          <w:rFonts w:ascii="Arial" w:hAnsi="Arial"/>
          <w:b/>
          <w:color w:val="0B2545"/>
          <w:sz w:val="21"/>
        </w:rPr>
        <w:t>SECTION 102. Conduct remaining unlawful.</w:t>
      </w:r>
    </w:p>
    <w:p>
      <w:pPr>
        <w:pStyle w:val="LegalBody"/>
      </w:pPr>
      <w:r>
        <w:rPr>
          <w:rFonts w:ascii="Times New Roman" w:hAnsi="Times New Roman"/>
          <w:b w:val="0"/>
          <w:color w:val="111827"/>
          <w:sz w:val="22"/>
        </w:rPr>
        <w:t>A person shall not:</w:t>
      </w:r>
    </w:p>
    <w:p>
      <w:pPr>
        <w:pStyle w:val="LegalNumber"/>
      </w:pPr>
      <w:r>
        <w:rPr>
          <w:rFonts w:ascii="Times New Roman" w:hAnsi="Times New Roman"/>
          <w:b w:val="0"/>
          <w:color w:val="111827"/>
          <w:sz w:val="22"/>
        </w:rPr>
        <w:t>1. involve, recruit, entice, harbor, transport, advertise, patronize, solicit, facilitate, or benefit from a minor in adult intimate work or commercial sexual conduct;</w:t>
      </w:r>
    </w:p>
    <w:p>
      <w:pPr>
        <w:pStyle w:val="LegalNumber"/>
      </w:pPr>
      <w:r>
        <w:rPr>
          <w:rFonts w:ascii="Times New Roman" w:hAnsi="Times New Roman"/>
          <w:b w:val="0"/>
          <w:color w:val="111827"/>
          <w:sz w:val="22"/>
        </w:rPr>
        <w:t>2. use coercion, force, fraud, intimidation, threats, restraint, intoxication-based exploitation, incapacity-based exploitation, dependency-based exploitation, debt bondage, abuse of authority, or economic coercion to cause or attempt to cause adult intimate work;</w:t>
      </w:r>
    </w:p>
    <w:p>
      <w:pPr>
        <w:pStyle w:val="LegalNumber"/>
      </w:pPr>
      <w:r>
        <w:rPr>
          <w:rFonts w:ascii="Times New Roman" w:hAnsi="Times New Roman"/>
          <w:b w:val="0"/>
          <w:color w:val="111827"/>
          <w:sz w:val="22"/>
        </w:rPr>
        <w:t>3. knowingly purchase or attempt to purchase adult intimate services from a person the purchaser knows, reasonably should know, or consciously avoids knowing is a minor, coerced, trafficked, incapacitated, or not affirmatively consenting;</w:t>
      </w:r>
    </w:p>
    <w:p>
      <w:pPr>
        <w:pStyle w:val="LegalNumber"/>
      </w:pPr>
      <w:r>
        <w:rPr>
          <w:rFonts w:ascii="Times New Roman" w:hAnsi="Times New Roman"/>
          <w:b w:val="0"/>
          <w:color w:val="111827"/>
          <w:sz w:val="22"/>
        </w:rPr>
        <w:t>4. operate, finance, manage, or profit from an unlicensed adult intimate establishment, agency, covered platform, content production business, or content distribution business;</w:t>
      </w:r>
    </w:p>
    <w:p>
      <w:pPr>
        <w:pStyle w:val="LegalNumber"/>
      </w:pPr>
      <w:r>
        <w:rPr>
          <w:rFonts w:ascii="Times New Roman" w:hAnsi="Times New Roman"/>
          <w:b w:val="0"/>
          <w:color w:val="111827"/>
          <w:sz w:val="22"/>
        </w:rPr>
        <w:t>5. knowingly advertise unlawful adult intimate work, services involving a minor, coerced services, nonconsensual services, services outside the scope of licensure, or content lacking required consent;</w:t>
      </w:r>
    </w:p>
    <w:p>
      <w:pPr>
        <w:pStyle w:val="LegalNumber"/>
      </w:pPr>
      <w:r>
        <w:rPr>
          <w:rFonts w:ascii="Times New Roman" w:hAnsi="Times New Roman"/>
          <w:b w:val="0"/>
          <w:color w:val="111827"/>
          <w:sz w:val="22"/>
        </w:rPr>
        <w:t>6. record, livestream, photograph, store, sell, publish, distribute, transmit, alter, synthesize, or monetize intimate content without written, specific, informed, and revocable consent as required by this Act;</w:t>
      </w:r>
    </w:p>
    <w:p>
      <w:pPr>
        <w:pStyle w:val="LegalNumber"/>
      </w:pPr>
      <w:r>
        <w:rPr>
          <w:rFonts w:ascii="Times New Roman" w:hAnsi="Times New Roman"/>
          <w:b w:val="0"/>
          <w:color w:val="111827"/>
          <w:sz w:val="22"/>
        </w:rPr>
        <w:t>7. retaliate against a worker, client, survivor, witness, advocate, healthcare provider, regulator, inspector, or other person for exercising rights under this Act;</w:t>
      </w:r>
    </w:p>
    <w:p>
      <w:pPr>
        <w:pStyle w:val="LegalNumber"/>
      </w:pPr>
      <w:r>
        <w:rPr>
          <w:rFonts w:ascii="Times New Roman" w:hAnsi="Times New Roman"/>
          <w:b w:val="0"/>
          <w:color w:val="111827"/>
          <w:sz w:val="22"/>
        </w:rPr>
        <w:t>8. confiscate, withhold, destroy, or control another person’s identification documents, immigration documents, medication, mobility aids, wages, money, keys, transportation, phone, communications device, or personal property;</w:t>
      </w:r>
    </w:p>
    <w:p>
      <w:pPr>
        <w:pStyle w:val="LegalNumber"/>
      </w:pPr>
      <w:r>
        <w:rPr>
          <w:rFonts w:ascii="Times New Roman" w:hAnsi="Times New Roman"/>
          <w:b w:val="0"/>
          <w:color w:val="111827"/>
          <w:sz w:val="22"/>
        </w:rPr>
        <w:t>9. impose a quota, debt, fee, fine, penalty, noncompete, lock-in, liquidated-damages clause, minimum-client requirement, minimum-act requirement, mandatory substance-use requirement, mandatory appearance alteration, or any condition that restricts withdrawal from adult intimate work;</w:t>
      </w:r>
    </w:p>
    <w:p>
      <w:pPr>
        <w:pStyle w:val="LegalNumber"/>
      </w:pPr>
      <w:r>
        <w:rPr>
          <w:rFonts w:ascii="Times New Roman" w:hAnsi="Times New Roman"/>
          <w:b w:val="0"/>
          <w:color w:val="111827"/>
          <w:sz w:val="22"/>
        </w:rPr>
        <w:t>10. permit cameras, audio recording, hidden recording devices, biometric surveillance, or live monitoring in a room or area where adult intimate services occur, except when commercial content is being produced with express written consent from every participant and in compliance with Title VIII;</w:t>
      </w:r>
    </w:p>
    <w:p>
      <w:pPr>
        <w:pStyle w:val="LegalNumber"/>
      </w:pPr>
      <w:r>
        <w:rPr>
          <w:rFonts w:ascii="Times New Roman" w:hAnsi="Times New Roman"/>
          <w:b w:val="0"/>
          <w:color w:val="111827"/>
          <w:sz w:val="22"/>
        </w:rPr>
        <w:t>11. use licensing, inspection, law enforcement, immigration authority, housing authority, employment authority, child-custody authority, public-benefits authority, or medical authority to exploit, threaten, or coerce a person;</w:t>
      </w:r>
    </w:p>
    <w:p>
      <w:pPr>
        <w:pStyle w:val="LegalNumber"/>
      </w:pPr>
      <w:r>
        <w:rPr>
          <w:rFonts w:ascii="Times New Roman" w:hAnsi="Times New Roman"/>
          <w:b w:val="0"/>
          <w:color w:val="111827"/>
          <w:sz w:val="22"/>
        </w:rPr>
        <w:t>12. use client or worker privacy protections to conceal, facilitate, or retaliate for trafficking, assault, stalking, coercion, exploitation, nonconsensual recording, or other unlawful conduct.</w:t>
      </w:r>
    </w:p>
    <w:p>
      <w:pPr>
        <w:spacing w:after="80"/>
      </w:pPr>
    </w:p>
    <w:p>
      <w:pPr>
        <w:pStyle w:val="SectionHeading"/>
      </w:pPr>
      <w:r>
        <w:rPr>
          <w:rFonts w:ascii="Arial" w:hAnsi="Arial"/>
          <w:b/>
          <w:color w:val="0B2545"/>
          <w:sz w:val="21"/>
        </w:rPr>
        <w:t>SECTION 103. Persons ineligible to participate in regulated roles.</w:t>
      </w:r>
    </w:p>
    <w:p>
      <w:pPr>
        <w:pStyle w:val="LegalNumber"/>
      </w:pPr>
      <w:r>
        <w:rPr>
          <w:rFonts w:ascii="Times New Roman" w:hAnsi="Times New Roman"/>
          <w:b w:val="0"/>
          <w:color w:val="111827"/>
          <w:sz w:val="22"/>
        </w:rPr>
        <w:t>1. A minor is categorically prohibited from providing, purchasing, facilitating, advertising, managing, producing, distributing, or being depicted in adult intimate work.</w:t>
      </w:r>
    </w:p>
    <w:p>
      <w:pPr>
        <w:pStyle w:val="LegalNumber"/>
      </w:pPr>
      <w:r>
        <w:rPr>
          <w:rFonts w:ascii="Times New Roman" w:hAnsi="Times New Roman"/>
          <w:b w:val="0"/>
          <w:color w:val="111827"/>
          <w:sz w:val="22"/>
        </w:rPr>
        <w:t>2. A person shall not hold an operator, manager, agency, establishment, content production, content distribution, or platform license if the person:</w:t>
      </w:r>
    </w:p>
    <w:p>
      <w:pPr>
        <w:pStyle w:val="LegalNumber2"/>
      </w:pPr>
      <w:r>
        <w:rPr>
          <w:rFonts w:ascii="Times New Roman" w:hAnsi="Times New Roman"/>
          <w:b w:val="0"/>
          <w:color w:val="111827"/>
          <w:sz w:val="22"/>
        </w:rPr>
        <w:t>1. has been convicted, within the prior 15 years, of trafficking, sexual assault, commercial sexual exploitation of a minor, child sexual abuse material, kidnapping, extortion, forced labor, involuntary servitude, stalking involving sexual conduct, felony domestic violence, money laundering related to exploitation, or a substantially similar offense;</w:t>
      </w:r>
    </w:p>
    <w:p>
      <w:pPr>
        <w:pStyle w:val="LegalNumber2"/>
      </w:pPr>
      <w:r>
        <w:rPr>
          <w:rFonts w:ascii="Times New Roman" w:hAnsi="Times New Roman"/>
          <w:b w:val="0"/>
          <w:color w:val="111827"/>
          <w:sz w:val="22"/>
        </w:rPr>
        <w:t>2. is currently subject to a court order barring participation in such business;</w:t>
      </w:r>
    </w:p>
    <w:p>
      <w:pPr>
        <w:pStyle w:val="LegalNumber2"/>
      </w:pPr>
      <w:r>
        <w:rPr>
          <w:rFonts w:ascii="Times New Roman" w:hAnsi="Times New Roman"/>
          <w:b w:val="0"/>
          <w:color w:val="111827"/>
          <w:sz w:val="22"/>
        </w:rPr>
        <w:t>3. has knowingly submitted materially false ownership, financial, safety, or consent-verification records;</w:t>
      </w:r>
    </w:p>
    <w:p>
      <w:pPr>
        <w:pStyle w:val="LegalNumber2"/>
      </w:pPr>
      <w:r>
        <w:rPr>
          <w:rFonts w:ascii="Times New Roman" w:hAnsi="Times New Roman"/>
          <w:b w:val="0"/>
          <w:color w:val="111827"/>
          <w:sz w:val="22"/>
        </w:rPr>
        <w:t>4. has had a license revoked under this Act within the prior 10 years for coercion, trafficking, retaliation, or severe safety violations;</w:t>
      </w:r>
    </w:p>
    <w:p>
      <w:pPr>
        <w:pStyle w:val="LegalNumber2"/>
      </w:pPr>
      <w:r>
        <w:rPr>
          <w:rFonts w:ascii="Times New Roman" w:hAnsi="Times New Roman"/>
          <w:b w:val="0"/>
          <w:color w:val="111827"/>
          <w:sz w:val="22"/>
        </w:rPr>
        <w:t>5. is acting as a nominee, shell, undisclosed beneficial owner, or straw owner for an ineligible person.</w:t>
      </w:r>
    </w:p>
    <w:p>
      <w:pPr>
        <w:pStyle w:val="LegalNumber"/>
      </w:pPr>
      <w:r>
        <w:rPr>
          <w:rFonts w:ascii="Times New Roman" w:hAnsi="Times New Roman"/>
          <w:b w:val="0"/>
          <w:color w:val="111827"/>
          <w:sz w:val="22"/>
        </w:rPr>
        <w:t>3. The Commission may adopt rules allowing individualized review, rehabilitation evidence, and limited waivers for nonviolent offenses unrelated to exploitation, sexual violence, fraud, worker safety, money laundering, or minors.</w:t>
      </w:r>
    </w:p>
    <w:p>
      <w:pPr>
        <w:spacing w:after="80"/>
      </w:pPr>
    </w:p>
    <w:p>
      <w:pPr>
        <w:pStyle w:val="SectionHeading"/>
      </w:pPr>
      <w:r>
        <w:rPr>
          <w:rFonts w:ascii="Arial" w:hAnsi="Arial"/>
          <w:b/>
          <w:color w:val="0B2545"/>
          <w:sz w:val="21"/>
        </w:rPr>
        <w:t>SECTION 104. Amnesty, transition, and nonprosecution safe harbor.</w:t>
      </w:r>
    </w:p>
    <w:p>
      <w:pPr>
        <w:pStyle w:val="LegalNumber"/>
      </w:pPr>
      <w:r>
        <w:rPr>
          <w:rFonts w:ascii="Times New Roman" w:hAnsi="Times New Roman"/>
          <w:b w:val="0"/>
          <w:color w:val="111827"/>
          <w:sz w:val="22"/>
        </w:rPr>
        <w:t>1. For 18 months after the first date on which worker certification is available, no adult intimate worker shall be prosecuted, fined, detained, or subjected to adverse licensing action solely for providing consensual adult intimate services without certification.</w:t>
      </w:r>
    </w:p>
    <w:p>
      <w:pPr>
        <w:pStyle w:val="LegalNumber"/>
      </w:pPr>
      <w:r>
        <w:rPr>
          <w:rFonts w:ascii="Times New Roman" w:hAnsi="Times New Roman"/>
          <w:b w:val="0"/>
          <w:color w:val="111827"/>
          <w:sz w:val="22"/>
        </w:rPr>
        <w:t>2. During the transition period, law enforcement and regulators shall refer adult workers to certification, legal aid, healthcare, and support services rather than arrest or prosecution, unless there is probable cause of trafficking, coercion, sexual assault, exploitation of a minor, serious violence, or nonconsensual recording or distribution.</w:t>
      </w:r>
    </w:p>
    <w:p>
      <w:pPr>
        <w:pStyle w:val="LegalNumber"/>
      </w:pPr>
      <w:r>
        <w:rPr>
          <w:rFonts w:ascii="Times New Roman" w:hAnsi="Times New Roman"/>
          <w:b w:val="0"/>
          <w:color w:val="111827"/>
          <w:sz w:val="22"/>
        </w:rPr>
        <w:t>3. A person shall be eligible for vacatur, sealing, expungement, or redesignation of a prior state or local conviction, adjudication, arrest, or citation for conduct that is lawful under this Act or was committed as a direct result of trafficking, coercion, survival circumstances, or exploitation.</w:t>
      </w:r>
    </w:p>
    <w:p>
      <w:pPr>
        <w:pStyle w:val="LegalNumber"/>
      </w:pPr>
      <w:r>
        <w:rPr>
          <w:rFonts w:ascii="Times New Roman" w:hAnsi="Times New Roman"/>
          <w:b w:val="0"/>
          <w:color w:val="111827"/>
          <w:sz w:val="22"/>
        </w:rPr>
        <w:t>4. Courts shall provide simplified petitions, fee waivers, confidential filing options, and presumptive relief under subsection 3 unless the prosecuting authority proves by clear and convincing evidence that the conviction involved coercion of another person, a minor, serious violence, or trafficking.</w:t>
      </w:r>
    </w:p>
    <w:p>
      <w:pPr>
        <w:spacing w:after="80"/>
      </w:pPr>
    </w:p>
    <w:p>
      <w:pPr>
        <w:pStyle w:val="TitleHeading"/>
      </w:pPr>
      <w:r>
        <w:rPr>
          <w:rFonts w:ascii="Arial" w:hAnsi="Arial"/>
          <w:b/>
          <w:color w:val="0B2545"/>
          <w:sz w:val="22"/>
        </w:rPr>
        <w:t>TITLE II. CONSENT AND PERSONAL AUTONOMY</w:t>
      </w:r>
    </w:p>
    <w:p>
      <w:pPr>
        <w:pStyle w:val="SectionHeading"/>
      </w:pPr>
      <w:r>
        <w:rPr>
          <w:rFonts w:ascii="Arial" w:hAnsi="Arial"/>
          <w:b/>
          <w:color w:val="0B2545"/>
          <w:sz w:val="21"/>
        </w:rPr>
        <w:t>SECTION 201. Affirmative consent standard.</w:t>
      </w:r>
    </w:p>
    <w:p>
      <w:pPr>
        <w:pStyle w:val="LegalNumber"/>
      </w:pPr>
      <w:r>
        <w:rPr>
          <w:rFonts w:ascii="Times New Roman" w:hAnsi="Times New Roman"/>
          <w:b w:val="0"/>
          <w:color w:val="111827"/>
          <w:sz w:val="22"/>
        </w:rPr>
        <w:t>1. Adult intimate work is lawful only when all participants give affirmative consent.</w:t>
      </w:r>
    </w:p>
    <w:p>
      <w:pPr>
        <w:pStyle w:val="LegalNumber"/>
      </w:pPr>
      <w:r>
        <w:rPr>
          <w:rFonts w:ascii="Times New Roman" w:hAnsi="Times New Roman"/>
          <w:b w:val="0"/>
          <w:color w:val="111827"/>
          <w:sz w:val="22"/>
        </w:rPr>
        <w:t>2. Consent shall be:</w:t>
      </w:r>
    </w:p>
    <w:p>
      <w:pPr>
        <w:pStyle w:val="LegalNumber2"/>
      </w:pPr>
      <w:r>
        <w:rPr>
          <w:rFonts w:ascii="Times New Roman" w:hAnsi="Times New Roman"/>
          <w:b w:val="0"/>
          <w:color w:val="111827"/>
          <w:sz w:val="22"/>
        </w:rPr>
        <w:t>1. specific to each act, service, recording, location, participant, duration, price, and distribution term;</w:t>
      </w:r>
    </w:p>
    <w:p>
      <w:pPr>
        <w:pStyle w:val="LegalNumber2"/>
      </w:pPr>
      <w:r>
        <w:rPr>
          <w:rFonts w:ascii="Times New Roman" w:hAnsi="Times New Roman"/>
          <w:b w:val="0"/>
          <w:color w:val="111827"/>
          <w:sz w:val="22"/>
        </w:rPr>
        <w:t>2. informed by accurate material information;</w:t>
      </w:r>
    </w:p>
    <w:p>
      <w:pPr>
        <w:pStyle w:val="LegalNumber2"/>
      </w:pPr>
      <w:r>
        <w:rPr>
          <w:rFonts w:ascii="Times New Roman" w:hAnsi="Times New Roman"/>
          <w:b w:val="0"/>
          <w:color w:val="111827"/>
          <w:sz w:val="22"/>
        </w:rPr>
        <w:t>3. ongoing throughout the encounter or production;</w:t>
      </w:r>
    </w:p>
    <w:p>
      <w:pPr>
        <w:pStyle w:val="LegalNumber2"/>
      </w:pPr>
      <w:r>
        <w:rPr>
          <w:rFonts w:ascii="Times New Roman" w:hAnsi="Times New Roman"/>
          <w:b w:val="0"/>
          <w:color w:val="111827"/>
          <w:sz w:val="22"/>
        </w:rPr>
        <w:t>4. revocable at any time, by any participant, for any reason or no reason;</w:t>
      </w:r>
    </w:p>
    <w:p>
      <w:pPr>
        <w:pStyle w:val="LegalNumber2"/>
      </w:pPr>
      <w:r>
        <w:rPr>
          <w:rFonts w:ascii="Times New Roman" w:hAnsi="Times New Roman"/>
          <w:b w:val="0"/>
          <w:color w:val="111827"/>
          <w:sz w:val="22"/>
        </w:rPr>
        <w:t>5. free from coercion, force, fraud, intimidation, incapacity, or exploitation.</w:t>
      </w:r>
    </w:p>
    <w:p>
      <w:pPr>
        <w:pStyle w:val="LegalNumber"/>
      </w:pPr>
      <w:r>
        <w:rPr>
          <w:rFonts w:ascii="Times New Roman" w:hAnsi="Times New Roman"/>
          <w:b w:val="0"/>
          <w:color w:val="111827"/>
          <w:sz w:val="22"/>
        </w:rPr>
        <w:t>3. Consent to adult intimate work generally does not imply consent to:</w:t>
      </w:r>
    </w:p>
    <w:p>
      <w:pPr>
        <w:pStyle w:val="LegalNumber2"/>
      </w:pPr>
      <w:r>
        <w:rPr>
          <w:rFonts w:ascii="Times New Roman" w:hAnsi="Times New Roman"/>
          <w:b w:val="0"/>
          <w:color w:val="111827"/>
          <w:sz w:val="22"/>
        </w:rPr>
        <w:t>1. a particular client;</w:t>
      </w:r>
    </w:p>
    <w:p>
      <w:pPr>
        <w:pStyle w:val="LegalNumber2"/>
      </w:pPr>
      <w:r>
        <w:rPr>
          <w:rFonts w:ascii="Times New Roman" w:hAnsi="Times New Roman"/>
          <w:b w:val="0"/>
          <w:color w:val="111827"/>
          <w:sz w:val="22"/>
        </w:rPr>
        <w:t>2. a particular act;</w:t>
      </w:r>
    </w:p>
    <w:p>
      <w:pPr>
        <w:pStyle w:val="LegalNumber2"/>
      </w:pPr>
      <w:r>
        <w:rPr>
          <w:rFonts w:ascii="Times New Roman" w:hAnsi="Times New Roman"/>
          <w:b w:val="0"/>
          <w:color w:val="111827"/>
          <w:sz w:val="22"/>
        </w:rPr>
        <w:t>3. a particular location;</w:t>
      </w:r>
    </w:p>
    <w:p>
      <w:pPr>
        <w:pStyle w:val="LegalNumber2"/>
      </w:pPr>
      <w:r>
        <w:rPr>
          <w:rFonts w:ascii="Times New Roman" w:hAnsi="Times New Roman"/>
          <w:b w:val="0"/>
          <w:color w:val="111827"/>
          <w:sz w:val="22"/>
        </w:rPr>
        <w:t>4. a particular recording;</w:t>
      </w:r>
    </w:p>
    <w:p>
      <w:pPr>
        <w:pStyle w:val="LegalNumber2"/>
      </w:pPr>
      <w:r>
        <w:rPr>
          <w:rFonts w:ascii="Times New Roman" w:hAnsi="Times New Roman"/>
          <w:b w:val="0"/>
          <w:color w:val="111827"/>
          <w:sz w:val="22"/>
        </w:rPr>
        <w:t>5. publication or distribution;</w:t>
      </w:r>
    </w:p>
    <w:p>
      <w:pPr>
        <w:pStyle w:val="LegalNumber2"/>
      </w:pPr>
      <w:r>
        <w:rPr>
          <w:rFonts w:ascii="Times New Roman" w:hAnsi="Times New Roman"/>
          <w:b w:val="0"/>
          <w:color w:val="111827"/>
          <w:sz w:val="22"/>
        </w:rPr>
        <w:t>6. physical contact outside agreed boundaries;</w:t>
      </w:r>
    </w:p>
    <w:p>
      <w:pPr>
        <w:pStyle w:val="LegalNumber2"/>
      </w:pPr>
      <w:r>
        <w:rPr>
          <w:rFonts w:ascii="Times New Roman" w:hAnsi="Times New Roman"/>
          <w:b w:val="0"/>
          <w:color w:val="111827"/>
          <w:sz w:val="22"/>
        </w:rPr>
        <w:t>7. unprotected or unsafe activity;</w:t>
      </w:r>
    </w:p>
    <w:p>
      <w:pPr>
        <w:pStyle w:val="LegalNumber2"/>
      </w:pPr>
      <w:r>
        <w:rPr>
          <w:rFonts w:ascii="Times New Roman" w:hAnsi="Times New Roman"/>
          <w:b w:val="0"/>
          <w:color w:val="111827"/>
          <w:sz w:val="22"/>
        </w:rPr>
        <w:t>8. continued performance after discomfort, fear, injury, distress, intoxication, or withdrawal;</w:t>
      </w:r>
    </w:p>
    <w:p>
      <w:pPr>
        <w:pStyle w:val="LegalNumber2"/>
      </w:pPr>
      <w:r>
        <w:rPr>
          <w:rFonts w:ascii="Times New Roman" w:hAnsi="Times New Roman"/>
          <w:b w:val="0"/>
          <w:color w:val="111827"/>
          <w:sz w:val="22"/>
        </w:rPr>
        <w:t>9. disclosure of identity, legal name, location, immigration status, health status, or personal history.</w:t>
      </w:r>
    </w:p>
    <w:p>
      <w:pPr>
        <w:pStyle w:val="LegalNumber"/>
      </w:pPr>
      <w:r>
        <w:rPr>
          <w:rFonts w:ascii="Times New Roman" w:hAnsi="Times New Roman"/>
          <w:b w:val="0"/>
          <w:color w:val="111827"/>
          <w:sz w:val="22"/>
        </w:rPr>
        <w:t>4. Payment, tipping, gifts, employment status, contract language, prior services, relationship status, advertising, appearance, dress, work history, or presence at an establishment shall not establish consent.</w:t>
      </w:r>
    </w:p>
    <w:p>
      <w:pPr>
        <w:spacing w:after="80"/>
      </w:pPr>
    </w:p>
    <w:p>
      <w:pPr>
        <w:pStyle w:val="SectionHeading"/>
      </w:pPr>
      <w:r>
        <w:rPr>
          <w:rFonts w:ascii="Arial" w:hAnsi="Arial"/>
          <w:b/>
          <w:color w:val="0B2545"/>
          <w:sz w:val="21"/>
        </w:rPr>
        <w:t>SECTION 202. Refusal and withdrawal.</w:t>
      </w:r>
    </w:p>
    <w:p>
      <w:pPr>
        <w:pStyle w:val="LegalNumber"/>
      </w:pPr>
      <w:r>
        <w:rPr>
          <w:rFonts w:ascii="Times New Roman" w:hAnsi="Times New Roman"/>
          <w:b w:val="0"/>
          <w:color w:val="111827"/>
          <w:sz w:val="22"/>
        </w:rPr>
        <w:t>1. A worker may refuse any client, service, act, location, recording, distribution, appearance, schedule, assignment, or working condition at any time.</w:t>
      </w:r>
    </w:p>
    <w:p>
      <w:pPr>
        <w:pStyle w:val="LegalNumber"/>
      </w:pPr>
      <w:r>
        <w:rPr>
          <w:rFonts w:ascii="Times New Roman" w:hAnsi="Times New Roman"/>
          <w:b w:val="0"/>
          <w:color w:val="111827"/>
          <w:sz w:val="22"/>
        </w:rPr>
        <w:t>2. A worker may stop an encounter or production immediately upon withdrawal of consent.</w:t>
      </w:r>
    </w:p>
    <w:p>
      <w:pPr>
        <w:pStyle w:val="LegalNumber"/>
      </w:pPr>
      <w:r>
        <w:rPr>
          <w:rFonts w:ascii="Times New Roman" w:hAnsi="Times New Roman"/>
          <w:b w:val="0"/>
          <w:color w:val="111827"/>
          <w:sz w:val="22"/>
        </w:rPr>
        <w:t>3. A client may stop receiving a service at any time.</w:t>
      </w:r>
    </w:p>
    <w:p>
      <w:pPr>
        <w:pStyle w:val="LegalNumber"/>
      </w:pPr>
      <w:r>
        <w:rPr>
          <w:rFonts w:ascii="Times New Roman" w:hAnsi="Times New Roman"/>
          <w:b w:val="0"/>
          <w:color w:val="111827"/>
          <w:sz w:val="22"/>
        </w:rPr>
        <w:t>4. No operator, agency, platform, manager, client, or other person shall penalize, threaten, discipline, reduce pay, blacklist, retaliate against, or impose damages on a person for refusing or withdrawing consent.</w:t>
      </w:r>
    </w:p>
    <w:p>
      <w:pPr>
        <w:pStyle w:val="LegalNumber"/>
      </w:pPr>
      <w:r>
        <w:rPr>
          <w:rFonts w:ascii="Times New Roman" w:hAnsi="Times New Roman"/>
          <w:b w:val="0"/>
          <w:color w:val="111827"/>
          <w:sz w:val="22"/>
        </w:rPr>
        <w:t>5. A worker who withdraws consent shall owe no damages, cancellation penalty, liquidated damages, replacement labor, repayment of ordinary business expenses, or apology statement.</w:t>
      </w:r>
    </w:p>
    <w:p>
      <w:pPr>
        <w:pStyle w:val="LegalNumber"/>
      </w:pPr>
      <w:r>
        <w:rPr>
          <w:rFonts w:ascii="Times New Roman" w:hAnsi="Times New Roman"/>
          <w:b w:val="0"/>
          <w:color w:val="111827"/>
          <w:sz w:val="22"/>
        </w:rPr>
        <w:t>6. Refund policies shall be clear and posted. A refund may be required for prepaid services not provided if the withdrawal occurs before services begin and the client did not engage in misconduct. No refund shall be required when termination occurs because of client harassment, boundary violation, intoxication, coercion, violence, refusal to follow safety rules, recording without consent, or other misconduct.</w:t>
      </w:r>
    </w:p>
    <w:p>
      <w:pPr>
        <w:spacing w:after="80"/>
      </w:pPr>
    </w:p>
    <w:p>
      <w:pPr>
        <w:pStyle w:val="SectionHeading"/>
      </w:pPr>
      <w:r>
        <w:rPr>
          <w:rFonts w:ascii="Arial" w:hAnsi="Arial"/>
          <w:b/>
          <w:color w:val="0B2545"/>
          <w:sz w:val="21"/>
        </w:rPr>
        <w:t>SECTION 203. Incapacity, intoxication, and vulnerability.</w:t>
      </w:r>
    </w:p>
    <w:p>
      <w:pPr>
        <w:pStyle w:val="LegalNumber"/>
      </w:pPr>
      <w:r>
        <w:rPr>
          <w:rFonts w:ascii="Times New Roman" w:hAnsi="Times New Roman"/>
          <w:b w:val="0"/>
          <w:color w:val="111827"/>
          <w:sz w:val="22"/>
        </w:rPr>
        <w:t>1. A person lacks capacity to consent when the person is asleep, unconscious, substantially impaired, involuntarily intoxicated, unable to understand the nature of the conduct, unable to communicate consent or refusal, or otherwise legally incapacitated.</w:t>
      </w:r>
    </w:p>
    <w:p>
      <w:pPr>
        <w:pStyle w:val="LegalNumber"/>
      </w:pPr>
      <w:r>
        <w:rPr>
          <w:rFonts w:ascii="Times New Roman" w:hAnsi="Times New Roman"/>
          <w:b w:val="0"/>
          <w:color w:val="111827"/>
          <w:sz w:val="22"/>
        </w:rPr>
        <w:t>2. A person shall not provide, purchase, facilitate, record, or distribute adult intimate services or content involving a participant who lacks capacity.</w:t>
      </w:r>
    </w:p>
    <w:p>
      <w:pPr>
        <w:pStyle w:val="LegalNumber"/>
      </w:pPr>
      <w:r>
        <w:rPr>
          <w:rFonts w:ascii="Times New Roman" w:hAnsi="Times New Roman"/>
          <w:b w:val="0"/>
          <w:color w:val="111827"/>
          <w:sz w:val="22"/>
        </w:rPr>
        <w:t>3. Establishments and agencies shall adopt screening and intervention protocols for intoxication, impairment, fear, coercion, confusion, injury, distress, or inability to consent.</w:t>
      </w:r>
    </w:p>
    <w:p>
      <w:pPr>
        <w:pStyle w:val="LegalNumber"/>
      </w:pPr>
      <w:r>
        <w:rPr>
          <w:rFonts w:ascii="Times New Roman" w:hAnsi="Times New Roman"/>
          <w:b w:val="0"/>
          <w:color w:val="111827"/>
          <w:sz w:val="22"/>
        </w:rPr>
        <w:t>4. Operators shall not sell, promote, require, reward, or condition adult intimate work on alcohol, controlled substances, medication misuse, intoxication, or substance consumption.</w:t>
      </w:r>
    </w:p>
    <w:p>
      <w:pPr>
        <w:spacing w:after="80"/>
      </w:pPr>
    </w:p>
    <w:p>
      <w:pPr>
        <w:pStyle w:val="SectionHeading"/>
      </w:pPr>
      <w:r>
        <w:rPr>
          <w:rFonts w:ascii="Arial" w:hAnsi="Arial"/>
          <w:b/>
          <w:color w:val="0B2545"/>
          <w:sz w:val="21"/>
        </w:rPr>
        <w:t>SECTION 204. Emergency intervention.</w:t>
      </w:r>
    </w:p>
    <w:p>
      <w:pPr>
        <w:pStyle w:val="LegalNumber"/>
      </w:pPr>
      <w:r>
        <w:rPr>
          <w:rFonts w:ascii="Times New Roman" w:hAnsi="Times New Roman"/>
          <w:b w:val="0"/>
          <w:color w:val="111827"/>
          <w:sz w:val="22"/>
        </w:rPr>
        <w:t>1. Every licensed establishment, agency, and content production location shall maintain an emergency response plan that includes:</w:t>
      </w:r>
    </w:p>
    <w:p>
      <w:pPr>
        <w:pStyle w:val="LegalNumber2"/>
      </w:pPr>
      <w:r>
        <w:rPr>
          <w:rFonts w:ascii="Times New Roman" w:hAnsi="Times New Roman"/>
          <w:b w:val="0"/>
          <w:color w:val="111827"/>
          <w:sz w:val="22"/>
        </w:rPr>
        <w:t>1. panic systems;</w:t>
      </w:r>
    </w:p>
    <w:p>
      <w:pPr>
        <w:pStyle w:val="LegalNumber2"/>
      </w:pPr>
      <w:r>
        <w:rPr>
          <w:rFonts w:ascii="Times New Roman" w:hAnsi="Times New Roman"/>
          <w:b w:val="0"/>
          <w:color w:val="111827"/>
          <w:sz w:val="22"/>
        </w:rPr>
        <w:t>2. worker-controlled emergency signals;</w:t>
      </w:r>
    </w:p>
    <w:p>
      <w:pPr>
        <w:pStyle w:val="LegalNumber2"/>
      </w:pPr>
      <w:r>
        <w:rPr>
          <w:rFonts w:ascii="Times New Roman" w:hAnsi="Times New Roman"/>
          <w:b w:val="0"/>
          <w:color w:val="111827"/>
          <w:sz w:val="22"/>
        </w:rPr>
        <w:t>3. rapid separation of participants;</w:t>
      </w:r>
    </w:p>
    <w:p>
      <w:pPr>
        <w:pStyle w:val="LegalNumber2"/>
      </w:pPr>
      <w:r>
        <w:rPr>
          <w:rFonts w:ascii="Times New Roman" w:hAnsi="Times New Roman"/>
          <w:b w:val="0"/>
          <w:color w:val="111827"/>
          <w:sz w:val="22"/>
        </w:rPr>
        <w:t>4. secure exits;</w:t>
      </w:r>
    </w:p>
    <w:p>
      <w:pPr>
        <w:pStyle w:val="LegalNumber2"/>
      </w:pPr>
      <w:r>
        <w:rPr>
          <w:rFonts w:ascii="Times New Roman" w:hAnsi="Times New Roman"/>
          <w:b w:val="0"/>
          <w:color w:val="111827"/>
          <w:sz w:val="22"/>
        </w:rPr>
        <w:t>5. transportation safety;</w:t>
      </w:r>
    </w:p>
    <w:p>
      <w:pPr>
        <w:pStyle w:val="LegalNumber2"/>
      </w:pPr>
      <w:r>
        <w:rPr>
          <w:rFonts w:ascii="Times New Roman" w:hAnsi="Times New Roman"/>
          <w:b w:val="0"/>
          <w:color w:val="111827"/>
          <w:sz w:val="22"/>
        </w:rPr>
        <w:t>6. emergency medical access;</w:t>
      </w:r>
    </w:p>
    <w:p>
      <w:pPr>
        <w:pStyle w:val="LegalNumber2"/>
      </w:pPr>
      <w:r>
        <w:rPr>
          <w:rFonts w:ascii="Times New Roman" w:hAnsi="Times New Roman"/>
          <w:b w:val="0"/>
          <w:color w:val="111827"/>
          <w:sz w:val="22"/>
        </w:rPr>
        <w:t>7. law enforcement contact protocols;</w:t>
      </w:r>
    </w:p>
    <w:p>
      <w:pPr>
        <w:pStyle w:val="LegalNumber2"/>
      </w:pPr>
      <w:r>
        <w:rPr>
          <w:rFonts w:ascii="Times New Roman" w:hAnsi="Times New Roman"/>
          <w:b w:val="0"/>
          <w:color w:val="111827"/>
          <w:sz w:val="22"/>
        </w:rPr>
        <w:t>8. trauma-informed post-incident support;</w:t>
      </w:r>
    </w:p>
    <w:p>
      <w:pPr>
        <w:pStyle w:val="LegalNumber2"/>
      </w:pPr>
      <w:r>
        <w:rPr>
          <w:rFonts w:ascii="Times New Roman" w:hAnsi="Times New Roman"/>
          <w:b w:val="0"/>
          <w:color w:val="111827"/>
          <w:sz w:val="22"/>
        </w:rPr>
        <w:t>9. preservation of evidence when requested by a survivor;</w:t>
      </w:r>
    </w:p>
    <w:p>
      <w:pPr>
        <w:pStyle w:val="LegalNumber2"/>
      </w:pPr>
      <w:r>
        <w:rPr>
          <w:rFonts w:ascii="Times New Roman" w:hAnsi="Times New Roman"/>
          <w:b w:val="0"/>
          <w:color w:val="111827"/>
          <w:sz w:val="22"/>
        </w:rPr>
        <w:t>10. nonretaliation protections.</w:t>
      </w:r>
    </w:p>
    <w:p>
      <w:pPr>
        <w:pStyle w:val="LegalNumber"/>
      </w:pPr>
      <w:r>
        <w:rPr>
          <w:rFonts w:ascii="Times New Roman" w:hAnsi="Times New Roman"/>
          <w:b w:val="0"/>
          <w:color w:val="111827"/>
          <w:sz w:val="22"/>
        </w:rPr>
        <w:t>2. A worker, client, employee, contractor, or witness may trigger emergency intervention without being required to disclose private details beyond what is necessary to address immediate safety.</w:t>
      </w:r>
    </w:p>
    <w:p>
      <w:pPr>
        <w:pStyle w:val="LegalNumber"/>
      </w:pPr>
      <w:r>
        <w:rPr>
          <w:rFonts w:ascii="Times New Roman" w:hAnsi="Times New Roman"/>
          <w:b w:val="0"/>
          <w:color w:val="111827"/>
          <w:sz w:val="22"/>
        </w:rPr>
        <w:t>3. An operator shall not discipline or financially penalize a person for triggering emergency intervention in good faith.</w:t>
      </w:r>
    </w:p>
    <w:p>
      <w:pPr>
        <w:spacing w:after="80"/>
      </w:pPr>
    </w:p>
    <w:p>
      <w:pPr>
        <w:pStyle w:val="TitleHeading"/>
      </w:pPr>
      <w:r>
        <w:rPr>
          <w:rFonts w:ascii="Arial" w:hAnsi="Arial"/>
          <w:b/>
          <w:color w:val="0B2545"/>
          <w:sz w:val="22"/>
        </w:rPr>
        <w:t>TITLE III. LICENSING, CERTIFICATION, AND BUSINESS REGULATION</w:t>
      </w:r>
    </w:p>
    <w:p>
      <w:pPr>
        <w:pStyle w:val="SectionHeading"/>
      </w:pPr>
      <w:r>
        <w:rPr>
          <w:rFonts w:ascii="Arial" w:hAnsi="Arial"/>
          <w:b/>
          <w:color w:val="0B2545"/>
          <w:sz w:val="21"/>
        </w:rPr>
        <w:t>SECTION 301. Confidential worker certification.</w:t>
      </w:r>
    </w:p>
    <w:p>
      <w:pPr>
        <w:pStyle w:val="LegalNumber"/>
      </w:pPr>
      <w:r>
        <w:rPr>
          <w:rFonts w:ascii="Times New Roman" w:hAnsi="Times New Roman"/>
          <w:b w:val="0"/>
          <w:color w:val="111827"/>
          <w:sz w:val="22"/>
        </w:rPr>
        <w:t>1. The Commission shall issue confidential worker certifications to eligible adult intimate workers.</w:t>
      </w:r>
    </w:p>
    <w:p>
      <w:pPr>
        <w:pStyle w:val="LegalNumber"/>
      </w:pPr>
      <w:r>
        <w:rPr>
          <w:rFonts w:ascii="Times New Roman" w:hAnsi="Times New Roman"/>
          <w:b w:val="0"/>
          <w:color w:val="111827"/>
          <w:sz w:val="22"/>
        </w:rPr>
        <w:t>2. A worker certification shall:</w:t>
      </w:r>
    </w:p>
    <w:p>
      <w:pPr>
        <w:pStyle w:val="LegalNumber2"/>
      </w:pPr>
      <w:r>
        <w:rPr>
          <w:rFonts w:ascii="Times New Roman" w:hAnsi="Times New Roman"/>
          <w:b w:val="0"/>
          <w:color w:val="111827"/>
          <w:sz w:val="22"/>
        </w:rPr>
        <w:t>1. confirm that the worker is an adult;</w:t>
      </w:r>
    </w:p>
    <w:p>
      <w:pPr>
        <w:pStyle w:val="LegalNumber2"/>
      </w:pPr>
      <w:r>
        <w:rPr>
          <w:rFonts w:ascii="Times New Roman" w:hAnsi="Times New Roman"/>
          <w:b w:val="0"/>
          <w:color w:val="111827"/>
          <w:sz w:val="22"/>
        </w:rPr>
        <w:t>2. confirm completion of required rights, consent, safety, privacy, and health training;</w:t>
      </w:r>
    </w:p>
    <w:p>
      <w:pPr>
        <w:pStyle w:val="LegalNumber2"/>
      </w:pPr>
      <w:r>
        <w:rPr>
          <w:rFonts w:ascii="Times New Roman" w:hAnsi="Times New Roman"/>
          <w:b w:val="0"/>
          <w:color w:val="111827"/>
          <w:sz w:val="22"/>
        </w:rPr>
        <w:t>3. permit lawful adult intimate work under this Act;</w:t>
      </w:r>
    </w:p>
    <w:p>
      <w:pPr>
        <w:pStyle w:val="LegalNumber2"/>
      </w:pPr>
      <w:r>
        <w:rPr>
          <w:rFonts w:ascii="Times New Roman" w:hAnsi="Times New Roman"/>
          <w:b w:val="0"/>
          <w:color w:val="111827"/>
          <w:sz w:val="22"/>
        </w:rPr>
        <w:t>4. be valid for two years;</w:t>
      </w:r>
    </w:p>
    <w:p>
      <w:pPr>
        <w:pStyle w:val="LegalNumber2"/>
      </w:pPr>
      <w:r>
        <w:rPr>
          <w:rFonts w:ascii="Times New Roman" w:hAnsi="Times New Roman"/>
          <w:b w:val="0"/>
          <w:color w:val="111827"/>
          <w:sz w:val="22"/>
        </w:rPr>
        <w:t>5. be renewable through a confidential process;</w:t>
      </w:r>
    </w:p>
    <w:p>
      <w:pPr>
        <w:pStyle w:val="LegalNumber2"/>
      </w:pPr>
      <w:r>
        <w:rPr>
          <w:rFonts w:ascii="Times New Roman" w:hAnsi="Times New Roman"/>
          <w:b w:val="0"/>
          <w:color w:val="111827"/>
          <w:sz w:val="22"/>
        </w:rPr>
        <w:t>6. be available without a public registry.</w:t>
      </w:r>
    </w:p>
    <w:p>
      <w:pPr>
        <w:pStyle w:val="LegalNumber"/>
      </w:pPr>
      <w:r>
        <w:rPr>
          <w:rFonts w:ascii="Times New Roman" w:hAnsi="Times New Roman"/>
          <w:b w:val="0"/>
          <w:color w:val="111827"/>
          <w:sz w:val="22"/>
        </w:rPr>
        <w:t>3. The Commission shall not publish, sell, disclose, or make searchable worker names, legal names, addresses, identification documents, certification numbers, biometric data, immigration information, health information, work locations, or work histories.</w:t>
      </w:r>
    </w:p>
    <w:p>
      <w:pPr>
        <w:pStyle w:val="LegalNumber"/>
      </w:pPr>
      <w:r>
        <w:rPr>
          <w:rFonts w:ascii="Times New Roman" w:hAnsi="Times New Roman"/>
          <w:b w:val="0"/>
          <w:color w:val="111827"/>
          <w:sz w:val="22"/>
        </w:rPr>
        <w:t>4. A worker may use a professional name, pseudonym, or privacy-preserving credential in all public-facing records, advertisements, platform accounts, receipts, and establishment rosters.</w:t>
      </w:r>
    </w:p>
    <w:p>
      <w:pPr>
        <w:pStyle w:val="LegalNumber"/>
      </w:pPr>
      <w:r>
        <w:rPr>
          <w:rFonts w:ascii="Times New Roman" w:hAnsi="Times New Roman"/>
          <w:b w:val="0"/>
          <w:color w:val="111827"/>
          <w:sz w:val="22"/>
        </w:rPr>
        <w:t>5. The Commission shall not require a criminal background check as a condition of worker certification, except that the Commission may deny or condition certification upon clear and convincing evidence that the applicant is using certification to facilitate trafficking, coercion, sexual assault, exploitation of minors, or a violation of a current court order.</w:t>
      </w:r>
    </w:p>
    <w:p>
      <w:pPr>
        <w:pStyle w:val="LegalNumber"/>
      </w:pPr>
      <w:r>
        <w:rPr>
          <w:rFonts w:ascii="Times New Roman" w:hAnsi="Times New Roman"/>
          <w:b w:val="0"/>
          <w:color w:val="111827"/>
          <w:sz w:val="22"/>
        </w:rPr>
        <w:t>6. Worker certification shall be free. The Commission may charge a replacement credential fee not exceeding $15, waived upon hardship.</w:t>
      </w:r>
    </w:p>
    <w:p>
      <w:pPr>
        <w:pStyle w:val="LegalNumber"/>
      </w:pPr>
      <w:r>
        <w:rPr>
          <w:rFonts w:ascii="Times New Roman" w:hAnsi="Times New Roman"/>
          <w:b w:val="0"/>
          <w:color w:val="111827"/>
          <w:sz w:val="22"/>
        </w:rPr>
        <w:t>7. Training required for worker certification shall be available online and in person, in multiple languages, accessible to persons with disabilities, and shall cover:</w:t>
      </w:r>
    </w:p>
    <w:p>
      <w:pPr>
        <w:pStyle w:val="LegalNumber2"/>
      </w:pPr>
      <w:r>
        <w:rPr>
          <w:rFonts w:ascii="Times New Roman" w:hAnsi="Times New Roman"/>
          <w:b w:val="0"/>
          <w:color w:val="111827"/>
          <w:sz w:val="22"/>
        </w:rPr>
        <w:t>1. consent and withdrawal;</w:t>
      </w:r>
    </w:p>
    <w:p>
      <w:pPr>
        <w:pStyle w:val="LegalNumber2"/>
      </w:pPr>
      <w:r>
        <w:rPr>
          <w:rFonts w:ascii="Times New Roman" w:hAnsi="Times New Roman"/>
          <w:b w:val="0"/>
          <w:color w:val="111827"/>
          <w:sz w:val="22"/>
        </w:rPr>
        <w:t>2. worker rights;</w:t>
      </w:r>
    </w:p>
    <w:p>
      <w:pPr>
        <w:pStyle w:val="LegalNumber2"/>
      </w:pPr>
      <w:r>
        <w:rPr>
          <w:rFonts w:ascii="Times New Roman" w:hAnsi="Times New Roman"/>
          <w:b w:val="0"/>
          <w:color w:val="111827"/>
          <w:sz w:val="22"/>
        </w:rPr>
        <w:t>3. client responsibilities;</w:t>
      </w:r>
    </w:p>
    <w:p>
      <w:pPr>
        <w:pStyle w:val="LegalNumber2"/>
      </w:pPr>
      <w:r>
        <w:rPr>
          <w:rFonts w:ascii="Times New Roman" w:hAnsi="Times New Roman"/>
          <w:b w:val="0"/>
          <w:color w:val="111827"/>
          <w:sz w:val="22"/>
        </w:rPr>
        <w:t>4. health and prevention options;</w:t>
      </w:r>
    </w:p>
    <w:p>
      <w:pPr>
        <w:pStyle w:val="LegalNumber2"/>
      </w:pPr>
      <w:r>
        <w:rPr>
          <w:rFonts w:ascii="Times New Roman" w:hAnsi="Times New Roman"/>
          <w:b w:val="0"/>
          <w:color w:val="111827"/>
          <w:sz w:val="22"/>
        </w:rPr>
        <w:t>5. emergency procedures;</w:t>
      </w:r>
    </w:p>
    <w:p>
      <w:pPr>
        <w:pStyle w:val="LegalNumber2"/>
      </w:pPr>
      <w:r>
        <w:rPr>
          <w:rFonts w:ascii="Times New Roman" w:hAnsi="Times New Roman"/>
          <w:b w:val="0"/>
          <w:color w:val="111827"/>
          <w:sz w:val="22"/>
        </w:rPr>
        <w:t>6. privacy and data rights;</w:t>
      </w:r>
    </w:p>
    <w:p>
      <w:pPr>
        <w:pStyle w:val="LegalNumber2"/>
      </w:pPr>
      <w:r>
        <w:rPr>
          <w:rFonts w:ascii="Times New Roman" w:hAnsi="Times New Roman"/>
          <w:b w:val="0"/>
          <w:color w:val="111827"/>
          <w:sz w:val="22"/>
        </w:rPr>
        <w:t>7. reporting options;</w:t>
      </w:r>
    </w:p>
    <w:p>
      <w:pPr>
        <w:pStyle w:val="LegalNumber2"/>
      </w:pPr>
      <w:r>
        <w:rPr>
          <w:rFonts w:ascii="Times New Roman" w:hAnsi="Times New Roman"/>
          <w:b w:val="0"/>
          <w:color w:val="111827"/>
          <w:sz w:val="22"/>
        </w:rPr>
        <w:t>8. anti-trafficking indicators;</w:t>
      </w:r>
    </w:p>
    <w:p>
      <w:pPr>
        <w:pStyle w:val="LegalNumber2"/>
      </w:pPr>
      <w:r>
        <w:rPr>
          <w:rFonts w:ascii="Times New Roman" w:hAnsi="Times New Roman"/>
          <w:b w:val="0"/>
          <w:color w:val="111827"/>
          <w:sz w:val="22"/>
        </w:rPr>
        <w:t>9. financial and tax rights;</w:t>
      </w:r>
    </w:p>
    <w:p>
      <w:pPr>
        <w:pStyle w:val="LegalNumber2"/>
      </w:pPr>
      <w:r>
        <w:rPr>
          <w:rFonts w:ascii="Times New Roman" w:hAnsi="Times New Roman"/>
          <w:b w:val="0"/>
          <w:color w:val="111827"/>
          <w:sz w:val="22"/>
        </w:rPr>
        <w:t>10. anti-harassment and anti-discrimination protections;</w:t>
      </w:r>
    </w:p>
    <w:p>
      <w:pPr>
        <w:pStyle w:val="LegalNumber2"/>
      </w:pPr>
      <w:r>
        <w:rPr>
          <w:rFonts w:ascii="Times New Roman" w:hAnsi="Times New Roman"/>
          <w:b w:val="0"/>
          <w:color w:val="111827"/>
          <w:sz w:val="22"/>
        </w:rPr>
        <w:t>11. digital content and recording consent;</w:t>
      </w:r>
    </w:p>
    <w:p>
      <w:pPr>
        <w:pStyle w:val="LegalNumber2"/>
      </w:pPr>
      <w:r>
        <w:rPr>
          <w:rFonts w:ascii="Times New Roman" w:hAnsi="Times New Roman"/>
          <w:b w:val="0"/>
          <w:color w:val="111827"/>
          <w:sz w:val="22"/>
        </w:rPr>
        <w:t>12. legal aid and survivor services.</w:t>
      </w:r>
    </w:p>
    <w:p>
      <w:pPr>
        <w:pStyle w:val="LegalNumber"/>
      </w:pPr>
      <w:r>
        <w:rPr>
          <w:rFonts w:ascii="Times New Roman" w:hAnsi="Times New Roman"/>
          <w:b w:val="0"/>
          <w:color w:val="111827"/>
          <w:sz w:val="22"/>
        </w:rPr>
        <w:t>8. Worker certification records shall not be used for immigration enforcement, housing screening, employment screening, credit screening, child-custody determinations, public-benefits determinations, or unrelated criminal investigation, except pursuant to a warrant issued upon probable cause of trafficking, coercion, sexual violence, exploitation of a minor, or other serious offense.</w:t>
      </w:r>
    </w:p>
    <w:p>
      <w:pPr>
        <w:spacing w:after="80"/>
      </w:pPr>
    </w:p>
    <w:p>
      <w:pPr>
        <w:pStyle w:val="SectionHeading"/>
      </w:pPr>
      <w:r>
        <w:rPr>
          <w:rFonts w:ascii="Arial" w:hAnsi="Arial"/>
          <w:b/>
          <w:color w:val="0B2545"/>
          <w:sz w:val="21"/>
        </w:rPr>
        <w:t>SECTION 302. Operator license.</w:t>
      </w:r>
    </w:p>
    <w:p>
      <w:pPr>
        <w:pStyle w:val="LegalNumber"/>
      </w:pPr>
      <w:r>
        <w:rPr>
          <w:rFonts w:ascii="Times New Roman" w:hAnsi="Times New Roman"/>
          <w:b w:val="0"/>
          <w:color w:val="111827"/>
          <w:sz w:val="22"/>
        </w:rPr>
        <w:t>1. No person shall operate an adult intimate establishment, agency, content production business, content distribution business, or covered platform without an operator license.</w:t>
      </w:r>
    </w:p>
    <w:p>
      <w:pPr>
        <w:pStyle w:val="LegalNumber"/>
      </w:pPr>
      <w:r>
        <w:rPr>
          <w:rFonts w:ascii="Times New Roman" w:hAnsi="Times New Roman"/>
          <w:b w:val="0"/>
          <w:color w:val="111827"/>
          <w:sz w:val="22"/>
        </w:rPr>
        <w:t>2. An applicant for an operator license shall submit:</w:t>
      </w:r>
    </w:p>
    <w:p>
      <w:pPr>
        <w:pStyle w:val="LegalNumber2"/>
      </w:pPr>
      <w:r>
        <w:rPr>
          <w:rFonts w:ascii="Times New Roman" w:hAnsi="Times New Roman"/>
          <w:b w:val="0"/>
          <w:color w:val="111827"/>
          <w:sz w:val="22"/>
        </w:rPr>
        <w:t>1. legal name, trade names, address, and registered agent;</w:t>
      </w:r>
    </w:p>
    <w:p>
      <w:pPr>
        <w:pStyle w:val="LegalNumber2"/>
      </w:pPr>
      <w:r>
        <w:rPr>
          <w:rFonts w:ascii="Times New Roman" w:hAnsi="Times New Roman"/>
          <w:b w:val="0"/>
          <w:color w:val="111827"/>
          <w:sz w:val="22"/>
        </w:rPr>
        <w:t>2. beneficial ownership information for each person owning or controlling 5 percent or more;</w:t>
      </w:r>
    </w:p>
    <w:p>
      <w:pPr>
        <w:pStyle w:val="LegalNumber2"/>
      </w:pPr>
      <w:r>
        <w:rPr>
          <w:rFonts w:ascii="Times New Roman" w:hAnsi="Times New Roman"/>
          <w:b w:val="0"/>
          <w:color w:val="111827"/>
          <w:sz w:val="22"/>
        </w:rPr>
        <w:t>3. management structure;</w:t>
      </w:r>
    </w:p>
    <w:p>
      <w:pPr>
        <w:pStyle w:val="LegalNumber2"/>
      </w:pPr>
      <w:r>
        <w:rPr>
          <w:rFonts w:ascii="Times New Roman" w:hAnsi="Times New Roman"/>
          <w:b w:val="0"/>
          <w:color w:val="111827"/>
          <w:sz w:val="22"/>
        </w:rPr>
        <w:t>4. criminal-history disclosures for owners, directors, managers, security supervisors, and persons with operational control;</w:t>
      </w:r>
    </w:p>
    <w:p>
      <w:pPr>
        <w:pStyle w:val="LegalNumber2"/>
      </w:pPr>
      <w:r>
        <w:rPr>
          <w:rFonts w:ascii="Times New Roman" w:hAnsi="Times New Roman"/>
          <w:b w:val="0"/>
          <w:color w:val="111827"/>
          <w:sz w:val="22"/>
        </w:rPr>
        <w:t>5. financial source-of-funds statement;</w:t>
      </w:r>
    </w:p>
    <w:p>
      <w:pPr>
        <w:pStyle w:val="LegalNumber2"/>
      </w:pPr>
      <w:r>
        <w:rPr>
          <w:rFonts w:ascii="Times New Roman" w:hAnsi="Times New Roman"/>
          <w:b w:val="0"/>
          <w:color w:val="111827"/>
          <w:sz w:val="22"/>
        </w:rPr>
        <w:t>6. tax compliance certification;</w:t>
      </w:r>
    </w:p>
    <w:p>
      <w:pPr>
        <w:pStyle w:val="LegalNumber2"/>
      </w:pPr>
      <w:r>
        <w:rPr>
          <w:rFonts w:ascii="Times New Roman" w:hAnsi="Times New Roman"/>
          <w:b w:val="0"/>
          <w:color w:val="111827"/>
          <w:sz w:val="22"/>
        </w:rPr>
        <w:t>7. anti-money-laundering plan;</w:t>
      </w:r>
    </w:p>
    <w:p>
      <w:pPr>
        <w:pStyle w:val="LegalNumber2"/>
      </w:pPr>
      <w:r>
        <w:rPr>
          <w:rFonts w:ascii="Times New Roman" w:hAnsi="Times New Roman"/>
          <w:b w:val="0"/>
          <w:color w:val="111827"/>
          <w:sz w:val="22"/>
        </w:rPr>
        <w:t>8. worker-rights policy;</w:t>
      </w:r>
    </w:p>
    <w:p>
      <w:pPr>
        <w:pStyle w:val="LegalNumber2"/>
      </w:pPr>
      <w:r>
        <w:rPr>
          <w:rFonts w:ascii="Times New Roman" w:hAnsi="Times New Roman"/>
          <w:b w:val="0"/>
          <w:color w:val="111827"/>
          <w:sz w:val="22"/>
        </w:rPr>
        <w:t>9. anti-harassment and anti-discrimination policy;</w:t>
      </w:r>
    </w:p>
    <w:p>
      <w:pPr>
        <w:pStyle w:val="LegalNumber2"/>
      </w:pPr>
      <w:r>
        <w:rPr>
          <w:rFonts w:ascii="Times New Roman" w:hAnsi="Times New Roman"/>
          <w:b w:val="0"/>
          <w:color w:val="111827"/>
          <w:sz w:val="22"/>
        </w:rPr>
        <w:t>10. safety plan;</w:t>
      </w:r>
    </w:p>
    <w:p>
      <w:pPr>
        <w:pStyle w:val="LegalNumber2"/>
      </w:pPr>
      <w:r>
        <w:rPr>
          <w:rFonts w:ascii="Times New Roman" w:hAnsi="Times New Roman"/>
          <w:b w:val="0"/>
          <w:color w:val="111827"/>
          <w:sz w:val="22"/>
        </w:rPr>
        <w:t>11. privacy and data protection plan;</w:t>
      </w:r>
    </w:p>
    <w:p>
      <w:pPr>
        <w:pStyle w:val="LegalNumber2"/>
      </w:pPr>
      <w:r>
        <w:rPr>
          <w:rFonts w:ascii="Times New Roman" w:hAnsi="Times New Roman"/>
          <w:b w:val="0"/>
          <w:color w:val="111827"/>
          <w:sz w:val="22"/>
        </w:rPr>
        <w:t>12. consent-verification procedures;</w:t>
      </w:r>
    </w:p>
    <w:p>
      <w:pPr>
        <w:pStyle w:val="LegalNumber2"/>
      </w:pPr>
      <w:r>
        <w:rPr>
          <w:rFonts w:ascii="Times New Roman" w:hAnsi="Times New Roman"/>
          <w:b w:val="0"/>
          <w:color w:val="111827"/>
          <w:sz w:val="22"/>
        </w:rPr>
        <w:t>13. complaint and incident-response procedures;</w:t>
      </w:r>
    </w:p>
    <w:p>
      <w:pPr>
        <w:pStyle w:val="LegalNumber2"/>
      </w:pPr>
      <w:r>
        <w:rPr>
          <w:rFonts w:ascii="Times New Roman" w:hAnsi="Times New Roman"/>
          <w:b w:val="0"/>
          <w:color w:val="111827"/>
          <w:sz w:val="22"/>
        </w:rPr>
        <w:t>14. proof of insurance;</w:t>
      </w:r>
    </w:p>
    <w:p>
      <w:pPr>
        <w:pStyle w:val="LegalNumber2"/>
      </w:pPr>
      <w:r>
        <w:rPr>
          <w:rFonts w:ascii="Times New Roman" w:hAnsi="Times New Roman"/>
          <w:b w:val="0"/>
          <w:color w:val="111827"/>
          <w:sz w:val="22"/>
        </w:rPr>
        <w:t>15. local zoning compliance certificate or conditional approval;</w:t>
      </w:r>
    </w:p>
    <w:p>
      <w:pPr>
        <w:pStyle w:val="LegalNumber2"/>
      </w:pPr>
      <w:r>
        <w:rPr>
          <w:rFonts w:ascii="Times New Roman" w:hAnsi="Times New Roman"/>
          <w:b w:val="0"/>
          <w:color w:val="111827"/>
          <w:sz w:val="22"/>
        </w:rPr>
        <w:t>16. certification that no ineligible person controls the business.</w:t>
      </w:r>
    </w:p>
    <w:p>
      <w:pPr>
        <w:pStyle w:val="LegalNumber"/>
      </w:pPr>
      <w:r>
        <w:rPr>
          <w:rFonts w:ascii="Times New Roman" w:hAnsi="Times New Roman"/>
          <w:b w:val="0"/>
          <w:color w:val="111827"/>
          <w:sz w:val="22"/>
        </w:rPr>
        <w:t>3. The Commission shall conduct background checks only for owners, beneficial owners, directors, managers, security supervisors, and persons exercising operational control.</w:t>
      </w:r>
    </w:p>
    <w:p>
      <w:pPr>
        <w:pStyle w:val="LegalNumber"/>
      </w:pPr>
      <w:r>
        <w:rPr>
          <w:rFonts w:ascii="Times New Roman" w:hAnsi="Times New Roman"/>
          <w:b w:val="0"/>
          <w:color w:val="111827"/>
          <w:sz w:val="22"/>
        </w:rPr>
        <w:t>4. The Commission shall deny an operator license if the applicant fails to meet statutory requirements, knowingly conceals ownership, has a disqualifying conviction under Section 103, lacks a safety plan, lacks financial transparency, or proposes an arrangement that would create substantial risk of coercion, trafficking, wage theft, or unsafe conditions.</w:t>
      </w:r>
    </w:p>
    <w:p>
      <w:pPr>
        <w:pStyle w:val="LegalNumber"/>
      </w:pPr>
      <w:r>
        <w:rPr>
          <w:rFonts w:ascii="Times New Roman" w:hAnsi="Times New Roman"/>
          <w:b w:val="0"/>
          <w:color w:val="111827"/>
          <w:sz w:val="22"/>
        </w:rPr>
        <w:t>5. An operator license shall be valid for two years and renewable upon compliance review.</w:t>
      </w:r>
    </w:p>
    <w:p>
      <w:pPr>
        <w:pStyle w:val="LegalNumber"/>
      </w:pPr>
      <w:r>
        <w:rPr>
          <w:rFonts w:ascii="Times New Roman" w:hAnsi="Times New Roman"/>
          <w:b w:val="0"/>
          <w:color w:val="111827"/>
          <w:sz w:val="22"/>
        </w:rPr>
        <w:t>6. Operator application fees shall be:</w:t>
      </w:r>
    </w:p>
    <w:p>
      <w:pPr>
        <w:pStyle w:val="LegalNumber2"/>
      </w:pPr>
      <w:r>
        <w:rPr>
          <w:rFonts w:ascii="Times New Roman" w:hAnsi="Times New Roman"/>
          <w:b w:val="0"/>
          <w:color w:val="111827"/>
          <w:sz w:val="22"/>
        </w:rPr>
        <w:t>1. $2,000 for establishments and agencies;</w:t>
      </w:r>
    </w:p>
    <w:p>
      <w:pPr>
        <w:pStyle w:val="LegalNumber2"/>
      </w:pPr>
      <w:r>
        <w:rPr>
          <w:rFonts w:ascii="Times New Roman" w:hAnsi="Times New Roman"/>
          <w:b w:val="0"/>
          <w:color w:val="111827"/>
          <w:sz w:val="22"/>
        </w:rPr>
        <w:t>2. $5,000 for covered platforms, content production businesses, and content distributors;</w:t>
      </w:r>
    </w:p>
    <w:p>
      <w:pPr>
        <w:pStyle w:val="LegalNumber2"/>
      </w:pPr>
      <w:r>
        <w:rPr>
          <w:rFonts w:ascii="Times New Roman" w:hAnsi="Times New Roman"/>
          <w:b w:val="0"/>
          <w:color w:val="111827"/>
          <w:sz w:val="22"/>
        </w:rPr>
        <w:t>3. $500 for worker-controlled cooperatives with annual gross receipts under $500,000;</w:t>
      </w:r>
    </w:p>
    <w:p>
      <w:pPr>
        <w:pStyle w:val="LegalNumber2"/>
      </w:pPr>
      <w:r>
        <w:rPr>
          <w:rFonts w:ascii="Times New Roman" w:hAnsi="Times New Roman"/>
          <w:b w:val="0"/>
          <w:color w:val="111827"/>
          <w:sz w:val="22"/>
        </w:rPr>
        <w:t>4. reduced or waived for small worker-controlled cooperatives upon hardship and safety compliance.</w:t>
      </w:r>
    </w:p>
    <w:p>
      <w:pPr>
        <w:pStyle w:val="LegalNumber"/>
      </w:pPr>
      <w:r>
        <w:rPr>
          <w:rFonts w:ascii="Times New Roman" w:hAnsi="Times New Roman"/>
          <w:b w:val="0"/>
          <w:color w:val="111827"/>
          <w:sz w:val="22"/>
        </w:rPr>
        <w:t>7. Annual license maintenance fees shall be tiered by gross receipts and shall not exceed:</w:t>
      </w:r>
    </w:p>
    <w:p>
      <w:pPr>
        <w:pStyle w:val="LegalNumber2"/>
      </w:pPr>
      <w:r>
        <w:rPr>
          <w:rFonts w:ascii="Times New Roman" w:hAnsi="Times New Roman"/>
          <w:b w:val="0"/>
          <w:color w:val="111827"/>
          <w:sz w:val="22"/>
        </w:rPr>
        <w:t>1. $500 for gross receipts under $250,000;</w:t>
      </w:r>
    </w:p>
    <w:p>
      <w:pPr>
        <w:pStyle w:val="LegalNumber2"/>
      </w:pPr>
      <w:r>
        <w:rPr>
          <w:rFonts w:ascii="Times New Roman" w:hAnsi="Times New Roman"/>
          <w:b w:val="0"/>
          <w:color w:val="111827"/>
          <w:sz w:val="22"/>
        </w:rPr>
        <w:t>2. $2,500 for gross receipts of $250,000 to $1,000,000;</w:t>
      </w:r>
    </w:p>
    <w:p>
      <w:pPr>
        <w:pStyle w:val="LegalNumber2"/>
      </w:pPr>
      <w:r>
        <w:rPr>
          <w:rFonts w:ascii="Times New Roman" w:hAnsi="Times New Roman"/>
          <w:b w:val="0"/>
          <w:color w:val="111827"/>
          <w:sz w:val="22"/>
        </w:rPr>
        <w:t>3. $7,500 for gross receipts of more than $1,000,000 and not more than $10,000,000;</w:t>
      </w:r>
    </w:p>
    <w:p>
      <w:pPr>
        <w:pStyle w:val="LegalNumber2"/>
      </w:pPr>
      <w:r>
        <w:rPr>
          <w:rFonts w:ascii="Times New Roman" w:hAnsi="Times New Roman"/>
          <w:b w:val="0"/>
          <w:color w:val="111827"/>
          <w:sz w:val="22"/>
        </w:rPr>
        <w:t>4. $25,000 for gross receipts over $10,000,000.</w:t>
      </w:r>
    </w:p>
    <w:p>
      <w:pPr>
        <w:pStyle w:val="LegalNumber"/>
      </w:pPr>
      <w:r>
        <w:rPr>
          <w:rFonts w:ascii="Times New Roman" w:hAnsi="Times New Roman"/>
          <w:b w:val="0"/>
          <w:color w:val="111827"/>
          <w:sz w:val="22"/>
        </w:rPr>
        <w:t>8. No operator shall pass licensing, inspection, safety equipment, sanitation, required training, or required legal-compliance fees to workers through deductions, quotas, desk fees, room fees, content fees, penalties, or disguised charges.</w:t>
      </w:r>
    </w:p>
    <w:p>
      <w:pPr>
        <w:spacing w:after="80"/>
      </w:pPr>
    </w:p>
    <w:p>
      <w:pPr>
        <w:pStyle w:val="SectionHeading"/>
      </w:pPr>
      <w:r>
        <w:rPr>
          <w:rFonts w:ascii="Arial" w:hAnsi="Arial"/>
          <w:b/>
          <w:color w:val="0B2545"/>
          <w:sz w:val="21"/>
        </w:rPr>
        <w:t>SECTION 303. Establishment permit.</w:t>
      </w:r>
    </w:p>
    <w:p>
      <w:pPr>
        <w:pStyle w:val="LegalNumber"/>
      </w:pPr>
      <w:r>
        <w:rPr>
          <w:rFonts w:ascii="Times New Roman" w:hAnsi="Times New Roman"/>
          <w:b w:val="0"/>
          <w:color w:val="111827"/>
          <w:sz w:val="22"/>
        </w:rPr>
        <w:t>1. Each adult intimate establishment shall hold an establishment permit in addition to an operator license.</w:t>
      </w:r>
    </w:p>
    <w:p>
      <w:pPr>
        <w:pStyle w:val="LegalNumber"/>
      </w:pPr>
      <w:r>
        <w:rPr>
          <w:rFonts w:ascii="Times New Roman" w:hAnsi="Times New Roman"/>
          <w:b w:val="0"/>
          <w:color w:val="111827"/>
          <w:sz w:val="22"/>
        </w:rPr>
        <w:t>2. A permit application shall include:</w:t>
      </w:r>
    </w:p>
    <w:p>
      <w:pPr>
        <w:pStyle w:val="LegalNumber2"/>
      </w:pPr>
      <w:r>
        <w:rPr>
          <w:rFonts w:ascii="Times New Roman" w:hAnsi="Times New Roman"/>
          <w:b w:val="0"/>
          <w:color w:val="111827"/>
          <w:sz w:val="22"/>
        </w:rPr>
        <w:t>1. site plan;</w:t>
      </w:r>
    </w:p>
    <w:p>
      <w:pPr>
        <w:pStyle w:val="LegalNumber2"/>
      </w:pPr>
      <w:r>
        <w:rPr>
          <w:rFonts w:ascii="Times New Roman" w:hAnsi="Times New Roman"/>
          <w:b w:val="0"/>
          <w:color w:val="111827"/>
          <w:sz w:val="22"/>
        </w:rPr>
        <w:t>2. floor plan;</w:t>
      </w:r>
    </w:p>
    <w:p>
      <w:pPr>
        <w:pStyle w:val="LegalNumber2"/>
      </w:pPr>
      <w:r>
        <w:rPr>
          <w:rFonts w:ascii="Times New Roman" w:hAnsi="Times New Roman"/>
          <w:b w:val="0"/>
          <w:color w:val="111827"/>
          <w:sz w:val="22"/>
        </w:rPr>
        <w:t>3. secure-entry plan;</w:t>
      </w:r>
    </w:p>
    <w:p>
      <w:pPr>
        <w:pStyle w:val="LegalNumber2"/>
      </w:pPr>
      <w:r>
        <w:rPr>
          <w:rFonts w:ascii="Times New Roman" w:hAnsi="Times New Roman"/>
          <w:b w:val="0"/>
          <w:color w:val="111827"/>
          <w:sz w:val="22"/>
        </w:rPr>
        <w:t>4. emergency-exit plan;</w:t>
      </w:r>
    </w:p>
    <w:p>
      <w:pPr>
        <w:pStyle w:val="LegalNumber2"/>
      </w:pPr>
      <w:r>
        <w:rPr>
          <w:rFonts w:ascii="Times New Roman" w:hAnsi="Times New Roman"/>
          <w:b w:val="0"/>
          <w:color w:val="111827"/>
          <w:sz w:val="22"/>
        </w:rPr>
        <w:t>5. sanitation plan;</w:t>
      </w:r>
    </w:p>
    <w:p>
      <w:pPr>
        <w:pStyle w:val="LegalNumber2"/>
      </w:pPr>
      <w:r>
        <w:rPr>
          <w:rFonts w:ascii="Times New Roman" w:hAnsi="Times New Roman"/>
          <w:b w:val="0"/>
          <w:color w:val="111827"/>
          <w:sz w:val="22"/>
        </w:rPr>
        <w:t>6. accessibility plan;</w:t>
      </w:r>
    </w:p>
    <w:p>
      <w:pPr>
        <w:pStyle w:val="LegalNumber2"/>
      </w:pPr>
      <w:r>
        <w:rPr>
          <w:rFonts w:ascii="Times New Roman" w:hAnsi="Times New Roman"/>
          <w:b w:val="0"/>
          <w:color w:val="111827"/>
          <w:sz w:val="22"/>
        </w:rPr>
        <w:t>7. panic-system plan;</w:t>
      </w:r>
    </w:p>
    <w:p>
      <w:pPr>
        <w:pStyle w:val="LegalNumber2"/>
      </w:pPr>
      <w:r>
        <w:rPr>
          <w:rFonts w:ascii="Times New Roman" w:hAnsi="Times New Roman"/>
          <w:b w:val="0"/>
          <w:color w:val="111827"/>
          <w:sz w:val="22"/>
        </w:rPr>
        <w:t>8. privacy plan;</w:t>
      </w:r>
    </w:p>
    <w:p>
      <w:pPr>
        <w:pStyle w:val="LegalNumber2"/>
      </w:pPr>
      <w:r>
        <w:rPr>
          <w:rFonts w:ascii="Times New Roman" w:hAnsi="Times New Roman"/>
          <w:b w:val="0"/>
          <w:color w:val="111827"/>
          <w:sz w:val="22"/>
        </w:rPr>
        <w:t>9. zoning certificate;</w:t>
      </w:r>
    </w:p>
    <w:p>
      <w:pPr>
        <w:pStyle w:val="LegalNumber2"/>
      </w:pPr>
      <w:r>
        <w:rPr>
          <w:rFonts w:ascii="Times New Roman" w:hAnsi="Times New Roman"/>
          <w:b w:val="0"/>
          <w:color w:val="111827"/>
          <w:sz w:val="22"/>
        </w:rPr>
        <w:t>10. community-impact statement;</w:t>
      </w:r>
    </w:p>
    <w:p>
      <w:pPr>
        <w:pStyle w:val="LegalNumber2"/>
      </w:pPr>
      <w:r>
        <w:rPr>
          <w:rFonts w:ascii="Times New Roman" w:hAnsi="Times New Roman"/>
          <w:b w:val="0"/>
          <w:color w:val="111827"/>
          <w:sz w:val="22"/>
        </w:rPr>
        <w:t>11. maximum occupancy;</w:t>
      </w:r>
    </w:p>
    <w:p>
      <w:pPr>
        <w:pStyle w:val="LegalNumber2"/>
      </w:pPr>
      <w:r>
        <w:rPr>
          <w:rFonts w:ascii="Times New Roman" w:hAnsi="Times New Roman"/>
          <w:b w:val="0"/>
          <w:color w:val="111827"/>
          <w:sz w:val="22"/>
        </w:rPr>
        <w:t>12. security staffing plan;</w:t>
      </w:r>
    </w:p>
    <w:p>
      <w:pPr>
        <w:pStyle w:val="LegalNumber2"/>
      </w:pPr>
      <w:r>
        <w:rPr>
          <w:rFonts w:ascii="Times New Roman" w:hAnsi="Times New Roman"/>
          <w:b w:val="0"/>
          <w:color w:val="111827"/>
          <w:sz w:val="22"/>
        </w:rPr>
        <w:t>13. proof of fire, building, health, and occupational-safety compliance.</w:t>
      </w:r>
    </w:p>
    <w:p>
      <w:pPr>
        <w:pStyle w:val="LegalNumber"/>
      </w:pPr>
      <w:r>
        <w:rPr>
          <w:rFonts w:ascii="Times New Roman" w:hAnsi="Times New Roman"/>
          <w:b w:val="0"/>
          <w:color w:val="111827"/>
          <w:sz w:val="22"/>
        </w:rPr>
        <w:t>3. Establishments shall maintain:</w:t>
      </w:r>
    </w:p>
    <w:p>
      <w:pPr>
        <w:pStyle w:val="LegalNumber2"/>
      </w:pPr>
      <w:r>
        <w:rPr>
          <w:rFonts w:ascii="Times New Roman" w:hAnsi="Times New Roman"/>
          <w:b w:val="0"/>
          <w:color w:val="111827"/>
          <w:sz w:val="22"/>
        </w:rPr>
        <w:t>1. panic buttons or worker-controlled emergency alerts in every service room;</w:t>
      </w:r>
    </w:p>
    <w:p>
      <w:pPr>
        <w:pStyle w:val="LegalNumber2"/>
      </w:pPr>
      <w:r>
        <w:rPr>
          <w:rFonts w:ascii="Times New Roman" w:hAnsi="Times New Roman"/>
          <w:b w:val="0"/>
          <w:color w:val="111827"/>
          <w:sz w:val="22"/>
        </w:rPr>
        <w:t>2. secure exits that workers may use without management permission;</w:t>
      </w:r>
    </w:p>
    <w:p>
      <w:pPr>
        <w:pStyle w:val="LegalNumber2"/>
      </w:pPr>
      <w:r>
        <w:rPr>
          <w:rFonts w:ascii="Times New Roman" w:hAnsi="Times New Roman"/>
          <w:b w:val="0"/>
          <w:color w:val="111827"/>
          <w:sz w:val="22"/>
        </w:rPr>
        <w:t>3. clean linens and sanitation supplies;</w:t>
      </w:r>
    </w:p>
    <w:p>
      <w:pPr>
        <w:pStyle w:val="LegalNumber2"/>
      </w:pPr>
      <w:r>
        <w:rPr>
          <w:rFonts w:ascii="Times New Roman" w:hAnsi="Times New Roman"/>
          <w:b w:val="0"/>
          <w:color w:val="111827"/>
          <w:sz w:val="22"/>
        </w:rPr>
        <w:t>4. showers or hygiene facilities with hot and cold water when services create foreseeable hygiene needs;</w:t>
      </w:r>
    </w:p>
    <w:p>
      <w:pPr>
        <w:pStyle w:val="LegalNumber2"/>
      </w:pPr>
      <w:r>
        <w:rPr>
          <w:rFonts w:ascii="Times New Roman" w:hAnsi="Times New Roman"/>
          <w:b w:val="0"/>
          <w:color w:val="111827"/>
          <w:sz w:val="22"/>
        </w:rPr>
        <w:t>5. barrier-protection supplies at no cost to workers or clients when relevant to health protocols;</w:t>
      </w:r>
    </w:p>
    <w:p>
      <w:pPr>
        <w:pStyle w:val="LegalNumber2"/>
      </w:pPr>
      <w:r>
        <w:rPr>
          <w:rFonts w:ascii="Times New Roman" w:hAnsi="Times New Roman"/>
          <w:b w:val="0"/>
          <w:color w:val="111827"/>
          <w:sz w:val="22"/>
        </w:rPr>
        <w:t>6. private changing and rest areas for workers;</w:t>
      </w:r>
    </w:p>
    <w:p>
      <w:pPr>
        <w:pStyle w:val="LegalNumber2"/>
      </w:pPr>
      <w:r>
        <w:rPr>
          <w:rFonts w:ascii="Times New Roman" w:hAnsi="Times New Roman"/>
          <w:b w:val="0"/>
          <w:color w:val="111827"/>
          <w:sz w:val="22"/>
        </w:rPr>
        <w:t>7. visible notices of worker rights, client responsibilities, emergency contacts, support services, and complaint channels;</w:t>
      </w:r>
    </w:p>
    <w:p>
      <w:pPr>
        <w:pStyle w:val="LegalNumber2"/>
      </w:pPr>
      <w:r>
        <w:rPr>
          <w:rFonts w:ascii="Times New Roman" w:hAnsi="Times New Roman"/>
          <w:b w:val="0"/>
          <w:color w:val="111827"/>
          <w:sz w:val="22"/>
        </w:rPr>
        <w:t>8. secure storage for personal property;</w:t>
      </w:r>
    </w:p>
    <w:p>
      <w:pPr>
        <w:pStyle w:val="LegalNumber2"/>
      </w:pPr>
      <w:r>
        <w:rPr>
          <w:rFonts w:ascii="Times New Roman" w:hAnsi="Times New Roman"/>
          <w:b w:val="0"/>
          <w:color w:val="111827"/>
          <w:sz w:val="22"/>
        </w:rPr>
        <w:t>9. adequate lighting in entries, exits, hallways, and parking areas;</w:t>
      </w:r>
    </w:p>
    <w:p>
      <w:pPr>
        <w:pStyle w:val="LegalNumber2"/>
      </w:pPr>
      <w:r>
        <w:rPr>
          <w:rFonts w:ascii="Times New Roman" w:hAnsi="Times New Roman"/>
          <w:b w:val="0"/>
          <w:color w:val="111827"/>
          <w:sz w:val="22"/>
        </w:rPr>
        <w:t>10. accessibility accommodations required by law.</w:t>
      </w:r>
    </w:p>
    <w:p>
      <w:pPr>
        <w:pStyle w:val="LegalNumber"/>
      </w:pPr>
      <w:r>
        <w:rPr>
          <w:rFonts w:ascii="Times New Roman" w:hAnsi="Times New Roman"/>
          <w:b w:val="0"/>
          <w:color w:val="111827"/>
          <w:sz w:val="22"/>
        </w:rPr>
        <w:t>4. Cameras may be used only in common areas, entries, exits, payment areas, parking areas, and exterior areas for safety. Cameras, audio recording, hidden devices, or live monitoring are prohibited in service rooms, bathrooms, showers, changing areas, rest areas, medical rooms, and any area where a person reasonably expects intimate privacy.</w:t>
      </w:r>
    </w:p>
    <w:p>
      <w:pPr>
        <w:pStyle w:val="LegalNumber"/>
      </w:pPr>
      <w:r>
        <w:rPr>
          <w:rFonts w:ascii="Times New Roman" w:hAnsi="Times New Roman"/>
          <w:b w:val="0"/>
          <w:color w:val="111827"/>
          <w:sz w:val="22"/>
        </w:rPr>
        <w:t>5. Inspections may occur during business hours upon reasonable notice, except that the Commission may conduct an unannounced inspection upon articulable evidence of imminent safety risk, trafficking, coercion, exploitation of a minor, severe sanitation hazard, or serious labor violation.</w:t>
      </w:r>
    </w:p>
    <w:p>
      <w:pPr>
        <w:pStyle w:val="LegalNumber"/>
      </w:pPr>
      <w:r>
        <w:rPr>
          <w:rFonts w:ascii="Times New Roman" w:hAnsi="Times New Roman"/>
          <w:b w:val="0"/>
          <w:color w:val="111827"/>
          <w:sz w:val="22"/>
        </w:rPr>
        <w:t>6. Inspectors shall not interrupt an intimate service, enter a service room during an encounter except for emergency safety, demand disclosure of client or worker identity without legal authority, photograph intimate areas, seize condoms or health supplies as evidence of wrongdoing, or disclose private participation in lawful adult intimate work.</w:t>
      </w:r>
    </w:p>
    <w:p>
      <w:pPr>
        <w:spacing w:after="80"/>
      </w:pPr>
    </w:p>
    <w:p>
      <w:pPr>
        <w:pStyle w:val="SectionHeading"/>
      </w:pPr>
      <w:r>
        <w:rPr>
          <w:rFonts w:ascii="Arial" w:hAnsi="Arial"/>
          <w:b/>
          <w:color w:val="0B2545"/>
          <w:sz w:val="21"/>
        </w:rPr>
        <w:t>SECTION 304. Agency license.</w:t>
      </w:r>
    </w:p>
    <w:p>
      <w:pPr>
        <w:pStyle w:val="LegalNumber"/>
      </w:pPr>
      <w:r>
        <w:rPr>
          <w:rFonts w:ascii="Times New Roman" w:hAnsi="Times New Roman"/>
          <w:b w:val="0"/>
          <w:color w:val="111827"/>
          <w:sz w:val="22"/>
        </w:rPr>
        <w:t>1. An agency shall obtain an agency license.</w:t>
      </w:r>
    </w:p>
    <w:p>
      <w:pPr>
        <w:pStyle w:val="LegalNumber"/>
      </w:pPr>
      <w:r>
        <w:rPr>
          <w:rFonts w:ascii="Times New Roman" w:hAnsi="Times New Roman"/>
          <w:b w:val="0"/>
          <w:color w:val="111827"/>
          <w:sz w:val="22"/>
        </w:rPr>
        <w:t>2. An agency shall:</w:t>
      </w:r>
    </w:p>
    <w:p>
      <w:pPr>
        <w:pStyle w:val="LegalNumber2"/>
      </w:pPr>
      <w:r>
        <w:rPr>
          <w:rFonts w:ascii="Times New Roman" w:hAnsi="Times New Roman"/>
          <w:b w:val="0"/>
          <w:color w:val="111827"/>
          <w:sz w:val="22"/>
        </w:rPr>
        <w:t>1. use written agreements with workers;</w:t>
      </w:r>
    </w:p>
    <w:p>
      <w:pPr>
        <w:pStyle w:val="LegalNumber2"/>
      </w:pPr>
      <w:r>
        <w:rPr>
          <w:rFonts w:ascii="Times New Roman" w:hAnsi="Times New Roman"/>
          <w:b w:val="0"/>
          <w:color w:val="111827"/>
          <w:sz w:val="22"/>
        </w:rPr>
        <w:t>2. disclose all fees, commissions, cancellation policies, safety procedures, and payment timing;</w:t>
      </w:r>
    </w:p>
    <w:p>
      <w:pPr>
        <w:pStyle w:val="LegalNumber2"/>
      </w:pPr>
      <w:r>
        <w:rPr>
          <w:rFonts w:ascii="Times New Roman" w:hAnsi="Times New Roman"/>
          <w:b w:val="0"/>
          <w:color w:val="111827"/>
          <w:sz w:val="22"/>
        </w:rPr>
        <w:t>3. permit workers to reject any client, service, location, schedule, or assignment without penalty;</w:t>
      </w:r>
    </w:p>
    <w:p>
      <w:pPr>
        <w:pStyle w:val="LegalNumber2"/>
      </w:pPr>
      <w:r>
        <w:rPr>
          <w:rFonts w:ascii="Times New Roman" w:hAnsi="Times New Roman"/>
          <w:b w:val="0"/>
          <w:color w:val="111827"/>
          <w:sz w:val="22"/>
        </w:rPr>
        <w:t>4. screen clients through privacy-protective age and safety protocols;</w:t>
      </w:r>
    </w:p>
    <w:p>
      <w:pPr>
        <w:pStyle w:val="LegalNumber2"/>
      </w:pPr>
      <w:r>
        <w:rPr>
          <w:rFonts w:ascii="Times New Roman" w:hAnsi="Times New Roman"/>
          <w:b w:val="0"/>
          <w:color w:val="111827"/>
          <w:sz w:val="22"/>
        </w:rPr>
        <w:t>5. provide check-in and emergency response systems;</w:t>
      </w:r>
    </w:p>
    <w:p>
      <w:pPr>
        <w:pStyle w:val="LegalNumber2"/>
      </w:pPr>
      <w:r>
        <w:rPr>
          <w:rFonts w:ascii="Times New Roman" w:hAnsi="Times New Roman"/>
          <w:b w:val="0"/>
          <w:color w:val="111827"/>
          <w:sz w:val="22"/>
        </w:rPr>
        <w:t>6. maintain transparent payment records;</w:t>
      </w:r>
    </w:p>
    <w:p>
      <w:pPr>
        <w:pStyle w:val="LegalNumber2"/>
      </w:pPr>
      <w:r>
        <w:rPr>
          <w:rFonts w:ascii="Times New Roman" w:hAnsi="Times New Roman"/>
          <w:b w:val="0"/>
          <w:color w:val="111827"/>
          <w:sz w:val="22"/>
        </w:rPr>
        <w:t>7. prohibit noncompete clauses, exclusivity clauses exceeding 30 days, debt obligations, quotas, and document control;</w:t>
      </w:r>
    </w:p>
    <w:p>
      <w:pPr>
        <w:pStyle w:val="LegalNumber2"/>
      </w:pPr>
      <w:r>
        <w:rPr>
          <w:rFonts w:ascii="Times New Roman" w:hAnsi="Times New Roman"/>
          <w:b w:val="0"/>
          <w:color w:val="111827"/>
          <w:sz w:val="22"/>
        </w:rPr>
        <w:t>8. provide a complaint channel independent of the person managing bookings;</w:t>
      </w:r>
    </w:p>
    <w:p>
      <w:pPr>
        <w:pStyle w:val="LegalNumber2"/>
      </w:pPr>
      <w:r>
        <w:rPr>
          <w:rFonts w:ascii="Times New Roman" w:hAnsi="Times New Roman"/>
          <w:b w:val="0"/>
          <w:color w:val="111827"/>
          <w:sz w:val="22"/>
        </w:rPr>
        <w:t>9. comply with all anti-harassment, anti-discrimination, health, safety, and privacy rules.</w:t>
      </w:r>
    </w:p>
    <w:p>
      <w:pPr>
        <w:pStyle w:val="LegalNumber"/>
      </w:pPr>
      <w:r>
        <w:rPr>
          <w:rFonts w:ascii="Times New Roman" w:hAnsi="Times New Roman"/>
          <w:b w:val="0"/>
          <w:color w:val="111827"/>
          <w:sz w:val="22"/>
        </w:rPr>
        <w:t>3. An agency shall not hold itself out as selling a worker’s consent, access to a worker’s body, a guaranteed service, or any service outside the worker’s specific consent.</w:t>
      </w:r>
    </w:p>
    <w:p>
      <w:pPr>
        <w:spacing w:after="80"/>
      </w:pPr>
    </w:p>
    <w:p>
      <w:pPr>
        <w:pStyle w:val="SectionHeading"/>
      </w:pPr>
      <w:r>
        <w:rPr>
          <w:rFonts w:ascii="Arial" w:hAnsi="Arial"/>
          <w:b/>
          <w:color w:val="0B2545"/>
          <w:sz w:val="21"/>
        </w:rPr>
        <w:t>SECTION 305. Covered platform and content distributor certification.</w:t>
      </w:r>
    </w:p>
    <w:p>
      <w:pPr>
        <w:pStyle w:val="LegalNumber"/>
      </w:pPr>
      <w:r>
        <w:rPr>
          <w:rFonts w:ascii="Times New Roman" w:hAnsi="Times New Roman"/>
          <w:b w:val="0"/>
          <w:color w:val="111827"/>
          <w:sz w:val="22"/>
        </w:rPr>
        <w:t>1. A covered platform or content distributor doing business in this State shall obtain certification from the Commission.</w:t>
      </w:r>
    </w:p>
    <w:p>
      <w:pPr>
        <w:pStyle w:val="LegalNumber"/>
      </w:pPr>
      <w:r>
        <w:rPr>
          <w:rFonts w:ascii="Times New Roman" w:hAnsi="Times New Roman"/>
          <w:b w:val="0"/>
          <w:color w:val="111827"/>
          <w:sz w:val="22"/>
        </w:rPr>
        <w:t>2. A certified covered platform shall:</w:t>
      </w:r>
    </w:p>
    <w:p>
      <w:pPr>
        <w:pStyle w:val="LegalNumber2"/>
      </w:pPr>
      <w:r>
        <w:rPr>
          <w:rFonts w:ascii="Times New Roman" w:hAnsi="Times New Roman"/>
          <w:b w:val="0"/>
          <w:color w:val="111827"/>
          <w:sz w:val="22"/>
        </w:rPr>
        <w:t>1. verify that advertisers and depicted performers are adults;</w:t>
      </w:r>
    </w:p>
    <w:p>
      <w:pPr>
        <w:pStyle w:val="LegalNumber2"/>
      </w:pPr>
      <w:r>
        <w:rPr>
          <w:rFonts w:ascii="Times New Roman" w:hAnsi="Times New Roman"/>
          <w:b w:val="0"/>
          <w:color w:val="111827"/>
          <w:sz w:val="22"/>
        </w:rPr>
        <w:t>2. verify that advertisements and content are authorized by the person whose services, image, likeness, voice, biometric data, or intimate content is used;</w:t>
      </w:r>
    </w:p>
    <w:p>
      <w:pPr>
        <w:pStyle w:val="LegalNumber2"/>
      </w:pPr>
      <w:r>
        <w:rPr>
          <w:rFonts w:ascii="Times New Roman" w:hAnsi="Times New Roman"/>
          <w:b w:val="0"/>
          <w:color w:val="111827"/>
          <w:sz w:val="22"/>
        </w:rPr>
        <w:t>3. provide a privacy-protective method for age verification of users where required by law;</w:t>
      </w:r>
    </w:p>
    <w:p>
      <w:pPr>
        <w:pStyle w:val="LegalNumber2"/>
      </w:pPr>
      <w:r>
        <w:rPr>
          <w:rFonts w:ascii="Times New Roman" w:hAnsi="Times New Roman"/>
          <w:b w:val="0"/>
          <w:color w:val="111827"/>
          <w:sz w:val="22"/>
        </w:rPr>
        <w:t>4. provide a conspicuous abuse, trafficking, nonconsensual-content, and impersonation reporting mechanism;</w:t>
      </w:r>
    </w:p>
    <w:p>
      <w:pPr>
        <w:pStyle w:val="LegalNumber2"/>
      </w:pPr>
      <w:r>
        <w:rPr>
          <w:rFonts w:ascii="Times New Roman" w:hAnsi="Times New Roman"/>
          <w:b w:val="0"/>
          <w:color w:val="111827"/>
          <w:sz w:val="22"/>
        </w:rPr>
        <w:t>5. remove unlawful advertisements, unlawful offers, and nonconsensual intimate content as required by this Act;</w:t>
      </w:r>
    </w:p>
    <w:p>
      <w:pPr>
        <w:pStyle w:val="LegalNumber2"/>
      </w:pPr>
      <w:r>
        <w:rPr>
          <w:rFonts w:ascii="Times New Roman" w:hAnsi="Times New Roman"/>
          <w:b w:val="0"/>
          <w:color w:val="111827"/>
          <w:sz w:val="22"/>
        </w:rPr>
        <w:t>6. preserve evidence when requested by a survivor, court, or law enforcement with lawful process;</w:t>
      </w:r>
    </w:p>
    <w:p>
      <w:pPr>
        <w:pStyle w:val="LegalNumber2"/>
      </w:pPr>
      <w:r>
        <w:rPr>
          <w:rFonts w:ascii="Times New Roman" w:hAnsi="Times New Roman"/>
          <w:b w:val="0"/>
          <w:color w:val="111827"/>
          <w:sz w:val="22"/>
        </w:rPr>
        <w:t>7. train moderation and trust-and-safety staff on trafficking indicators, coercion indicators, minor-safety indicators, consent verification, and privacy;</w:t>
      </w:r>
    </w:p>
    <w:p>
      <w:pPr>
        <w:pStyle w:val="LegalNumber2"/>
      </w:pPr>
      <w:r>
        <w:rPr>
          <w:rFonts w:ascii="Times New Roman" w:hAnsi="Times New Roman"/>
          <w:b w:val="0"/>
          <w:color w:val="111827"/>
          <w:sz w:val="22"/>
        </w:rPr>
        <w:t>8. maintain contact points for the Commission, law enforcement, and designated victim-support organizations;</w:t>
      </w:r>
    </w:p>
    <w:p>
      <w:pPr>
        <w:pStyle w:val="LegalNumber2"/>
      </w:pPr>
      <w:r>
        <w:rPr>
          <w:rFonts w:ascii="Times New Roman" w:hAnsi="Times New Roman"/>
          <w:b w:val="0"/>
          <w:color w:val="111827"/>
          <w:sz w:val="22"/>
        </w:rPr>
        <w:t>9. publish transparency reports;</w:t>
      </w:r>
    </w:p>
    <w:p>
      <w:pPr>
        <w:pStyle w:val="LegalNumber2"/>
      </w:pPr>
      <w:r>
        <w:rPr>
          <w:rFonts w:ascii="Times New Roman" w:hAnsi="Times New Roman"/>
          <w:b w:val="0"/>
          <w:color w:val="111827"/>
          <w:sz w:val="22"/>
        </w:rPr>
        <w:t>10. comply with data minimization, retention, security, and breach-notice requirements.</w:t>
      </w:r>
    </w:p>
    <w:p>
      <w:pPr>
        <w:pStyle w:val="LegalNumber"/>
      </w:pPr>
      <w:r>
        <w:rPr>
          <w:rFonts w:ascii="Times New Roman" w:hAnsi="Times New Roman"/>
          <w:b w:val="0"/>
          <w:color w:val="111827"/>
          <w:sz w:val="22"/>
        </w:rPr>
        <w:t>3. A covered platform shall not knowingly:</w:t>
      </w:r>
    </w:p>
    <w:p>
      <w:pPr>
        <w:pStyle w:val="LegalNumber2"/>
      </w:pPr>
      <w:r>
        <w:rPr>
          <w:rFonts w:ascii="Times New Roman" w:hAnsi="Times New Roman"/>
          <w:b w:val="0"/>
          <w:color w:val="111827"/>
          <w:sz w:val="22"/>
        </w:rPr>
        <w:t>1. host or monetize content involving a minor;</w:t>
      </w:r>
    </w:p>
    <w:p>
      <w:pPr>
        <w:pStyle w:val="LegalNumber2"/>
      </w:pPr>
      <w:r>
        <w:rPr>
          <w:rFonts w:ascii="Times New Roman" w:hAnsi="Times New Roman"/>
          <w:b w:val="0"/>
          <w:color w:val="111827"/>
          <w:sz w:val="22"/>
        </w:rPr>
        <w:t>2. host or monetize content lacking required consent;</w:t>
      </w:r>
    </w:p>
    <w:p>
      <w:pPr>
        <w:pStyle w:val="LegalNumber2"/>
      </w:pPr>
      <w:r>
        <w:rPr>
          <w:rFonts w:ascii="Times New Roman" w:hAnsi="Times New Roman"/>
          <w:b w:val="0"/>
          <w:color w:val="111827"/>
          <w:sz w:val="22"/>
        </w:rPr>
        <w:t>3. permit impersonation of a worker or client;</w:t>
      </w:r>
    </w:p>
    <w:p>
      <w:pPr>
        <w:pStyle w:val="LegalNumber2"/>
      </w:pPr>
      <w:r>
        <w:rPr>
          <w:rFonts w:ascii="Times New Roman" w:hAnsi="Times New Roman"/>
          <w:b w:val="0"/>
          <w:color w:val="111827"/>
          <w:sz w:val="22"/>
        </w:rPr>
        <w:t>4. permit advertisements for coerced or trafficked services;</w:t>
      </w:r>
    </w:p>
    <w:p>
      <w:pPr>
        <w:pStyle w:val="LegalNumber2"/>
      </w:pPr>
      <w:r>
        <w:rPr>
          <w:rFonts w:ascii="Times New Roman" w:hAnsi="Times New Roman"/>
          <w:b w:val="0"/>
          <w:color w:val="111827"/>
          <w:sz w:val="22"/>
        </w:rPr>
        <w:t>5. sell worker or client location data;</w:t>
      </w:r>
    </w:p>
    <w:p>
      <w:pPr>
        <w:pStyle w:val="LegalNumber2"/>
      </w:pPr>
      <w:r>
        <w:rPr>
          <w:rFonts w:ascii="Times New Roman" w:hAnsi="Times New Roman"/>
          <w:b w:val="0"/>
          <w:color w:val="111827"/>
          <w:sz w:val="22"/>
        </w:rPr>
        <w:t>6. use biometric data for advertising, profiling, or unrelated identity matching;</w:t>
      </w:r>
    </w:p>
    <w:p>
      <w:pPr>
        <w:pStyle w:val="LegalNumber2"/>
      </w:pPr>
      <w:r>
        <w:rPr>
          <w:rFonts w:ascii="Times New Roman" w:hAnsi="Times New Roman"/>
          <w:b w:val="0"/>
          <w:color w:val="111827"/>
          <w:sz w:val="22"/>
        </w:rPr>
        <w:t>7. retaliate against a person for reporting abuse;</w:t>
      </w:r>
    </w:p>
    <w:p>
      <w:pPr>
        <w:pStyle w:val="LegalNumber2"/>
      </w:pPr>
      <w:r>
        <w:rPr>
          <w:rFonts w:ascii="Times New Roman" w:hAnsi="Times New Roman"/>
          <w:b w:val="0"/>
          <w:color w:val="111827"/>
          <w:sz w:val="22"/>
        </w:rPr>
        <w:t>8. suppress reports by designated victim-support organizations.</w:t>
      </w:r>
    </w:p>
    <w:p>
      <w:pPr>
        <w:pStyle w:val="LegalNumber"/>
      </w:pPr>
      <w:r>
        <w:rPr>
          <w:rFonts w:ascii="Times New Roman" w:hAnsi="Times New Roman"/>
          <w:b w:val="0"/>
          <w:color w:val="111827"/>
          <w:sz w:val="22"/>
        </w:rPr>
        <w:t>4. Nothing in this section shall be construed to impose liability on an interactive computer service in a manner preempted by federal law. This section regulates a platform’s own licensing status, commercial practices, verification duties, notice-and-action procedures, recordkeeping, privacy practices, and actual-knowledge response obligations.</w:t>
      </w:r>
    </w:p>
    <w:p>
      <w:pPr>
        <w:spacing w:after="80"/>
      </w:pPr>
    </w:p>
    <w:p>
      <w:pPr>
        <w:pStyle w:val="SectionHeading"/>
      </w:pPr>
      <w:r>
        <w:rPr>
          <w:rFonts w:ascii="Arial" w:hAnsi="Arial"/>
          <w:b/>
          <w:color w:val="0B2545"/>
          <w:sz w:val="21"/>
        </w:rPr>
        <w:t>SECTION 306. Anti-money-laundering and ownership transparency.</w:t>
      </w:r>
    </w:p>
    <w:p>
      <w:pPr>
        <w:pStyle w:val="LegalNumber"/>
      </w:pPr>
      <w:r>
        <w:rPr>
          <w:rFonts w:ascii="Times New Roman" w:hAnsi="Times New Roman"/>
          <w:b w:val="0"/>
          <w:color w:val="111827"/>
          <w:sz w:val="22"/>
        </w:rPr>
        <w:t>1. Operators shall maintain accurate books and records, including gross receipts, payment flows, owner distributions, management fees, commissions, worker compensation, taxes, and large cash transactions.</w:t>
      </w:r>
    </w:p>
    <w:p>
      <w:pPr>
        <w:pStyle w:val="LegalNumber"/>
      </w:pPr>
      <w:r>
        <w:rPr>
          <w:rFonts w:ascii="Times New Roman" w:hAnsi="Times New Roman"/>
          <w:b w:val="0"/>
          <w:color w:val="111827"/>
          <w:sz w:val="22"/>
        </w:rPr>
        <w:t>2. An operator shall not:</w:t>
      </w:r>
    </w:p>
    <w:p>
      <w:pPr>
        <w:pStyle w:val="LegalNumber2"/>
      </w:pPr>
      <w:r>
        <w:rPr>
          <w:rFonts w:ascii="Times New Roman" w:hAnsi="Times New Roman"/>
          <w:b w:val="0"/>
          <w:color w:val="111827"/>
          <w:sz w:val="22"/>
        </w:rPr>
        <w:t>1. use nominee ownership to conceal a disqualified person;</w:t>
      </w:r>
    </w:p>
    <w:p>
      <w:pPr>
        <w:pStyle w:val="LegalNumber2"/>
      </w:pPr>
      <w:r>
        <w:rPr>
          <w:rFonts w:ascii="Times New Roman" w:hAnsi="Times New Roman"/>
          <w:b w:val="0"/>
          <w:color w:val="111827"/>
          <w:sz w:val="22"/>
        </w:rPr>
        <w:t>2. commingle worker earnings with unrelated accounts;</w:t>
      </w:r>
    </w:p>
    <w:p>
      <w:pPr>
        <w:pStyle w:val="LegalNumber2"/>
      </w:pPr>
      <w:r>
        <w:rPr>
          <w:rFonts w:ascii="Times New Roman" w:hAnsi="Times New Roman"/>
          <w:b w:val="0"/>
          <w:color w:val="111827"/>
          <w:sz w:val="22"/>
        </w:rPr>
        <w:t>3. pay wages or compensation through coercive debt ledgers;</w:t>
      </w:r>
    </w:p>
    <w:p>
      <w:pPr>
        <w:pStyle w:val="LegalNumber2"/>
      </w:pPr>
      <w:r>
        <w:rPr>
          <w:rFonts w:ascii="Times New Roman" w:hAnsi="Times New Roman"/>
          <w:b w:val="0"/>
          <w:color w:val="111827"/>
          <w:sz w:val="22"/>
        </w:rPr>
        <w:t>4. use shell companies to evade taxes, licensing, labor law, or victim restitution;</w:t>
      </w:r>
    </w:p>
    <w:p>
      <w:pPr>
        <w:pStyle w:val="LegalNumber2"/>
      </w:pPr>
      <w:r>
        <w:rPr>
          <w:rFonts w:ascii="Times New Roman" w:hAnsi="Times New Roman"/>
          <w:b w:val="0"/>
          <w:color w:val="111827"/>
          <w:sz w:val="22"/>
        </w:rPr>
        <w:t>5. structure transactions to avoid reporting;</w:t>
      </w:r>
    </w:p>
    <w:p>
      <w:pPr>
        <w:pStyle w:val="LegalNumber2"/>
      </w:pPr>
      <w:r>
        <w:rPr>
          <w:rFonts w:ascii="Times New Roman" w:hAnsi="Times New Roman"/>
          <w:b w:val="0"/>
          <w:color w:val="111827"/>
          <w:sz w:val="22"/>
        </w:rPr>
        <w:t>6. accept investment from funds known to derive from trafficking, exploitation, violence, extortion, illegal gambling, controlled-substance trafficking, or money laundering.</w:t>
      </w:r>
    </w:p>
    <w:p>
      <w:pPr>
        <w:pStyle w:val="LegalNumber"/>
      </w:pPr>
      <w:r>
        <w:rPr>
          <w:rFonts w:ascii="Times New Roman" w:hAnsi="Times New Roman"/>
          <w:b w:val="0"/>
          <w:color w:val="111827"/>
          <w:sz w:val="22"/>
        </w:rPr>
        <w:t>3. Cash transactions exceeding $3,000 in one business day shall be recorded in a secure internal ledger containing date, amount, payer identifier, payee identifier, and business purpose. Such records shall be confidential and accessible only to tax authorities, the Commission, or law enforcement pursuant to lawful process.</w:t>
      </w:r>
    </w:p>
    <w:p>
      <w:pPr>
        <w:pStyle w:val="LegalNumber"/>
      </w:pPr>
      <w:r>
        <w:rPr>
          <w:rFonts w:ascii="Times New Roman" w:hAnsi="Times New Roman"/>
          <w:b w:val="0"/>
          <w:color w:val="111827"/>
          <w:sz w:val="22"/>
        </w:rPr>
        <w:t>4. Operators with annual gross receipts exceeding $5,000,000 shall obtain an annual independent financial compliance review.</w:t>
      </w:r>
    </w:p>
    <w:p>
      <w:pPr>
        <w:spacing w:after="80"/>
      </w:pPr>
    </w:p>
    <w:p>
      <w:pPr>
        <w:pStyle w:val="SectionHeading"/>
      </w:pPr>
      <w:r>
        <w:rPr>
          <w:rFonts w:ascii="Arial" w:hAnsi="Arial"/>
          <w:b/>
          <w:color w:val="0B2545"/>
          <w:sz w:val="21"/>
        </w:rPr>
        <w:t>SECTION 307. License discipline.</w:t>
      </w:r>
    </w:p>
    <w:p>
      <w:pPr>
        <w:pStyle w:val="LegalNumber"/>
      </w:pPr>
      <w:r>
        <w:rPr>
          <w:rFonts w:ascii="Times New Roman" w:hAnsi="Times New Roman"/>
          <w:b w:val="0"/>
          <w:color w:val="111827"/>
          <w:sz w:val="22"/>
        </w:rPr>
        <w:t>1. The Commission may issue a notice of violation, compliance order, civil penalty, license condition, suspension, emergency suspension, or revocation.</w:t>
      </w:r>
    </w:p>
    <w:p>
      <w:pPr>
        <w:pStyle w:val="LegalNumber"/>
      </w:pPr>
      <w:r>
        <w:rPr>
          <w:rFonts w:ascii="Times New Roman" w:hAnsi="Times New Roman"/>
          <w:b w:val="0"/>
          <w:color w:val="111827"/>
          <w:sz w:val="22"/>
        </w:rPr>
        <w:t>2. Grounds include:</w:t>
      </w:r>
    </w:p>
    <w:p>
      <w:pPr>
        <w:pStyle w:val="LegalNumber2"/>
      </w:pPr>
      <w:r>
        <w:rPr>
          <w:rFonts w:ascii="Times New Roman" w:hAnsi="Times New Roman"/>
          <w:b w:val="0"/>
          <w:color w:val="111827"/>
          <w:sz w:val="22"/>
        </w:rPr>
        <w:t>1. trafficking, coercion, sexual assault, exploitation of a minor, retaliation, or knowing nonconsensual content distribution;</w:t>
      </w:r>
    </w:p>
    <w:p>
      <w:pPr>
        <w:pStyle w:val="LegalNumber2"/>
      </w:pPr>
      <w:r>
        <w:rPr>
          <w:rFonts w:ascii="Times New Roman" w:hAnsi="Times New Roman"/>
          <w:b w:val="0"/>
          <w:color w:val="111827"/>
          <w:sz w:val="22"/>
        </w:rPr>
        <w:t>2. repeated failure to maintain safety standards;</w:t>
      </w:r>
    </w:p>
    <w:p>
      <w:pPr>
        <w:pStyle w:val="LegalNumber2"/>
      </w:pPr>
      <w:r>
        <w:rPr>
          <w:rFonts w:ascii="Times New Roman" w:hAnsi="Times New Roman"/>
          <w:b w:val="0"/>
          <w:color w:val="111827"/>
          <w:sz w:val="22"/>
        </w:rPr>
        <w:t>3. wage theft or unlawful deductions;</w:t>
      </w:r>
    </w:p>
    <w:p>
      <w:pPr>
        <w:pStyle w:val="LegalNumber2"/>
      </w:pPr>
      <w:r>
        <w:rPr>
          <w:rFonts w:ascii="Times New Roman" w:hAnsi="Times New Roman"/>
          <w:b w:val="0"/>
          <w:color w:val="111827"/>
          <w:sz w:val="22"/>
        </w:rPr>
        <w:t>4. unlawful surveillance;</w:t>
      </w:r>
    </w:p>
    <w:p>
      <w:pPr>
        <w:pStyle w:val="LegalNumber2"/>
      </w:pPr>
      <w:r>
        <w:rPr>
          <w:rFonts w:ascii="Times New Roman" w:hAnsi="Times New Roman"/>
          <w:b w:val="0"/>
          <w:color w:val="111827"/>
          <w:sz w:val="22"/>
        </w:rPr>
        <w:t>5. unlawful disclosure of identity or data;</w:t>
      </w:r>
    </w:p>
    <w:p>
      <w:pPr>
        <w:pStyle w:val="LegalNumber2"/>
      </w:pPr>
      <w:r>
        <w:rPr>
          <w:rFonts w:ascii="Times New Roman" w:hAnsi="Times New Roman"/>
          <w:b w:val="0"/>
          <w:color w:val="111827"/>
          <w:sz w:val="22"/>
        </w:rPr>
        <w:t>6. discriminatory practices;</w:t>
      </w:r>
    </w:p>
    <w:p>
      <w:pPr>
        <w:pStyle w:val="LegalNumber2"/>
      </w:pPr>
      <w:r>
        <w:rPr>
          <w:rFonts w:ascii="Times New Roman" w:hAnsi="Times New Roman"/>
          <w:b w:val="0"/>
          <w:color w:val="111827"/>
          <w:sz w:val="22"/>
        </w:rPr>
        <w:t>7. false ownership or financial records;</w:t>
      </w:r>
    </w:p>
    <w:p>
      <w:pPr>
        <w:pStyle w:val="LegalNumber2"/>
      </w:pPr>
      <w:r>
        <w:rPr>
          <w:rFonts w:ascii="Times New Roman" w:hAnsi="Times New Roman"/>
          <w:b w:val="0"/>
          <w:color w:val="111827"/>
          <w:sz w:val="22"/>
        </w:rPr>
        <w:t>8. obstruction of investigation;</w:t>
      </w:r>
    </w:p>
    <w:p>
      <w:pPr>
        <w:pStyle w:val="LegalNumber2"/>
      </w:pPr>
      <w:r>
        <w:rPr>
          <w:rFonts w:ascii="Times New Roman" w:hAnsi="Times New Roman"/>
          <w:b w:val="0"/>
          <w:color w:val="111827"/>
          <w:sz w:val="22"/>
        </w:rPr>
        <w:t>9. unlicensed operation;</w:t>
      </w:r>
    </w:p>
    <w:p>
      <w:pPr>
        <w:pStyle w:val="LegalNumber2"/>
      </w:pPr>
      <w:r>
        <w:rPr>
          <w:rFonts w:ascii="Times New Roman" w:hAnsi="Times New Roman"/>
          <w:b w:val="0"/>
          <w:color w:val="111827"/>
          <w:sz w:val="22"/>
        </w:rPr>
        <w:t>10. failure to report imminent threats, minors, trafficking, or serious violence when required.</w:t>
      </w:r>
    </w:p>
    <w:p>
      <w:pPr>
        <w:pStyle w:val="LegalNumber"/>
      </w:pPr>
      <w:r>
        <w:rPr>
          <w:rFonts w:ascii="Times New Roman" w:hAnsi="Times New Roman"/>
          <w:b w:val="0"/>
          <w:color w:val="111827"/>
          <w:sz w:val="22"/>
        </w:rPr>
        <w:t>3. Except for emergency suspension, the Commission shall provide notice, factual basis, right to respond, right to counsel or representative, evidence access subject to privacy protections, hearing, written decision, and appeal.</w:t>
      </w:r>
    </w:p>
    <w:p>
      <w:pPr>
        <w:pStyle w:val="LegalNumber"/>
      </w:pPr>
      <w:r>
        <w:rPr>
          <w:rFonts w:ascii="Times New Roman" w:hAnsi="Times New Roman"/>
          <w:b w:val="0"/>
          <w:color w:val="111827"/>
          <w:sz w:val="22"/>
        </w:rPr>
        <w:t>4. Emergency suspension may issue only upon probable cause that continued operation creates imminent risk of trafficking, exploitation of a minor, serious bodily harm, widespread coercion, or destruction of evidence. An emergency hearing shall occur within five business days.</w:t>
      </w:r>
    </w:p>
    <w:p>
      <w:pPr>
        <w:spacing w:after="80"/>
      </w:pPr>
    </w:p>
    <w:p>
      <w:pPr>
        <w:pStyle w:val="TitleHeading"/>
      </w:pPr>
      <w:r>
        <w:rPr>
          <w:rFonts w:ascii="Arial" w:hAnsi="Arial"/>
          <w:b/>
          <w:color w:val="0B2545"/>
          <w:sz w:val="22"/>
        </w:rPr>
        <w:t>TITLE IV. WORKER RIGHTS AND LABOR PROTECTIONS</w:t>
      </w:r>
    </w:p>
    <w:p>
      <w:pPr>
        <w:pStyle w:val="SectionHeading"/>
      </w:pPr>
      <w:r>
        <w:rPr>
          <w:rFonts w:ascii="Arial" w:hAnsi="Arial"/>
          <w:b/>
          <w:color w:val="0B2545"/>
          <w:sz w:val="21"/>
        </w:rPr>
        <w:t>SECTION 401. Core worker rights.</w:t>
      </w:r>
    </w:p>
    <w:p>
      <w:pPr>
        <w:pStyle w:val="LegalBody"/>
      </w:pPr>
      <w:r>
        <w:rPr>
          <w:rFonts w:ascii="Times New Roman" w:hAnsi="Times New Roman"/>
          <w:b w:val="0"/>
          <w:color w:val="111827"/>
          <w:sz w:val="22"/>
        </w:rPr>
        <w:t>Every adult intimate worker has the right to:</w:t>
      </w:r>
    </w:p>
    <w:p>
      <w:pPr>
        <w:pStyle w:val="LegalNumber"/>
      </w:pPr>
      <w:r>
        <w:rPr>
          <w:rFonts w:ascii="Times New Roman" w:hAnsi="Times New Roman"/>
          <w:b w:val="0"/>
          <w:color w:val="111827"/>
          <w:sz w:val="22"/>
        </w:rPr>
        <w:t>1. refuse any client, service, act, location, recording, schedule, or condition;</w:t>
      </w:r>
    </w:p>
    <w:p>
      <w:pPr>
        <w:pStyle w:val="LegalNumber"/>
      </w:pPr>
      <w:r>
        <w:rPr>
          <w:rFonts w:ascii="Times New Roman" w:hAnsi="Times New Roman"/>
          <w:b w:val="0"/>
          <w:color w:val="111827"/>
          <w:sz w:val="22"/>
        </w:rPr>
        <w:t>2. withdraw consent at any time;</w:t>
      </w:r>
    </w:p>
    <w:p>
      <w:pPr>
        <w:pStyle w:val="LegalNumber"/>
      </w:pPr>
      <w:r>
        <w:rPr>
          <w:rFonts w:ascii="Times New Roman" w:hAnsi="Times New Roman"/>
          <w:b w:val="0"/>
          <w:color w:val="111827"/>
          <w:sz w:val="22"/>
        </w:rPr>
        <w:t>3. leave adult intimate work or a particular business at any time;</w:t>
      </w:r>
    </w:p>
    <w:p>
      <w:pPr>
        <w:pStyle w:val="LegalNumber"/>
      </w:pPr>
      <w:r>
        <w:rPr>
          <w:rFonts w:ascii="Times New Roman" w:hAnsi="Times New Roman"/>
          <w:b w:val="0"/>
          <w:color w:val="111827"/>
          <w:sz w:val="22"/>
        </w:rPr>
        <w:t>4. work free from coercion, trafficking, harassment, sexual assault, retaliation, discrimination, stalking, extortion, wage theft, unsafe conditions, unlawful surveillance, and abusive contracts;</w:t>
      </w:r>
    </w:p>
    <w:p>
      <w:pPr>
        <w:pStyle w:val="LegalNumber"/>
      </w:pPr>
      <w:r>
        <w:rPr>
          <w:rFonts w:ascii="Times New Roman" w:hAnsi="Times New Roman"/>
          <w:b w:val="0"/>
          <w:color w:val="111827"/>
          <w:sz w:val="22"/>
        </w:rPr>
        <w:t>5. determine personal boundaries, services offered, client selection, working hours, health decisions, safety practices, professional name, appearance, and content participation;</w:t>
      </w:r>
    </w:p>
    <w:p>
      <w:pPr>
        <w:pStyle w:val="LegalNumber"/>
      </w:pPr>
      <w:r>
        <w:rPr>
          <w:rFonts w:ascii="Times New Roman" w:hAnsi="Times New Roman"/>
          <w:b w:val="0"/>
          <w:color w:val="111827"/>
          <w:sz w:val="22"/>
        </w:rPr>
        <w:t>6. receive timely and transparent compensation;</w:t>
      </w:r>
    </w:p>
    <w:p>
      <w:pPr>
        <w:pStyle w:val="LegalNumber"/>
      </w:pPr>
      <w:r>
        <w:rPr>
          <w:rFonts w:ascii="Times New Roman" w:hAnsi="Times New Roman"/>
          <w:b w:val="0"/>
          <w:color w:val="111827"/>
          <w:sz w:val="22"/>
        </w:rPr>
        <w:t>7. receive itemized statements of pay, fees, deductions, commissions, and tips;</w:t>
      </w:r>
    </w:p>
    <w:p>
      <w:pPr>
        <w:pStyle w:val="LegalNumber"/>
      </w:pPr>
      <w:r>
        <w:rPr>
          <w:rFonts w:ascii="Times New Roman" w:hAnsi="Times New Roman"/>
          <w:b w:val="0"/>
          <w:color w:val="111827"/>
          <w:sz w:val="22"/>
        </w:rPr>
        <w:t>8. retain identification documents, immigration documents, money, phones, keys, medication, personal property, and transportation access;</w:t>
      </w:r>
    </w:p>
    <w:p>
      <w:pPr>
        <w:pStyle w:val="LegalNumber"/>
      </w:pPr>
      <w:r>
        <w:rPr>
          <w:rFonts w:ascii="Times New Roman" w:hAnsi="Times New Roman"/>
          <w:b w:val="0"/>
          <w:color w:val="111827"/>
          <w:sz w:val="22"/>
        </w:rPr>
        <w:t>9. obtain confidential healthcare, legal aid, mental health support, victim advocacy, financial counseling, tax education, and public benefits without stigma or unlawful disclosure;</w:t>
      </w:r>
    </w:p>
    <w:p>
      <w:pPr>
        <w:pStyle w:val="LegalNumber"/>
      </w:pPr>
      <w:r>
        <w:rPr>
          <w:rFonts w:ascii="Times New Roman" w:hAnsi="Times New Roman"/>
          <w:b w:val="0"/>
          <w:color w:val="111827"/>
          <w:sz w:val="22"/>
        </w:rPr>
        <w:t>10. organize, join, or assist a labor organization, worker center, cooperative, or collective representation body;</w:t>
      </w:r>
    </w:p>
    <w:p>
      <w:pPr>
        <w:pStyle w:val="LegalNumber"/>
      </w:pPr>
      <w:r>
        <w:rPr>
          <w:rFonts w:ascii="Times New Roman" w:hAnsi="Times New Roman"/>
          <w:b w:val="0"/>
          <w:color w:val="111827"/>
          <w:sz w:val="22"/>
        </w:rPr>
        <w:t>11. report violations without retaliation;</w:t>
      </w:r>
    </w:p>
    <w:p>
      <w:pPr>
        <w:pStyle w:val="LegalNumber"/>
      </w:pPr>
      <w:r>
        <w:rPr>
          <w:rFonts w:ascii="Times New Roman" w:hAnsi="Times New Roman"/>
          <w:b w:val="0"/>
          <w:color w:val="111827"/>
          <w:sz w:val="22"/>
        </w:rPr>
        <w:t>12. access courts, administrative remedies, protective orders, and survivor services.</w:t>
      </w:r>
    </w:p>
    <w:p>
      <w:pPr>
        <w:spacing w:after="80"/>
      </w:pPr>
    </w:p>
    <w:p>
      <w:pPr>
        <w:pStyle w:val="SectionHeading"/>
      </w:pPr>
      <w:r>
        <w:rPr>
          <w:rFonts w:ascii="Arial" w:hAnsi="Arial"/>
          <w:b/>
          <w:color w:val="0B2545"/>
          <w:sz w:val="21"/>
        </w:rPr>
        <w:t>SECTION 402. Employment status and classification.</w:t>
      </w:r>
    </w:p>
    <w:p>
      <w:pPr>
        <w:pStyle w:val="LegalNumber"/>
      </w:pPr>
      <w:r>
        <w:rPr>
          <w:rFonts w:ascii="Times New Roman" w:hAnsi="Times New Roman"/>
          <w:b w:val="0"/>
          <w:color w:val="111827"/>
          <w:sz w:val="22"/>
        </w:rPr>
        <w:t>1. A worker is presumed to be an employee of an operator, establishment, agency, production business, or platform-affiliated business if the business controls or has the right to control:</w:t>
      </w:r>
    </w:p>
    <w:p>
      <w:pPr>
        <w:pStyle w:val="LegalNumber2"/>
      </w:pPr>
      <w:r>
        <w:rPr>
          <w:rFonts w:ascii="Times New Roman" w:hAnsi="Times New Roman"/>
          <w:b w:val="0"/>
          <w:color w:val="111827"/>
          <w:sz w:val="22"/>
        </w:rPr>
        <w:t>1. work schedule;</w:t>
      </w:r>
    </w:p>
    <w:p>
      <w:pPr>
        <w:pStyle w:val="LegalNumber2"/>
      </w:pPr>
      <w:r>
        <w:rPr>
          <w:rFonts w:ascii="Times New Roman" w:hAnsi="Times New Roman"/>
          <w:b w:val="0"/>
          <w:color w:val="111827"/>
          <w:sz w:val="22"/>
        </w:rPr>
        <w:t>2. prices;</w:t>
      </w:r>
    </w:p>
    <w:p>
      <w:pPr>
        <w:pStyle w:val="LegalNumber2"/>
      </w:pPr>
      <w:r>
        <w:rPr>
          <w:rFonts w:ascii="Times New Roman" w:hAnsi="Times New Roman"/>
          <w:b w:val="0"/>
          <w:color w:val="111827"/>
          <w:sz w:val="22"/>
        </w:rPr>
        <w:t>3. services offered;</w:t>
      </w:r>
    </w:p>
    <w:p>
      <w:pPr>
        <w:pStyle w:val="LegalNumber2"/>
      </w:pPr>
      <w:r>
        <w:rPr>
          <w:rFonts w:ascii="Times New Roman" w:hAnsi="Times New Roman"/>
          <w:b w:val="0"/>
          <w:color w:val="111827"/>
          <w:sz w:val="22"/>
        </w:rPr>
        <w:t>4. clients accepted;</w:t>
      </w:r>
    </w:p>
    <w:p>
      <w:pPr>
        <w:pStyle w:val="LegalNumber2"/>
      </w:pPr>
      <w:r>
        <w:rPr>
          <w:rFonts w:ascii="Times New Roman" w:hAnsi="Times New Roman"/>
          <w:b w:val="0"/>
          <w:color w:val="111827"/>
          <w:sz w:val="22"/>
        </w:rPr>
        <w:t>5. location;</w:t>
      </w:r>
    </w:p>
    <w:p>
      <w:pPr>
        <w:pStyle w:val="LegalNumber2"/>
      </w:pPr>
      <w:r>
        <w:rPr>
          <w:rFonts w:ascii="Times New Roman" w:hAnsi="Times New Roman"/>
          <w:b w:val="0"/>
          <w:color w:val="111827"/>
          <w:sz w:val="22"/>
        </w:rPr>
        <w:t>6. dress or appearance beyond lawful safety rules;</w:t>
      </w:r>
    </w:p>
    <w:p>
      <w:pPr>
        <w:pStyle w:val="LegalNumber2"/>
      </w:pPr>
      <w:r>
        <w:rPr>
          <w:rFonts w:ascii="Times New Roman" w:hAnsi="Times New Roman"/>
          <w:b w:val="0"/>
          <w:color w:val="111827"/>
          <w:sz w:val="22"/>
        </w:rPr>
        <w:t>7. performance terms;</w:t>
      </w:r>
    </w:p>
    <w:p>
      <w:pPr>
        <w:pStyle w:val="LegalNumber2"/>
      </w:pPr>
      <w:r>
        <w:rPr>
          <w:rFonts w:ascii="Times New Roman" w:hAnsi="Times New Roman"/>
          <w:b w:val="0"/>
          <w:color w:val="111827"/>
          <w:sz w:val="22"/>
        </w:rPr>
        <w:t>8. advertising content;</w:t>
      </w:r>
    </w:p>
    <w:p>
      <w:pPr>
        <w:pStyle w:val="LegalNumber2"/>
      </w:pPr>
      <w:r>
        <w:rPr>
          <w:rFonts w:ascii="Times New Roman" w:hAnsi="Times New Roman"/>
          <w:b w:val="0"/>
          <w:color w:val="111827"/>
          <w:sz w:val="22"/>
        </w:rPr>
        <w:t>9. payment collection;</w:t>
      </w:r>
    </w:p>
    <w:p>
      <w:pPr>
        <w:pStyle w:val="LegalNumber2"/>
      </w:pPr>
      <w:r>
        <w:rPr>
          <w:rFonts w:ascii="Times New Roman" w:hAnsi="Times New Roman"/>
          <w:b w:val="0"/>
          <w:color w:val="111827"/>
          <w:sz w:val="22"/>
        </w:rPr>
        <w:t>10. discipline;</w:t>
      </w:r>
    </w:p>
    <w:p>
      <w:pPr>
        <w:pStyle w:val="LegalNumber2"/>
      </w:pPr>
      <w:r>
        <w:rPr>
          <w:rFonts w:ascii="Times New Roman" w:hAnsi="Times New Roman"/>
          <w:b w:val="0"/>
          <w:color w:val="111827"/>
          <w:sz w:val="22"/>
        </w:rPr>
        <w:t>11. customer lists;</w:t>
      </w:r>
    </w:p>
    <w:p>
      <w:pPr>
        <w:pStyle w:val="LegalNumber2"/>
      </w:pPr>
      <w:r>
        <w:rPr>
          <w:rFonts w:ascii="Times New Roman" w:hAnsi="Times New Roman"/>
          <w:b w:val="0"/>
          <w:color w:val="111827"/>
          <w:sz w:val="22"/>
        </w:rPr>
        <w:t>12. access to premises or platform monetization.</w:t>
      </w:r>
    </w:p>
    <w:p>
      <w:pPr>
        <w:pStyle w:val="LegalNumber"/>
      </w:pPr>
      <w:r>
        <w:rPr>
          <w:rFonts w:ascii="Times New Roman" w:hAnsi="Times New Roman"/>
          <w:b w:val="0"/>
          <w:color w:val="111827"/>
          <w:sz w:val="22"/>
        </w:rPr>
        <w:t>2. A worker may be treated as an independent contractor only if:</w:t>
      </w:r>
    </w:p>
    <w:p>
      <w:pPr>
        <w:pStyle w:val="LegalNumber2"/>
      </w:pPr>
      <w:r>
        <w:rPr>
          <w:rFonts w:ascii="Times New Roman" w:hAnsi="Times New Roman"/>
          <w:b w:val="0"/>
          <w:color w:val="111827"/>
          <w:sz w:val="22"/>
        </w:rPr>
        <w:t>1. the worker controls clients, schedule, services, boundaries, price, and method of work;</w:t>
      </w:r>
    </w:p>
    <w:p>
      <w:pPr>
        <w:pStyle w:val="LegalNumber2"/>
      </w:pPr>
      <w:r>
        <w:rPr>
          <w:rFonts w:ascii="Times New Roman" w:hAnsi="Times New Roman"/>
          <w:b w:val="0"/>
          <w:color w:val="111827"/>
          <w:sz w:val="22"/>
        </w:rPr>
        <w:t>2. the worker may work for others without penalty;</w:t>
      </w:r>
    </w:p>
    <w:p>
      <w:pPr>
        <w:pStyle w:val="LegalNumber2"/>
      </w:pPr>
      <w:r>
        <w:rPr>
          <w:rFonts w:ascii="Times New Roman" w:hAnsi="Times New Roman"/>
          <w:b w:val="0"/>
          <w:color w:val="111827"/>
          <w:sz w:val="22"/>
        </w:rPr>
        <w:t>3. the worker may stop work at any time;</w:t>
      </w:r>
    </w:p>
    <w:p>
      <w:pPr>
        <w:pStyle w:val="LegalNumber2"/>
      </w:pPr>
      <w:r>
        <w:rPr>
          <w:rFonts w:ascii="Times New Roman" w:hAnsi="Times New Roman"/>
          <w:b w:val="0"/>
          <w:color w:val="111827"/>
          <w:sz w:val="22"/>
        </w:rPr>
        <w:t>4. the worker receives direct and transparent payment;</w:t>
      </w:r>
    </w:p>
    <w:p>
      <w:pPr>
        <w:pStyle w:val="LegalNumber2"/>
      </w:pPr>
      <w:r>
        <w:rPr>
          <w:rFonts w:ascii="Times New Roman" w:hAnsi="Times New Roman"/>
          <w:b w:val="0"/>
          <w:color w:val="111827"/>
          <w:sz w:val="22"/>
        </w:rPr>
        <w:t>5. the worker is not subject to quotas, mandatory minimums, noncompetes, or punitive fees;</w:t>
      </w:r>
    </w:p>
    <w:p>
      <w:pPr>
        <w:pStyle w:val="LegalNumber2"/>
      </w:pPr>
      <w:r>
        <w:rPr>
          <w:rFonts w:ascii="Times New Roman" w:hAnsi="Times New Roman"/>
          <w:b w:val="0"/>
          <w:color w:val="111827"/>
          <w:sz w:val="22"/>
        </w:rPr>
        <w:t>6. the arrangement is documented in plain language;</w:t>
      </w:r>
    </w:p>
    <w:p>
      <w:pPr>
        <w:pStyle w:val="LegalNumber2"/>
      </w:pPr>
      <w:r>
        <w:rPr>
          <w:rFonts w:ascii="Times New Roman" w:hAnsi="Times New Roman"/>
          <w:b w:val="0"/>
          <w:color w:val="111827"/>
          <w:sz w:val="22"/>
        </w:rPr>
        <w:t>7. the classification complies with all generally applicable labor and tax law.</w:t>
      </w:r>
    </w:p>
    <w:p>
      <w:pPr>
        <w:pStyle w:val="LegalNumber"/>
      </w:pPr>
      <w:r>
        <w:rPr>
          <w:rFonts w:ascii="Times New Roman" w:hAnsi="Times New Roman"/>
          <w:b w:val="0"/>
          <w:color w:val="111827"/>
          <w:sz w:val="22"/>
        </w:rPr>
        <w:t>3. Regardless of classification, all workers are entitled to the core rights in Section 401, anti-harassment protections, privacy protections, safety protections, prompt payment, complaint access, nonretaliation, and the right to refuse and withdraw consent.</w:t>
      </w:r>
    </w:p>
    <w:p>
      <w:pPr>
        <w:spacing w:after="80"/>
      </w:pPr>
    </w:p>
    <w:p>
      <w:pPr>
        <w:pStyle w:val="SectionHeading"/>
      </w:pPr>
      <w:r>
        <w:rPr>
          <w:rFonts w:ascii="Arial" w:hAnsi="Arial"/>
          <w:b/>
          <w:color w:val="0B2545"/>
          <w:sz w:val="21"/>
        </w:rPr>
        <w:t>SECTION 403. Contracts.</w:t>
      </w:r>
    </w:p>
    <w:p>
      <w:pPr>
        <w:pStyle w:val="LegalNumber"/>
      </w:pPr>
      <w:r>
        <w:rPr>
          <w:rFonts w:ascii="Times New Roman" w:hAnsi="Times New Roman"/>
          <w:b w:val="0"/>
          <w:color w:val="111827"/>
          <w:sz w:val="22"/>
        </w:rPr>
        <w:t>1. A contract for adult intimate work shall be written in plain language, provided in the worker’s preferred language when reasonably available, and signed before work begins.</w:t>
      </w:r>
    </w:p>
    <w:p>
      <w:pPr>
        <w:pStyle w:val="LegalNumber"/>
      </w:pPr>
      <w:r>
        <w:rPr>
          <w:rFonts w:ascii="Times New Roman" w:hAnsi="Times New Roman"/>
          <w:b w:val="0"/>
          <w:color w:val="111827"/>
          <w:sz w:val="22"/>
        </w:rPr>
        <w:t>2. A contract shall state:</w:t>
      </w:r>
    </w:p>
    <w:p>
      <w:pPr>
        <w:pStyle w:val="LegalNumber2"/>
      </w:pPr>
      <w:r>
        <w:rPr>
          <w:rFonts w:ascii="Times New Roman" w:hAnsi="Times New Roman"/>
          <w:b w:val="0"/>
          <w:color w:val="111827"/>
          <w:sz w:val="22"/>
        </w:rPr>
        <w:t>1. parties;</w:t>
      </w:r>
    </w:p>
    <w:p>
      <w:pPr>
        <w:pStyle w:val="LegalNumber2"/>
      </w:pPr>
      <w:r>
        <w:rPr>
          <w:rFonts w:ascii="Times New Roman" w:hAnsi="Times New Roman"/>
          <w:b w:val="0"/>
          <w:color w:val="111827"/>
          <w:sz w:val="22"/>
        </w:rPr>
        <w:t>2. license numbers of regulated businesses;</w:t>
      </w:r>
    </w:p>
    <w:p>
      <w:pPr>
        <w:pStyle w:val="LegalNumber2"/>
      </w:pPr>
      <w:r>
        <w:rPr>
          <w:rFonts w:ascii="Times New Roman" w:hAnsi="Times New Roman"/>
          <w:b w:val="0"/>
          <w:color w:val="111827"/>
          <w:sz w:val="22"/>
        </w:rPr>
        <w:t>3. worker classification;</w:t>
      </w:r>
    </w:p>
    <w:p>
      <w:pPr>
        <w:pStyle w:val="LegalNumber2"/>
      </w:pPr>
      <w:r>
        <w:rPr>
          <w:rFonts w:ascii="Times New Roman" w:hAnsi="Times New Roman"/>
          <w:b w:val="0"/>
          <w:color w:val="111827"/>
          <w:sz w:val="22"/>
        </w:rPr>
        <w:t>4. compensation terms;</w:t>
      </w:r>
    </w:p>
    <w:p>
      <w:pPr>
        <w:pStyle w:val="LegalNumber2"/>
      </w:pPr>
      <w:r>
        <w:rPr>
          <w:rFonts w:ascii="Times New Roman" w:hAnsi="Times New Roman"/>
          <w:b w:val="0"/>
          <w:color w:val="111827"/>
          <w:sz w:val="22"/>
        </w:rPr>
        <w:t>5. commissions and fees;</w:t>
      </w:r>
    </w:p>
    <w:p>
      <w:pPr>
        <w:pStyle w:val="LegalNumber2"/>
      </w:pPr>
      <w:r>
        <w:rPr>
          <w:rFonts w:ascii="Times New Roman" w:hAnsi="Times New Roman"/>
          <w:b w:val="0"/>
          <w:color w:val="111827"/>
          <w:sz w:val="22"/>
        </w:rPr>
        <w:t>6. pay timing;</w:t>
      </w:r>
    </w:p>
    <w:p>
      <w:pPr>
        <w:pStyle w:val="LegalNumber2"/>
      </w:pPr>
      <w:r>
        <w:rPr>
          <w:rFonts w:ascii="Times New Roman" w:hAnsi="Times New Roman"/>
          <w:b w:val="0"/>
          <w:color w:val="111827"/>
          <w:sz w:val="22"/>
        </w:rPr>
        <w:t>7. worker right to refuse and withdraw consent;</w:t>
      </w:r>
    </w:p>
    <w:p>
      <w:pPr>
        <w:pStyle w:val="LegalNumber2"/>
      </w:pPr>
      <w:r>
        <w:rPr>
          <w:rFonts w:ascii="Times New Roman" w:hAnsi="Times New Roman"/>
          <w:b w:val="0"/>
          <w:color w:val="111827"/>
          <w:sz w:val="22"/>
        </w:rPr>
        <w:t>8. grievance procedure;</w:t>
      </w:r>
    </w:p>
    <w:p>
      <w:pPr>
        <w:pStyle w:val="LegalNumber2"/>
      </w:pPr>
      <w:r>
        <w:rPr>
          <w:rFonts w:ascii="Times New Roman" w:hAnsi="Times New Roman"/>
          <w:b w:val="0"/>
          <w:color w:val="111827"/>
          <w:sz w:val="22"/>
        </w:rPr>
        <w:t>9. privacy protections;</w:t>
      </w:r>
    </w:p>
    <w:p>
      <w:pPr>
        <w:pStyle w:val="LegalNumber2"/>
      </w:pPr>
      <w:r>
        <w:rPr>
          <w:rFonts w:ascii="Times New Roman" w:hAnsi="Times New Roman"/>
          <w:b w:val="0"/>
          <w:color w:val="111827"/>
          <w:sz w:val="22"/>
        </w:rPr>
        <w:t>10. health and safety rights;</w:t>
      </w:r>
    </w:p>
    <w:p>
      <w:pPr>
        <w:pStyle w:val="LegalNumber2"/>
      </w:pPr>
      <w:r>
        <w:rPr>
          <w:rFonts w:ascii="Times New Roman" w:hAnsi="Times New Roman"/>
          <w:b w:val="0"/>
          <w:color w:val="111827"/>
          <w:sz w:val="22"/>
        </w:rPr>
        <w:t>11. data-retention rules;</w:t>
      </w:r>
    </w:p>
    <w:p>
      <w:pPr>
        <w:pStyle w:val="LegalNumber2"/>
      </w:pPr>
      <w:r>
        <w:rPr>
          <w:rFonts w:ascii="Times New Roman" w:hAnsi="Times New Roman"/>
          <w:b w:val="0"/>
          <w:color w:val="111827"/>
          <w:sz w:val="22"/>
        </w:rPr>
        <w:t>12. termination rights;</w:t>
      </w:r>
    </w:p>
    <w:p>
      <w:pPr>
        <w:pStyle w:val="LegalNumber2"/>
      </w:pPr>
      <w:r>
        <w:rPr>
          <w:rFonts w:ascii="Times New Roman" w:hAnsi="Times New Roman"/>
          <w:b w:val="0"/>
          <w:color w:val="111827"/>
          <w:sz w:val="22"/>
        </w:rPr>
        <w:t>13. contact information for the Commission, legal aid, worker-support organizations, and survivor services.</w:t>
      </w:r>
    </w:p>
    <w:p>
      <w:pPr>
        <w:pStyle w:val="LegalNumber"/>
      </w:pPr>
      <w:r>
        <w:rPr>
          <w:rFonts w:ascii="Times New Roman" w:hAnsi="Times New Roman"/>
          <w:b w:val="0"/>
          <w:color w:val="111827"/>
          <w:sz w:val="22"/>
        </w:rPr>
        <w:t>3. The following clauses are void:</w:t>
      </w:r>
    </w:p>
    <w:p>
      <w:pPr>
        <w:pStyle w:val="LegalNumber2"/>
      </w:pPr>
      <w:r>
        <w:rPr>
          <w:rFonts w:ascii="Times New Roman" w:hAnsi="Times New Roman"/>
          <w:b w:val="0"/>
          <w:color w:val="111827"/>
          <w:sz w:val="22"/>
        </w:rPr>
        <w:t>1. noncompete clauses;</w:t>
      </w:r>
    </w:p>
    <w:p>
      <w:pPr>
        <w:pStyle w:val="LegalNumber2"/>
      </w:pPr>
      <w:r>
        <w:rPr>
          <w:rFonts w:ascii="Times New Roman" w:hAnsi="Times New Roman"/>
          <w:b w:val="0"/>
          <w:color w:val="111827"/>
          <w:sz w:val="22"/>
        </w:rPr>
        <w:t>2. forced arbitration clauses covering sexual assault, trafficking, harassment, discrimination, wage theft, retaliation, or nonconsensual content claims;</w:t>
      </w:r>
    </w:p>
    <w:p>
      <w:pPr>
        <w:pStyle w:val="LegalNumber2"/>
      </w:pPr>
      <w:r>
        <w:rPr>
          <w:rFonts w:ascii="Times New Roman" w:hAnsi="Times New Roman"/>
          <w:b w:val="0"/>
          <w:color w:val="111827"/>
          <w:sz w:val="22"/>
        </w:rPr>
        <w:t>3. nondisclosure clauses that prevent reporting to regulators, law enforcement, healthcare providers, advocates, courts, or worker organizations;</w:t>
      </w:r>
    </w:p>
    <w:p>
      <w:pPr>
        <w:pStyle w:val="LegalNumber2"/>
      </w:pPr>
      <w:r>
        <w:rPr>
          <w:rFonts w:ascii="Times New Roman" w:hAnsi="Times New Roman"/>
          <w:b w:val="0"/>
          <w:color w:val="111827"/>
          <w:sz w:val="22"/>
        </w:rPr>
        <w:t>4. liquidated damages for refusing or stopping work;</w:t>
      </w:r>
    </w:p>
    <w:p>
      <w:pPr>
        <w:pStyle w:val="LegalNumber2"/>
      </w:pPr>
      <w:r>
        <w:rPr>
          <w:rFonts w:ascii="Times New Roman" w:hAnsi="Times New Roman"/>
          <w:b w:val="0"/>
          <w:color w:val="111827"/>
          <w:sz w:val="22"/>
        </w:rPr>
        <w:t>5. mandatory quotas;</w:t>
      </w:r>
    </w:p>
    <w:p>
      <w:pPr>
        <w:pStyle w:val="LegalNumber2"/>
      </w:pPr>
      <w:r>
        <w:rPr>
          <w:rFonts w:ascii="Times New Roman" w:hAnsi="Times New Roman"/>
          <w:b w:val="0"/>
          <w:color w:val="111827"/>
          <w:sz w:val="22"/>
        </w:rPr>
        <w:t>6. repayment of training, housing, travel, safety, licensing, sanitation, advertising, or ordinary business costs;</w:t>
      </w:r>
    </w:p>
    <w:p>
      <w:pPr>
        <w:pStyle w:val="LegalNumber2"/>
      </w:pPr>
      <w:r>
        <w:rPr>
          <w:rFonts w:ascii="Times New Roman" w:hAnsi="Times New Roman"/>
          <w:b w:val="0"/>
          <w:color w:val="111827"/>
          <w:sz w:val="22"/>
        </w:rPr>
        <w:t>7. consent to unspecified future acts, clients, locations, recordings, or distributions;</w:t>
      </w:r>
    </w:p>
    <w:p>
      <w:pPr>
        <w:pStyle w:val="LegalNumber2"/>
      </w:pPr>
      <w:r>
        <w:rPr>
          <w:rFonts w:ascii="Times New Roman" w:hAnsi="Times New Roman"/>
          <w:b w:val="0"/>
          <w:color w:val="111827"/>
          <w:sz w:val="22"/>
        </w:rPr>
        <w:t>8. ownership transfer of a worker’s body, likeness, legal identity, biometric data, location data, or private communications;</w:t>
      </w:r>
    </w:p>
    <w:p>
      <w:pPr>
        <w:pStyle w:val="LegalNumber2"/>
      </w:pPr>
      <w:r>
        <w:rPr>
          <w:rFonts w:ascii="Times New Roman" w:hAnsi="Times New Roman"/>
          <w:b w:val="0"/>
          <w:color w:val="111827"/>
          <w:sz w:val="22"/>
        </w:rPr>
        <w:t>9. perpetual use of intimate content without periodic renewal rights and takedown procedures required by this Act.</w:t>
      </w:r>
    </w:p>
    <w:p>
      <w:pPr>
        <w:spacing w:after="80"/>
      </w:pPr>
    </w:p>
    <w:p>
      <w:pPr>
        <w:pStyle w:val="SectionHeading"/>
      </w:pPr>
      <w:r>
        <w:rPr>
          <w:rFonts w:ascii="Arial" w:hAnsi="Arial"/>
          <w:b/>
          <w:color w:val="0B2545"/>
          <w:sz w:val="21"/>
        </w:rPr>
        <w:t>SECTION 404. Compensation.</w:t>
      </w:r>
    </w:p>
    <w:p>
      <w:pPr>
        <w:pStyle w:val="LegalNumber"/>
      </w:pPr>
      <w:r>
        <w:rPr>
          <w:rFonts w:ascii="Times New Roman" w:hAnsi="Times New Roman"/>
          <w:b w:val="0"/>
          <w:color w:val="111827"/>
          <w:sz w:val="22"/>
        </w:rPr>
        <w:t>1. Workers shall be paid at least the minimum wage and overtime required by law when classified as employees.</w:t>
      </w:r>
    </w:p>
    <w:p>
      <w:pPr>
        <w:pStyle w:val="LegalNumber"/>
      </w:pPr>
      <w:r>
        <w:rPr>
          <w:rFonts w:ascii="Times New Roman" w:hAnsi="Times New Roman"/>
          <w:b w:val="0"/>
          <w:color w:val="111827"/>
          <w:sz w:val="22"/>
        </w:rPr>
        <w:t>2. Workers shall receive all tips, gratuities, and designated worker payments, except for a disclosed processing fee not exceeding the actual payment-processing cost.</w:t>
      </w:r>
    </w:p>
    <w:p>
      <w:pPr>
        <w:pStyle w:val="LegalNumber"/>
      </w:pPr>
      <w:r>
        <w:rPr>
          <w:rFonts w:ascii="Times New Roman" w:hAnsi="Times New Roman"/>
          <w:b w:val="0"/>
          <w:color w:val="111827"/>
          <w:sz w:val="22"/>
        </w:rPr>
        <w:t>3. A business shall not deduct or charge workers for:</w:t>
      </w:r>
    </w:p>
    <w:p>
      <w:pPr>
        <w:pStyle w:val="LegalNumber2"/>
      </w:pPr>
      <w:r>
        <w:rPr>
          <w:rFonts w:ascii="Times New Roman" w:hAnsi="Times New Roman"/>
          <w:b w:val="0"/>
          <w:color w:val="111827"/>
          <w:sz w:val="22"/>
        </w:rPr>
        <w:t>1. licensing;</w:t>
      </w:r>
    </w:p>
    <w:p>
      <w:pPr>
        <w:pStyle w:val="LegalNumber2"/>
      </w:pPr>
      <w:r>
        <w:rPr>
          <w:rFonts w:ascii="Times New Roman" w:hAnsi="Times New Roman"/>
          <w:b w:val="0"/>
          <w:color w:val="111827"/>
          <w:sz w:val="22"/>
        </w:rPr>
        <w:t>2. safety equipment;</w:t>
      </w:r>
    </w:p>
    <w:p>
      <w:pPr>
        <w:pStyle w:val="LegalNumber2"/>
      </w:pPr>
      <w:r>
        <w:rPr>
          <w:rFonts w:ascii="Times New Roman" w:hAnsi="Times New Roman"/>
          <w:b w:val="0"/>
          <w:color w:val="111827"/>
          <w:sz w:val="22"/>
        </w:rPr>
        <w:t>3. sanitation supplies;</w:t>
      </w:r>
    </w:p>
    <w:p>
      <w:pPr>
        <w:pStyle w:val="LegalNumber2"/>
      </w:pPr>
      <w:r>
        <w:rPr>
          <w:rFonts w:ascii="Times New Roman" w:hAnsi="Times New Roman"/>
          <w:b w:val="0"/>
          <w:color w:val="111827"/>
          <w:sz w:val="22"/>
        </w:rPr>
        <w:t>4. barrier-protection supplies required by law;</w:t>
      </w:r>
    </w:p>
    <w:p>
      <w:pPr>
        <w:pStyle w:val="LegalNumber2"/>
      </w:pPr>
      <w:r>
        <w:rPr>
          <w:rFonts w:ascii="Times New Roman" w:hAnsi="Times New Roman"/>
          <w:b w:val="0"/>
          <w:color w:val="111827"/>
          <w:sz w:val="22"/>
        </w:rPr>
        <w:t>5. panic systems;</w:t>
      </w:r>
    </w:p>
    <w:p>
      <w:pPr>
        <w:pStyle w:val="LegalNumber2"/>
      </w:pPr>
      <w:r>
        <w:rPr>
          <w:rFonts w:ascii="Times New Roman" w:hAnsi="Times New Roman"/>
          <w:b w:val="0"/>
          <w:color w:val="111827"/>
          <w:sz w:val="22"/>
        </w:rPr>
        <w:t>6. required training;</w:t>
      </w:r>
    </w:p>
    <w:p>
      <w:pPr>
        <w:pStyle w:val="LegalNumber2"/>
      </w:pPr>
      <w:r>
        <w:rPr>
          <w:rFonts w:ascii="Times New Roman" w:hAnsi="Times New Roman"/>
          <w:b w:val="0"/>
          <w:color w:val="111827"/>
          <w:sz w:val="22"/>
        </w:rPr>
        <w:t>7. required health or rights notices;</w:t>
      </w:r>
    </w:p>
    <w:p>
      <w:pPr>
        <w:pStyle w:val="LegalNumber2"/>
      </w:pPr>
      <w:r>
        <w:rPr>
          <w:rFonts w:ascii="Times New Roman" w:hAnsi="Times New Roman"/>
          <w:b w:val="0"/>
          <w:color w:val="111827"/>
          <w:sz w:val="22"/>
        </w:rPr>
        <w:t>8. routine inspections;</w:t>
      </w:r>
    </w:p>
    <w:p>
      <w:pPr>
        <w:pStyle w:val="LegalNumber2"/>
      </w:pPr>
      <w:r>
        <w:rPr>
          <w:rFonts w:ascii="Times New Roman" w:hAnsi="Times New Roman"/>
          <w:b w:val="0"/>
          <w:color w:val="111827"/>
          <w:sz w:val="22"/>
        </w:rPr>
        <w:t>9. building compliance;</w:t>
      </w:r>
    </w:p>
    <w:p>
      <w:pPr>
        <w:pStyle w:val="LegalNumber2"/>
      </w:pPr>
      <w:r>
        <w:rPr>
          <w:rFonts w:ascii="Times New Roman" w:hAnsi="Times New Roman"/>
          <w:b w:val="0"/>
          <w:color w:val="111827"/>
          <w:sz w:val="22"/>
        </w:rPr>
        <w:t>10. security staff required by the business’s safety plan.</w:t>
      </w:r>
    </w:p>
    <w:p>
      <w:pPr>
        <w:pStyle w:val="LegalNumber"/>
      </w:pPr>
      <w:r>
        <w:rPr>
          <w:rFonts w:ascii="Times New Roman" w:hAnsi="Times New Roman"/>
          <w:b w:val="0"/>
          <w:color w:val="111827"/>
          <w:sz w:val="22"/>
        </w:rPr>
        <w:t>4. Commissions, room fees, platform fees, or agency fees shall be reasonable, disclosed in writing, and not structured to create debt bondage or coercive dependence.</w:t>
      </w:r>
    </w:p>
    <w:p>
      <w:pPr>
        <w:pStyle w:val="LegalNumber"/>
      </w:pPr>
      <w:r>
        <w:rPr>
          <w:rFonts w:ascii="Times New Roman" w:hAnsi="Times New Roman"/>
          <w:b w:val="0"/>
          <w:color w:val="111827"/>
          <w:sz w:val="22"/>
        </w:rPr>
        <w:t>5. Wages and compensation shall be paid at least weekly unless the worker chooses more frequent payment.</w:t>
      </w:r>
    </w:p>
    <w:p>
      <w:pPr>
        <w:spacing w:after="80"/>
      </w:pPr>
    </w:p>
    <w:p>
      <w:pPr>
        <w:pStyle w:val="SectionHeading"/>
      </w:pPr>
      <w:r>
        <w:rPr>
          <w:rFonts w:ascii="Arial" w:hAnsi="Arial"/>
          <w:b/>
          <w:color w:val="0B2545"/>
          <w:sz w:val="21"/>
        </w:rPr>
        <w:t>SECTION 405. Prohibited management practices.</w:t>
      </w:r>
    </w:p>
    <w:p>
      <w:pPr>
        <w:pStyle w:val="LegalBody"/>
      </w:pPr>
      <w:r>
        <w:rPr>
          <w:rFonts w:ascii="Times New Roman" w:hAnsi="Times New Roman"/>
          <w:b w:val="0"/>
          <w:color w:val="111827"/>
          <w:sz w:val="22"/>
        </w:rPr>
        <w:t>An operator, agency, manager, platform, or content business shall not:</w:t>
      </w:r>
    </w:p>
    <w:p>
      <w:pPr>
        <w:pStyle w:val="LegalNumber"/>
      </w:pPr>
      <w:r>
        <w:rPr>
          <w:rFonts w:ascii="Times New Roman" w:hAnsi="Times New Roman"/>
          <w:b w:val="0"/>
          <w:color w:val="111827"/>
          <w:sz w:val="22"/>
        </w:rPr>
        <w:t>1. require a worker to accept a client;</w:t>
      </w:r>
    </w:p>
    <w:p>
      <w:pPr>
        <w:pStyle w:val="LegalNumber"/>
      </w:pPr>
      <w:r>
        <w:rPr>
          <w:rFonts w:ascii="Times New Roman" w:hAnsi="Times New Roman"/>
          <w:b w:val="0"/>
          <w:color w:val="111827"/>
          <w:sz w:val="22"/>
        </w:rPr>
        <w:t>2. require a worker to perform a particular act;</w:t>
      </w:r>
    </w:p>
    <w:p>
      <w:pPr>
        <w:pStyle w:val="LegalNumber"/>
      </w:pPr>
      <w:r>
        <w:rPr>
          <w:rFonts w:ascii="Times New Roman" w:hAnsi="Times New Roman"/>
          <w:b w:val="0"/>
          <w:color w:val="111827"/>
          <w:sz w:val="22"/>
        </w:rPr>
        <w:t>3. require a worker to be recorded or photographed;</w:t>
      </w:r>
    </w:p>
    <w:p>
      <w:pPr>
        <w:pStyle w:val="LegalNumber"/>
      </w:pPr>
      <w:r>
        <w:rPr>
          <w:rFonts w:ascii="Times New Roman" w:hAnsi="Times New Roman"/>
          <w:b w:val="0"/>
          <w:color w:val="111827"/>
          <w:sz w:val="22"/>
        </w:rPr>
        <w:t>4. require a worker to consume alcohol, drugs, medication, or other substances;</w:t>
      </w:r>
    </w:p>
    <w:p>
      <w:pPr>
        <w:pStyle w:val="LegalNumber"/>
      </w:pPr>
      <w:r>
        <w:rPr>
          <w:rFonts w:ascii="Times New Roman" w:hAnsi="Times New Roman"/>
          <w:b w:val="0"/>
          <w:color w:val="111827"/>
          <w:sz w:val="22"/>
        </w:rPr>
        <w:t>5. require a worker to meet quotas for clients, acts, revenue, tips, subscriptions, content volume, or hours;</w:t>
      </w:r>
    </w:p>
    <w:p>
      <w:pPr>
        <w:pStyle w:val="LegalNumber"/>
      </w:pPr>
      <w:r>
        <w:rPr>
          <w:rFonts w:ascii="Times New Roman" w:hAnsi="Times New Roman"/>
          <w:b w:val="0"/>
          <w:color w:val="111827"/>
          <w:sz w:val="22"/>
        </w:rPr>
        <w:t>6. impose a curfew, confinement, transportation control, housing control, document control, phone control, or surveillance outside lawful workplace safety measures;</w:t>
      </w:r>
    </w:p>
    <w:p>
      <w:pPr>
        <w:pStyle w:val="LegalNumber"/>
      </w:pPr>
      <w:r>
        <w:rPr>
          <w:rFonts w:ascii="Times New Roman" w:hAnsi="Times New Roman"/>
          <w:b w:val="0"/>
          <w:color w:val="111827"/>
          <w:sz w:val="22"/>
        </w:rPr>
        <w:t>7. condition housing, childcare, immigration assistance, transportation, healthcare, legal help, or debt relief on adult intimate work;</w:t>
      </w:r>
    </w:p>
    <w:p>
      <w:pPr>
        <w:pStyle w:val="LegalNumber"/>
      </w:pPr>
      <w:r>
        <w:rPr>
          <w:rFonts w:ascii="Times New Roman" w:hAnsi="Times New Roman"/>
          <w:b w:val="0"/>
          <w:color w:val="111827"/>
          <w:sz w:val="22"/>
        </w:rPr>
        <w:t>8. impose appearance, weight, gender expression, race, disability, age, pregnancy, or health-status requirements unrelated to a legitimate, nondiscriminatory safety need;</w:t>
      </w:r>
    </w:p>
    <w:p>
      <w:pPr>
        <w:pStyle w:val="LegalNumber"/>
      </w:pPr>
      <w:r>
        <w:rPr>
          <w:rFonts w:ascii="Times New Roman" w:hAnsi="Times New Roman"/>
          <w:b w:val="0"/>
          <w:color w:val="111827"/>
          <w:sz w:val="22"/>
        </w:rPr>
        <w:t>9. blacklist or threaten to blacklist a worker for refusal, reporting, organizing, leaving, seeking healthcare, or seeking legal advice;</w:t>
      </w:r>
    </w:p>
    <w:p>
      <w:pPr>
        <w:pStyle w:val="LegalNumber"/>
      </w:pPr>
      <w:r>
        <w:rPr>
          <w:rFonts w:ascii="Times New Roman" w:hAnsi="Times New Roman"/>
          <w:b w:val="0"/>
          <w:color w:val="111827"/>
          <w:sz w:val="22"/>
        </w:rPr>
        <w:t>10. misrepresent legal rights, immigration consequences, criminal exposure, health risks, compensation, tax obligations, or reporting options.</w:t>
      </w:r>
    </w:p>
    <w:p>
      <w:pPr>
        <w:spacing w:after="80"/>
      </w:pPr>
    </w:p>
    <w:p>
      <w:pPr>
        <w:pStyle w:val="SectionHeading"/>
      </w:pPr>
      <w:r>
        <w:rPr>
          <w:rFonts w:ascii="Arial" w:hAnsi="Arial"/>
          <w:b/>
          <w:color w:val="0B2545"/>
          <w:sz w:val="21"/>
        </w:rPr>
        <w:t>SECTION 406. Collective representation and worker cooperatives.</w:t>
      </w:r>
    </w:p>
    <w:p>
      <w:pPr>
        <w:pStyle w:val="LegalNumber"/>
      </w:pPr>
      <w:r>
        <w:rPr>
          <w:rFonts w:ascii="Times New Roman" w:hAnsi="Times New Roman"/>
          <w:b w:val="0"/>
          <w:color w:val="111827"/>
          <w:sz w:val="22"/>
        </w:rPr>
        <w:t>1. Workers may organize, bargain collectively, form cooperatives, join worker centers, engage in protected concerted activity, and designate representatives in Commission proceedings.</w:t>
      </w:r>
    </w:p>
    <w:p>
      <w:pPr>
        <w:pStyle w:val="LegalNumber"/>
      </w:pPr>
      <w:r>
        <w:rPr>
          <w:rFonts w:ascii="Times New Roman" w:hAnsi="Times New Roman"/>
          <w:b w:val="0"/>
          <w:color w:val="111827"/>
          <w:sz w:val="22"/>
        </w:rPr>
        <w:t>2. The State recognizes worker-controlled cooperatives as a preferred low-exploitation business model and shall provide technical assistance, reduced fees, and safety-compliance grants.</w:t>
      </w:r>
    </w:p>
    <w:p>
      <w:pPr>
        <w:pStyle w:val="LegalNumber"/>
      </w:pPr>
      <w:r>
        <w:rPr>
          <w:rFonts w:ascii="Times New Roman" w:hAnsi="Times New Roman"/>
          <w:b w:val="0"/>
          <w:color w:val="111827"/>
          <w:sz w:val="22"/>
        </w:rPr>
        <w:t>3. Independent workers may collectively negotiate with licensed platforms, agencies, establishments, and content distributors over fees, safety tools, payment terms, data practices, complaint procedures, deactivation rules, and transparency without being treated by the State as engaged in unlawful restraint of trade.</w:t>
      </w:r>
    </w:p>
    <w:p>
      <w:pPr>
        <w:spacing w:after="80"/>
      </w:pPr>
    </w:p>
    <w:p>
      <w:pPr>
        <w:pStyle w:val="SectionHeading"/>
      </w:pPr>
      <w:r>
        <w:rPr>
          <w:rFonts w:ascii="Arial" w:hAnsi="Arial"/>
          <w:b/>
          <w:color w:val="0B2545"/>
          <w:sz w:val="21"/>
        </w:rPr>
        <w:t>SECTION 407. Insurance and benefits.</w:t>
      </w:r>
    </w:p>
    <w:p>
      <w:pPr>
        <w:pStyle w:val="LegalNumber"/>
      </w:pPr>
      <w:r>
        <w:rPr>
          <w:rFonts w:ascii="Times New Roman" w:hAnsi="Times New Roman"/>
          <w:b w:val="0"/>
          <w:color w:val="111827"/>
          <w:sz w:val="22"/>
        </w:rPr>
        <w:t>1. Licensed establishments, agencies, and production businesses shall maintain workers’ compensation insurance where workers are employees and occupational accident coverage for independent workers using the premises.</w:t>
      </w:r>
    </w:p>
    <w:p>
      <w:pPr>
        <w:pStyle w:val="LegalNumber"/>
      </w:pPr>
      <w:r>
        <w:rPr>
          <w:rFonts w:ascii="Times New Roman" w:hAnsi="Times New Roman"/>
          <w:b w:val="0"/>
          <w:color w:val="111827"/>
          <w:sz w:val="22"/>
        </w:rPr>
        <w:t>2. The Commission shall create a Portable Adult Intimate Worker Benefits Fund to support:</w:t>
      </w:r>
    </w:p>
    <w:p>
      <w:pPr>
        <w:pStyle w:val="LegalNumber2"/>
      </w:pPr>
      <w:r>
        <w:rPr>
          <w:rFonts w:ascii="Times New Roman" w:hAnsi="Times New Roman"/>
          <w:b w:val="0"/>
          <w:color w:val="111827"/>
          <w:sz w:val="22"/>
        </w:rPr>
        <w:t>1. occupational injury support;</w:t>
      </w:r>
    </w:p>
    <w:p>
      <w:pPr>
        <w:pStyle w:val="LegalNumber2"/>
      </w:pPr>
      <w:r>
        <w:rPr>
          <w:rFonts w:ascii="Times New Roman" w:hAnsi="Times New Roman"/>
          <w:b w:val="0"/>
          <w:color w:val="111827"/>
          <w:sz w:val="22"/>
        </w:rPr>
        <w:t>2. health navigation;</w:t>
      </w:r>
    </w:p>
    <w:p>
      <w:pPr>
        <w:pStyle w:val="LegalNumber2"/>
      </w:pPr>
      <w:r>
        <w:rPr>
          <w:rFonts w:ascii="Times New Roman" w:hAnsi="Times New Roman"/>
          <w:b w:val="0"/>
          <w:color w:val="111827"/>
          <w:sz w:val="22"/>
        </w:rPr>
        <w:t>3. mental health care;</w:t>
      </w:r>
    </w:p>
    <w:p>
      <w:pPr>
        <w:pStyle w:val="LegalNumber2"/>
      </w:pPr>
      <w:r>
        <w:rPr>
          <w:rFonts w:ascii="Times New Roman" w:hAnsi="Times New Roman"/>
          <w:b w:val="0"/>
          <w:color w:val="111827"/>
          <w:sz w:val="22"/>
        </w:rPr>
        <w:t>4. legal aid referrals;</w:t>
      </w:r>
    </w:p>
    <w:p>
      <w:pPr>
        <w:pStyle w:val="LegalNumber2"/>
      </w:pPr>
      <w:r>
        <w:rPr>
          <w:rFonts w:ascii="Times New Roman" w:hAnsi="Times New Roman"/>
          <w:b w:val="0"/>
          <w:color w:val="111827"/>
          <w:sz w:val="22"/>
        </w:rPr>
        <w:t>5. emergency relocation;</w:t>
      </w:r>
    </w:p>
    <w:p>
      <w:pPr>
        <w:pStyle w:val="LegalNumber2"/>
      </w:pPr>
      <w:r>
        <w:rPr>
          <w:rFonts w:ascii="Times New Roman" w:hAnsi="Times New Roman"/>
          <w:b w:val="0"/>
          <w:color w:val="111827"/>
          <w:sz w:val="22"/>
        </w:rPr>
        <w:t>6. income-stabilization grants after violence, trafficking, retaliation, or major health events;</w:t>
      </w:r>
    </w:p>
    <w:p>
      <w:pPr>
        <w:pStyle w:val="LegalNumber2"/>
      </w:pPr>
      <w:r>
        <w:rPr>
          <w:rFonts w:ascii="Times New Roman" w:hAnsi="Times New Roman"/>
          <w:b w:val="0"/>
          <w:color w:val="111827"/>
          <w:sz w:val="22"/>
        </w:rPr>
        <w:t>7. retirement and savings education.</w:t>
      </w:r>
    </w:p>
    <w:p>
      <w:pPr>
        <w:pStyle w:val="LegalNumber"/>
      </w:pPr>
      <w:r>
        <w:rPr>
          <w:rFonts w:ascii="Times New Roman" w:hAnsi="Times New Roman"/>
          <w:b w:val="0"/>
          <w:color w:val="111827"/>
          <w:sz w:val="22"/>
        </w:rPr>
        <w:t>3. The Fund shall be financed by dedicated revenue under Title X, voluntary contributions, grants, and civil penalties.</w:t>
      </w:r>
    </w:p>
    <w:p>
      <w:pPr>
        <w:spacing w:after="80"/>
      </w:pPr>
    </w:p>
    <w:p>
      <w:pPr>
        <w:pStyle w:val="TitleHeading"/>
      </w:pPr>
      <w:r>
        <w:rPr>
          <w:rFonts w:ascii="Arial" w:hAnsi="Arial"/>
          <w:b/>
          <w:color w:val="0B2545"/>
          <w:sz w:val="22"/>
        </w:rPr>
        <w:t>TITLE V. HEALTH, SAFETY, AND PUBLIC HEALTH INFRASTRUCTURE</w:t>
      </w:r>
    </w:p>
    <w:p>
      <w:pPr>
        <w:pStyle w:val="SectionHeading"/>
      </w:pPr>
      <w:r>
        <w:rPr>
          <w:rFonts w:ascii="Arial" w:hAnsi="Arial"/>
          <w:b/>
          <w:color w:val="0B2545"/>
          <w:sz w:val="21"/>
        </w:rPr>
        <w:t>SECTION 501. Health principles.</w:t>
      </w:r>
    </w:p>
    <w:p>
      <w:pPr>
        <w:pStyle w:val="LegalNumber"/>
      </w:pPr>
      <w:r>
        <w:rPr>
          <w:rFonts w:ascii="Times New Roman" w:hAnsi="Times New Roman"/>
          <w:b w:val="0"/>
          <w:color w:val="111827"/>
          <w:sz w:val="22"/>
        </w:rPr>
        <w:t>1. Health regulation under this Act shall be voluntary, confidential, evidence-based, nonstigmatizing, and designed to improve access, not punish workers or clients.</w:t>
      </w:r>
    </w:p>
    <w:p>
      <w:pPr>
        <w:pStyle w:val="LegalNumber"/>
      </w:pPr>
      <w:r>
        <w:rPr>
          <w:rFonts w:ascii="Times New Roman" w:hAnsi="Times New Roman"/>
          <w:b w:val="0"/>
          <w:color w:val="111827"/>
          <w:sz w:val="22"/>
        </w:rPr>
        <w:t>2. No person shall be required to disclose STI status, HIV status, pregnancy status, reproductive health status, disability status, mental health status, medication use, or medical records as a condition of licensing, certification, platform access, employment, contracting, services, or client access, except as required by generally applicable public-health law.</w:t>
      </w:r>
    </w:p>
    <w:p>
      <w:pPr>
        <w:pStyle w:val="LegalNumber"/>
      </w:pPr>
      <w:r>
        <w:rPr>
          <w:rFonts w:ascii="Times New Roman" w:hAnsi="Times New Roman"/>
          <w:b w:val="0"/>
          <w:color w:val="111827"/>
          <w:sz w:val="22"/>
        </w:rPr>
        <w:t>3. Mandatory STI or HIV testing shall not be required as a condition of worker certification.</w:t>
      </w:r>
    </w:p>
    <w:p>
      <w:pPr>
        <w:pStyle w:val="LegalNumber"/>
      </w:pPr>
      <w:r>
        <w:rPr>
          <w:rFonts w:ascii="Times New Roman" w:hAnsi="Times New Roman"/>
          <w:b w:val="0"/>
          <w:color w:val="111827"/>
          <w:sz w:val="22"/>
        </w:rPr>
        <w:t>4. Operators, clients, and platforms shall not advertise, imply, demand, or rely on a person’s medical examination or test result as proof that the person is free from infection or risk.</w:t>
      </w:r>
    </w:p>
    <w:p>
      <w:pPr>
        <w:spacing w:after="80"/>
      </w:pPr>
    </w:p>
    <w:p>
      <w:pPr>
        <w:pStyle w:val="SectionHeading"/>
      </w:pPr>
      <w:r>
        <w:rPr>
          <w:rFonts w:ascii="Arial" w:hAnsi="Arial"/>
          <w:b/>
          <w:color w:val="0B2545"/>
          <w:sz w:val="21"/>
        </w:rPr>
        <w:t>SECTION 502. Public health services.</w:t>
      </w:r>
    </w:p>
    <w:p>
      <w:pPr>
        <w:pStyle w:val="LegalNumber"/>
      </w:pPr>
      <w:r>
        <w:rPr>
          <w:rFonts w:ascii="Times New Roman" w:hAnsi="Times New Roman"/>
          <w:b w:val="0"/>
          <w:color w:val="111827"/>
          <w:sz w:val="22"/>
        </w:rPr>
        <w:t>1. The Department of Health, in consultation with the Commission and worker-led organizations, shall provide or fund:</w:t>
      </w:r>
    </w:p>
    <w:p>
      <w:pPr>
        <w:pStyle w:val="LegalNumber2"/>
      </w:pPr>
      <w:r>
        <w:rPr>
          <w:rFonts w:ascii="Times New Roman" w:hAnsi="Times New Roman"/>
          <w:b w:val="0"/>
          <w:color w:val="111827"/>
          <w:sz w:val="22"/>
        </w:rPr>
        <w:t>1. voluntary STI and HIV testing;</w:t>
      </w:r>
    </w:p>
    <w:p>
      <w:pPr>
        <w:pStyle w:val="LegalNumber2"/>
      </w:pPr>
      <w:r>
        <w:rPr>
          <w:rFonts w:ascii="Times New Roman" w:hAnsi="Times New Roman"/>
          <w:b w:val="0"/>
          <w:color w:val="111827"/>
          <w:sz w:val="22"/>
        </w:rPr>
        <w:t>2. vaccination access;</w:t>
      </w:r>
    </w:p>
    <w:p>
      <w:pPr>
        <w:pStyle w:val="LegalNumber2"/>
      </w:pPr>
      <w:r>
        <w:rPr>
          <w:rFonts w:ascii="Times New Roman" w:hAnsi="Times New Roman"/>
          <w:b w:val="0"/>
          <w:color w:val="111827"/>
          <w:sz w:val="22"/>
        </w:rPr>
        <w:t>3. prevention counseling;</w:t>
      </w:r>
    </w:p>
    <w:p>
      <w:pPr>
        <w:pStyle w:val="LegalNumber2"/>
      </w:pPr>
      <w:r>
        <w:rPr>
          <w:rFonts w:ascii="Times New Roman" w:hAnsi="Times New Roman"/>
          <w:b w:val="0"/>
          <w:color w:val="111827"/>
          <w:sz w:val="22"/>
        </w:rPr>
        <w:t>4. reproductive and sexual healthcare;</w:t>
      </w:r>
    </w:p>
    <w:p>
      <w:pPr>
        <w:pStyle w:val="LegalNumber2"/>
      </w:pPr>
      <w:r>
        <w:rPr>
          <w:rFonts w:ascii="Times New Roman" w:hAnsi="Times New Roman"/>
          <w:b w:val="0"/>
          <w:color w:val="111827"/>
          <w:sz w:val="22"/>
        </w:rPr>
        <w:t>5. harm-reduction services;</w:t>
      </w:r>
    </w:p>
    <w:p>
      <w:pPr>
        <w:pStyle w:val="LegalNumber2"/>
      </w:pPr>
      <w:r>
        <w:rPr>
          <w:rFonts w:ascii="Times New Roman" w:hAnsi="Times New Roman"/>
          <w:b w:val="0"/>
          <w:color w:val="111827"/>
          <w:sz w:val="22"/>
        </w:rPr>
        <w:t>6. PrEP and PEP navigation where clinically appropriate;</w:t>
      </w:r>
    </w:p>
    <w:p>
      <w:pPr>
        <w:pStyle w:val="LegalNumber2"/>
      </w:pPr>
      <w:r>
        <w:rPr>
          <w:rFonts w:ascii="Times New Roman" w:hAnsi="Times New Roman"/>
          <w:b w:val="0"/>
          <w:color w:val="111827"/>
          <w:sz w:val="22"/>
        </w:rPr>
        <w:t>7. mental health services;</w:t>
      </w:r>
    </w:p>
    <w:p>
      <w:pPr>
        <w:pStyle w:val="LegalNumber2"/>
      </w:pPr>
      <w:r>
        <w:rPr>
          <w:rFonts w:ascii="Times New Roman" w:hAnsi="Times New Roman"/>
          <w:b w:val="0"/>
          <w:color w:val="111827"/>
          <w:sz w:val="22"/>
        </w:rPr>
        <w:t>8. trauma care;</w:t>
      </w:r>
    </w:p>
    <w:p>
      <w:pPr>
        <w:pStyle w:val="LegalNumber2"/>
      </w:pPr>
      <w:r>
        <w:rPr>
          <w:rFonts w:ascii="Times New Roman" w:hAnsi="Times New Roman"/>
          <w:b w:val="0"/>
          <w:color w:val="111827"/>
          <w:sz w:val="22"/>
        </w:rPr>
        <w:t>9. disability-accessible care;</w:t>
      </w:r>
    </w:p>
    <w:p>
      <w:pPr>
        <w:pStyle w:val="LegalNumber2"/>
      </w:pPr>
      <w:r>
        <w:rPr>
          <w:rFonts w:ascii="Times New Roman" w:hAnsi="Times New Roman"/>
          <w:b w:val="0"/>
          <w:color w:val="111827"/>
          <w:sz w:val="22"/>
        </w:rPr>
        <w:t>10. culturally competent care;</w:t>
      </w:r>
    </w:p>
    <w:p>
      <w:pPr>
        <w:pStyle w:val="LegalNumber2"/>
      </w:pPr>
      <w:r>
        <w:rPr>
          <w:rFonts w:ascii="Times New Roman" w:hAnsi="Times New Roman"/>
          <w:b w:val="0"/>
          <w:color w:val="111827"/>
          <w:sz w:val="22"/>
        </w:rPr>
        <w:t>11. mobile clinics and telehealth;</w:t>
      </w:r>
    </w:p>
    <w:p>
      <w:pPr>
        <w:pStyle w:val="LegalNumber2"/>
      </w:pPr>
      <w:r>
        <w:rPr>
          <w:rFonts w:ascii="Times New Roman" w:hAnsi="Times New Roman"/>
          <w:b w:val="0"/>
          <w:color w:val="111827"/>
          <w:sz w:val="22"/>
        </w:rPr>
        <w:t>12. peer outreach;</w:t>
      </w:r>
    </w:p>
    <w:p>
      <w:pPr>
        <w:pStyle w:val="LegalNumber2"/>
      </w:pPr>
      <w:r>
        <w:rPr>
          <w:rFonts w:ascii="Times New Roman" w:hAnsi="Times New Roman"/>
          <w:b w:val="0"/>
          <w:color w:val="111827"/>
          <w:sz w:val="22"/>
        </w:rPr>
        <w:t>13. language access;</w:t>
      </w:r>
    </w:p>
    <w:p>
      <w:pPr>
        <w:pStyle w:val="LegalNumber2"/>
      </w:pPr>
      <w:r>
        <w:rPr>
          <w:rFonts w:ascii="Times New Roman" w:hAnsi="Times New Roman"/>
          <w:b w:val="0"/>
          <w:color w:val="111827"/>
          <w:sz w:val="22"/>
        </w:rPr>
        <w:t>14. healthcare enrollment support.</w:t>
      </w:r>
    </w:p>
    <w:p>
      <w:pPr>
        <w:pStyle w:val="LegalNumber"/>
      </w:pPr>
      <w:r>
        <w:rPr>
          <w:rFonts w:ascii="Times New Roman" w:hAnsi="Times New Roman"/>
          <w:b w:val="0"/>
          <w:color w:val="111827"/>
          <w:sz w:val="22"/>
        </w:rPr>
        <w:t>2. Services shall be available regardless of certification status, immigration status, income, housing status, gender identity, sexual orientation, disability, or willingness to cooperate with law enforcement.</w:t>
      </w:r>
    </w:p>
    <w:p>
      <w:pPr>
        <w:pStyle w:val="LegalNumber"/>
      </w:pPr>
      <w:r>
        <w:rPr>
          <w:rFonts w:ascii="Times New Roman" w:hAnsi="Times New Roman"/>
          <w:b w:val="0"/>
          <w:color w:val="111827"/>
          <w:sz w:val="22"/>
        </w:rPr>
        <w:t>3. Healthcare providers shall not report lawful adult intimate work to law enforcement, licensing authorities, immigration authorities, landlords, employers, or family members without the patient’s written consent, except as required by laws governing minors, imminent serious harm, abuse of vulnerable adults, court orders, or mandatory reporting of trafficking where applicable.</w:t>
      </w:r>
    </w:p>
    <w:p>
      <w:pPr>
        <w:spacing w:after="80"/>
      </w:pPr>
    </w:p>
    <w:p>
      <w:pPr>
        <w:pStyle w:val="SectionHeading"/>
      </w:pPr>
      <w:r>
        <w:rPr>
          <w:rFonts w:ascii="Arial" w:hAnsi="Arial"/>
          <w:b/>
          <w:color w:val="0B2545"/>
          <w:sz w:val="21"/>
        </w:rPr>
        <w:t>SECTION 503. Occupational safety standards.</w:t>
      </w:r>
    </w:p>
    <w:p>
      <w:pPr>
        <w:pStyle w:val="LegalNumber"/>
      </w:pPr>
      <w:r>
        <w:rPr>
          <w:rFonts w:ascii="Times New Roman" w:hAnsi="Times New Roman"/>
          <w:b w:val="0"/>
          <w:color w:val="111827"/>
          <w:sz w:val="22"/>
        </w:rPr>
        <w:t>1. The Commission, with the Department of Health and Department of Labor, shall promulgate occupational safety rules covering:</w:t>
      </w:r>
    </w:p>
    <w:p>
      <w:pPr>
        <w:pStyle w:val="LegalNumber2"/>
      </w:pPr>
      <w:r>
        <w:rPr>
          <w:rFonts w:ascii="Times New Roman" w:hAnsi="Times New Roman"/>
          <w:b w:val="0"/>
          <w:color w:val="111827"/>
          <w:sz w:val="22"/>
        </w:rPr>
        <w:t>1. emergency alerts;</w:t>
      </w:r>
    </w:p>
    <w:p>
      <w:pPr>
        <w:pStyle w:val="LegalNumber2"/>
      </w:pPr>
      <w:r>
        <w:rPr>
          <w:rFonts w:ascii="Times New Roman" w:hAnsi="Times New Roman"/>
          <w:b w:val="0"/>
          <w:color w:val="111827"/>
          <w:sz w:val="22"/>
        </w:rPr>
        <w:t>2. premises safety;</w:t>
      </w:r>
    </w:p>
    <w:p>
      <w:pPr>
        <w:pStyle w:val="LegalNumber2"/>
      </w:pPr>
      <w:r>
        <w:rPr>
          <w:rFonts w:ascii="Times New Roman" w:hAnsi="Times New Roman"/>
          <w:b w:val="0"/>
          <w:color w:val="111827"/>
          <w:sz w:val="22"/>
        </w:rPr>
        <w:t>3. sanitation;</w:t>
      </w:r>
    </w:p>
    <w:p>
      <w:pPr>
        <w:pStyle w:val="LegalNumber2"/>
      </w:pPr>
      <w:r>
        <w:rPr>
          <w:rFonts w:ascii="Times New Roman" w:hAnsi="Times New Roman"/>
          <w:b w:val="0"/>
          <w:color w:val="111827"/>
          <w:sz w:val="22"/>
        </w:rPr>
        <w:t>4. infectious-disease prevention;</w:t>
      </w:r>
    </w:p>
    <w:p>
      <w:pPr>
        <w:pStyle w:val="LegalNumber2"/>
      </w:pPr>
      <w:r>
        <w:rPr>
          <w:rFonts w:ascii="Times New Roman" w:hAnsi="Times New Roman"/>
          <w:b w:val="0"/>
          <w:color w:val="111827"/>
          <w:sz w:val="22"/>
        </w:rPr>
        <w:t>5. safe transportation;</w:t>
      </w:r>
    </w:p>
    <w:p>
      <w:pPr>
        <w:pStyle w:val="LegalNumber2"/>
      </w:pPr>
      <w:r>
        <w:rPr>
          <w:rFonts w:ascii="Times New Roman" w:hAnsi="Times New Roman"/>
          <w:b w:val="0"/>
          <w:color w:val="111827"/>
          <w:sz w:val="22"/>
        </w:rPr>
        <w:t>6. de-escalation;</w:t>
      </w:r>
    </w:p>
    <w:p>
      <w:pPr>
        <w:pStyle w:val="LegalNumber2"/>
      </w:pPr>
      <w:r>
        <w:rPr>
          <w:rFonts w:ascii="Times New Roman" w:hAnsi="Times New Roman"/>
          <w:b w:val="0"/>
          <w:color w:val="111827"/>
          <w:sz w:val="22"/>
        </w:rPr>
        <w:t>7. intoxication screening;</w:t>
      </w:r>
    </w:p>
    <w:p>
      <w:pPr>
        <w:pStyle w:val="LegalNumber2"/>
      </w:pPr>
      <w:r>
        <w:rPr>
          <w:rFonts w:ascii="Times New Roman" w:hAnsi="Times New Roman"/>
          <w:b w:val="0"/>
          <w:color w:val="111827"/>
          <w:sz w:val="22"/>
        </w:rPr>
        <w:t>8. incident documentation;</w:t>
      </w:r>
    </w:p>
    <w:p>
      <w:pPr>
        <w:pStyle w:val="LegalNumber2"/>
      </w:pPr>
      <w:r>
        <w:rPr>
          <w:rFonts w:ascii="Times New Roman" w:hAnsi="Times New Roman"/>
          <w:b w:val="0"/>
          <w:color w:val="111827"/>
          <w:sz w:val="22"/>
        </w:rPr>
        <w:t>9. worker rest and recovery;</w:t>
      </w:r>
    </w:p>
    <w:p>
      <w:pPr>
        <w:pStyle w:val="LegalNumber2"/>
      </w:pPr>
      <w:r>
        <w:rPr>
          <w:rFonts w:ascii="Times New Roman" w:hAnsi="Times New Roman"/>
          <w:b w:val="0"/>
          <w:color w:val="111827"/>
          <w:sz w:val="22"/>
        </w:rPr>
        <w:t>10. accessible premises;</w:t>
      </w:r>
    </w:p>
    <w:p>
      <w:pPr>
        <w:pStyle w:val="LegalNumber2"/>
      </w:pPr>
      <w:r>
        <w:rPr>
          <w:rFonts w:ascii="Times New Roman" w:hAnsi="Times New Roman"/>
          <w:b w:val="0"/>
          <w:color w:val="111827"/>
          <w:sz w:val="22"/>
        </w:rPr>
        <w:t>11. privacy and surveillance limits;</w:t>
      </w:r>
    </w:p>
    <w:p>
      <w:pPr>
        <w:pStyle w:val="LegalNumber2"/>
      </w:pPr>
      <w:r>
        <w:rPr>
          <w:rFonts w:ascii="Times New Roman" w:hAnsi="Times New Roman"/>
          <w:b w:val="0"/>
          <w:color w:val="111827"/>
          <w:sz w:val="22"/>
        </w:rPr>
        <w:t>12. secure payment;</w:t>
      </w:r>
    </w:p>
    <w:p>
      <w:pPr>
        <w:pStyle w:val="LegalNumber2"/>
      </w:pPr>
      <w:r>
        <w:rPr>
          <w:rFonts w:ascii="Times New Roman" w:hAnsi="Times New Roman"/>
          <w:b w:val="0"/>
          <w:color w:val="111827"/>
          <w:sz w:val="22"/>
        </w:rPr>
        <w:t>13. lone-worker safety;</w:t>
      </w:r>
    </w:p>
    <w:p>
      <w:pPr>
        <w:pStyle w:val="LegalNumber2"/>
      </w:pPr>
      <w:r>
        <w:rPr>
          <w:rFonts w:ascii="Times New Roman" w:hAnsi="Times New Roman"/>
          <w:b w:val="0"/>
          <w:color w:val="111827"/>
          <w:sz w:val="22"/>
        </w:rPr>
        <w:t>14. content-production safety.</w:t>
      </w:r>
    </w:p>
    <w:p>
      <w:pPr>
        <w:pStyle w:val="LegalNumber"/>
      </w:pPr>
      <w:r>
        <w:rPr>
          <w:rFonts w:ascii="Times New Roman" w:hAnsi="Times New Roman"/>
          <w:b w:val="0"/>
          <w:color w:val="111827"/>
          <w:sz w:val="22"/>
        </w:rPr>
        <w:t>2. Rules shall require establishments and agencies to provide safety tools at no cost to workers.</w:t>
      </w:r>
    </w:p>
    <w:p>
      <w:pPr>
        <w:pStyle w:val="LegalNumber"/>
      </w:pPr>
      <w:r>
        <w:rPr>
          <w:rFonts w:ascii="Times New Roman" w:hAnsi="Times New Roman"/>
          <w:b w:val="0"/>
          <w:color w:val="111827"/>
          <w:sz w:val="22"/>
        </w:rPr>
        <w:t>3. The Commission shall create a model safety plan and shall approve alternative plans that provide equal or greater protection.</w:t>
      </w:r>
    </w:p>
    <w:p>
      <w:pPr>
        <w:spacing w:after="80"/>
      </w:pPr>
    </w:p>
    <w:p>
      <w:pPr>
        <w:pStyle w:val="SectionHeading"/>
      </w:pPr>
      <w:r>
        <w:rPr>
          <w:rFonts w:ascii="Arial" w:hAnsi="Arial"/>
          <w:b/>
          <w:color w:val="0B2545"/>
          <w:sz w:val="21"/>
        </w:rPr>
        <w:t>SECTION 504. Panic systems and emergency protocols.</w:t>
      </w:r>
    </w:p>
    <w:p>
      <w:pPr>
        <w:pStyle w:val="LegalNumber"/>
      </w:pPr>
      <w:r>
        <w:rPr>
          <w:rFonts w:ascii="Times New Roman" w:hAnsi="Times New Roman"/>
          <w:b w:val="0"/>
          <w:color w:val="111827"/>
          <w:sz w:val="22"/>
        </w:rPr>
        <w:t>1. Every licensed establishment shall install worker-controlled panic systems in every service room and production area.</w:t>
      </w:r>
    </w:p>
    <w:p>
      <w:pPr>
        <w:pStyle w:val="LegalNumber"/>
      </w:pPr>
      <w:r>
        <w:rPr>
          <w:rFonts w:ascii="Times New Roman" w:hAnsi="Times New Roman"/>
          <w:b w:val="0"/>
          <w:color w:val="111827"/>
          <w:sz w:val="22"/>
        </w:rPr>
        <w:t>2. Panic systems shall:</w:t>
      </w:r>
    </w:p>
    <w:p>
      <w:pPr>
        <w:pStyle w:val="LegalNumber2"/>
      </w:pPr>
      <w:r>
        <w:rPr>
          <w:rFonts w:ascii="Times New Roman" w:hAnsi="Times New Roman"/>
          <w:b w:val="0"/>
          <w:color w:val="111827"/>
          <w:sz w:val="22"/>
        </w:rPr>
        <w:t>1. be reachable without crossing the room;</w:t>
      </w:r>
    </w:p>
    <w:p>
      <w:pPr>
        <w:pStyle w:val="LegalNumber2"/>
      </w:pPr>
      <w:r>
        <w:rPr>
          <w:rFonts w:ascii="Times New Roman" w:hAnsi="Times New Roman"/>
          <w:b w:val="0"/>
          <w:color w:val="111827"/>
          <w:sz w:val="22"/>
        </w:rPr>
        <w:t>2. silently alert trained response personnel;</w:t>
      </w:r>
    </w:p>
    <w:p>
      <w:pPr>
        <w:pStyle w:val="LegalNumber2"/>
      </w:pPr>
      <w:r>
        <w:rPr>
          <w:rFonts w:ascii="Times New Roman" w:hAnsi="Times New Roman"/>
          <w:b w:val="0"/>
          <w:color w:val="111827"/>
          <w:sz w:val="22"/>
        </w:rPr>
        <w:t>3. provide a backup alert method;</w:t>
      </w:r>
    </w:p>
    <w:p>
      <w:pPr>
        <w:pStyle w:val="LegalNumber2"/>
      </w:pPr>
      <w:r>
        <w:rPr>
          <w:rFonts w:ascii="Times New Roman" w:hAnsi="Times New Roman"/>
          <w:b w:val="0"/>
          <w:color w:val="111827"/>
          <w:sz w:val="22"/>
        </w:rPr>
        <w:t>4. be tested weekly;</w:t>
      </w:r>
    </w:p>
    <w:p>
      <w:pPr>
        <w:pStyle w:val="LegalNumber2"/>
      </w:pPr>
      <w:r>
        <w:rPr>
          <w:rFonts w:ascii="Times New Roman" w:hAnsi="Times New Roman"/>
          <w:b w:val="0"/>
          <w:color w:val="111827"/>
          <w:sz w:val="22"/>
        </w:rPr>
        <w:t>5. be accessible to workers with disabilities;</w:t>
      </w:r>
    </w:p>
    <w:p>
      <w:pPr>
        <w:pStyle w:val="LegalNumber2"/>
      </w:pPr>
      <w:r>
        <w:rPr>
          <w:rFonts w:ascii="Times New Roman" w:hAnsi="Times New Roman"/>
          <w:b w:val="0"/>
          <w:color w:val="111827"/>
          <w:sz w:val="22"/>
        </w:rPr>
        <w:t>6. not record audio or video in service rooms.</w:t>
      </w:r>
    </w:p>
    <w:p>
      <w:pPr>
        <w:pStyle w:val="LegalNumber"/>
      </w:pPr>
      <w:r>
        <w:rPr>
          <w:rFonts w:ascii="Times New Roman" w:hAnsi="Times New Roman"/>
          <w:b w:val="0"/>
          <w:color w:val="111827"/>
          <w:sz w:val="22"/>
        </w:rPr>
        <w:t>3. Agencies arranging off-premises services shall provide:</w:t>
      </w:r>
    </w:p>
    <w:p>
      <w:pPr>
        <w:pStyle w:val="LegalNumber2"/>
      </w:pPr>
      <w:r>
        <w:rPr>
          <w:rFonts w:ascii="Times New Roman" w:hAnsi="Times New Roman"/>
          <w:b w:val="0"/>
          <w:color w:val="111827"/>
          <w:sz w:val="22"/>
        </w:rPr>
        <w:t>1. check-in protocols;</w:t>
      </w:r>
    </w:p>
    <w:p>
      <w:pPr>
        <w:pStyle w:val="LegalNumber2"/>
      </w:pPr>
      <w:r>
        <w:rPr>
          <w:rFonts w:ascii="Times New Roman" w:hAnsi="Times New Roman"/>
          <w:b w:val="0"/>
          <w:color w:val="111827"/>
          <w:sz w:val="22"/>
        </w:rPr>
        <w:t>2. location verification chosen by the worker;</w:t>
      </w:r>
    </w:p>
    <w:p>
      <w:pPr>
        <w:pStyle w:val="LegalNumber2"/>
      </w:pPr>
      <w:r>
        <w:rPr>
          <w:rFonts w:ascii="Times New Roman" w:hAnsi="Times New Roman"/>
          <w:b w:val="0"/>
          <w:color w:val="111827"/>
          <w:sz w:val="22"/>
        </w:rPr>
        <w:t>3. emergency contacts;</w:t>
      </w:r>
    </w:p>
    <w:p>
      <w:pPr>
        <w:pStyle w:val="LegalNumber2"/>
      </w:pPr>
      <w:r>
        <w:rPr>
          <w:rFonts w:ascii="Times New Roman" w:hAnsi="Times New Roman"/>
          <w:b w:val="0"/>
          <w:color w:val="111827"/>
          <w:sz w:val="22"/>
        </w:rPr>
        <w:t>4. safe transportation plans;</w:t>
      </w:r>
    </w:p>
    <w:p>
      <w:pPr>
        <w:pStyle w:val="LegalNumber2"/>
      </w:pPr>
      <w:r>
        <w:rPr>
          <w:rFonts w:ascii="Times New Roman" w:hAnsi="Times New Roman"/>
          <w:b w:val="0"/>
          <w:color w:val="111827"/>
          <w:sz w:val="22"/>
        </w:rPr>
        <w:t>5. client screening;</w:t>
      </w:r>
    </w:p>
    <w:p>
      <w:pPr>
        <w:pStyle w:val="LegalNumber2"/>
      </w:pPr>
      <w:r>
        <w:rPr>
          <w:rFonts w:ascii="Times New Roman" w:hAnsi="Times New Roman"/>
          <w:b w:val="0"/>
          <w:color w:val="111827"/>
          <w:sz w:val="22"/>
        </w:rPr>
        <w:t>6. distress codes;</w:t>
      </w:r>
    </w:p>
    <w:p>
      <w:pPr>
        <w:pStyle w:val="LegalNumber2"/>
      </w:pPr>
      <w:r>
        <w:rPr>
          <w:rFonts w:ascii="Times New Roman" w:hAnsi="Times New Roman"/>
          <w:b w:val="0"/>
          <w:color w:val="111827"/>
          <w:sz w:val="22"/>
        </w:rPr>
        <w:t>7. rapid response.</w:t>
      </w:r>
    </w:p>
    <w:p>
      <w:pPr>
        <w:pStyle w:val="LegalNumber"/>
      </w:pPr>
      <w:r>
        <w:rPr>
          <w:rFonts w:ascii="Times New Roman" w:hAnsi="Times New Roman"/>
          <w:b w:val="0"/>
          <w:color w:val="111827"/>
          <w:sz w:val="22"/>
        </w:rPr>
        <w:t>4. Workers may decline any location that lacks reasonable safety measures.</w:t>
      </w:r>
    </w:p>
    <w:p>
      <w:pPr>
        <w:spacing w:after="80"/>
      </w:pPr>
    </w:p>
    <w:p>
      <w:pPr>
        <w:pStyle w:val="SectionHeading"/>
      </w:pPr>
      <w:r>
        <w:rPr>
          <w:rFonts w:ascii="Arial" w:hAnsi="Arial"/>
          <w:b/>
          <w:color w:val="0B2545"/>
          <w:sz w:val="21"/>
        </w:rPr>
        <w:t>SECTION 505. Training.</w:t>
      </w:r>
    </w:p>
    <w:p>
      <w:pPr>
        <w:pStyle w:val="LegalNumber"/>
      </w:pPr>
      <w:r>
        <w:rPr>
          <w:rFonts w:ascii="Times New Roman" w:hAnsi="Times New Roman"/>
          <w:b w:val="0"/>
          <w:color w:val="111827"/>
          <w:sz w:val="22"/>
        </w:rPr>
        <w:t>1. Operators, managers, security staff, platform moderators, booking staff, production staff, and inspectors shall complete annual training on:</w:t>
      </w:r>
    </w:p>
    <w:p>
      <w:pPr>
        <w:pStyle w:val="LegalNumber2"/>
      </w:pPr>
      <w:r>
        <w:rPr>
          <w:rFonts w:ascii="Times New Roman" w:hAnsi="Times New Roman"/>
          <w:b w:val="0"/>
          <w:color w:val="111827"/>
          <w:sz w:val="22"/>
        </w:rPr>
        <w:t>1. consent;</w:t>
      </w:r>
    </w:p>
    <w:p>
      <w:pPr>
        <w:pStyle w:val="LegalNumber2"/>
      </w:pPr>
      <w:r>
        <w:rPr>
          <w:rFonts w:ascii="Times New Roman" w:hAnsi="Times New Roman"/>
          <w:b w:val="0"/>
          <w:color w:val="111827"/>
          <w:sz w:val="22"/>
        </w:rPr>
        <w:t>2. harassment prevention;</w:t>
      </w:r>
    </w:p>
    <w:p>
      <w:pPr>
        <w:pStyle w:val="LegalNumber2"/>
      </w:pPr>
      <w:r>
        <w:rPr>
          <w:rFonts w:ascii="Times New Roman" w:hAnsi="Times New Roman"/>
          <w:b w:val="0"/>
          <w:color w:val="111827"/>
          <w:sz w:val="22"/>
        </w:rPr>
        <w:t>3. discrimination prevention;</w:t>
      </w:r>
    </w:p>
    <w:p>
      <w:pPr>
        <w:pStyle w:val="LegalNumber2"/>
      </w:pPr>
      <w:r>
        <w:rPr>
          <w:rFonts w:ascii="Times New Roman" w:hAnsi="Times New Roman"/>
          <w:b w:val="0"/>
          <w:color w:val="111827"/>
          <w:sz w:val="22"/>
        </w:rPr>
        <w:t>4. trafficking indicators;</w:t>
      </w:r>
    </w:p>
    <w:p>
      <w:pPr>
        <w:pStyle w:val="LegalNumber2"/>
      </w:pPr>
      <w:r>
        <w:rPr>
          <w:rFonts w:ascii="Times New Roman" w:hAnsi="Times New Roman"/>
          <w:b w:val="0"/>
          <w:color w:val="111827"/>
          <w:sz w:val="22"/>
        </w:rPr>
        <w:t>5. minor-safety indicators;</w:t>
      </w:r>
    </w:p>
    <w:p>
      <w:pPr>
        <w:pStyle w:val="LegalNumber2"/>
      </w:pPr>
      <w:r>
        <w:rPr>
          <w:rFonts w:ascii="Times New Roman" w:hAnsi="Times New Roman"/>
          <w:b w:val="0"/>
          <w:color w:val="111827"/>
          <w:sz w:val="22"/>
        </w:rPr>
        <w:t>6. privacy;</w:t>
      </w:r>
    </w:p>
    <w:p>
      <w:pPr>
        <w:pStyle w:val="LegalNumber2"/>
      </w:pPr>
      <w:r>
        <w:rPr>
          <w:rFonts w:ascii="Times New Roman" w:hAnsi="Times New Roman"/>
          <w:b w:val="0"/>
          <w:color w:val="111827"/>
          <w:sz w:val="22"/>
        </w:rPr>
        <w:t>7. emergency response;</w:t>
      </w:r>
    </w:p>
    <w:p>
      <w:pPr>
        <w:pStyle w:val="LegalNumber2"/>
      </w:pPr>
      <w:r>
        <w:rPr>
          <w:rFonts w:ascii="Times New Roman" w:hAnsi="Times New Roman"/>
          <w:b w:val="0"/>
          <w:color w:val="111827"/>
          <w:sz w:val="22"/>
        </w:rPr>
        <w:t>8. trauma-informed communication;</w:t>
      </w:r>
    </w:p>
    <w:p>
      <w:pPr>
        <w:pStyle w:val="LegalNumber2"/>
      </w:pPr>
      <w:r>
        <w:rPr>
          <w:rFonts w:ascii="Times New Roman" w:hAnsi="Times New Roman"/>
          <w:b w:val="0"/>
          <w:color w:val="111827"/>
          <w:sz w:val="22"/>
        </w:rPr>
        <w:t>9. disability access;</w:t>
      </w:r>
    </w:p>
    <w:p>
      <w:pPr>
        <w:pStyle w:val="LegalNumber2"/>
      </w:pPr>
      <w:r>
        <w:rPr>
          <w:rFonts w:ascii="Times New Roman" w:hAnsi="Times New Roman"/>
          <w:b w:val="0"/>
          <w:color w:val="111827"/>
          <w:sz w:val="22"/>
        </w:rPr>
        <w:t>10. language access;</w:t>
      </w:r>
    </w:p>
    <w:p>
      <w:pPr>
        <w:pStyle w:val="LegalNumber2"/>
      </w:pPr>
      <w:r>
        <w:rPr>
          <w:rFonts w:ascii="Times New Roman" w:hAnsi="Times New Roman"/>
          <w:b w:val="0"/>
          <w:color w:val="111827"/>
          <w:sz w:val="22"/>
        </w:rPr>
        <w:t>11. health and sanitation;</w:t>
      </w:r>
    </w:p>
    <w:p>
      <w:pPr>
        <w:pStyle w:val="LegalNumber2"/>
      </w:pPr>
      <w:r>
        <w:rPr>
          <w:rFonts w:ascii="Times New Roman" w:hAnsi="Times New Roman"/>
          <w:b w:val="0"/>
          <w:color w:val="111827"/>
          <w:sz w:val="22"/>
        </w:rPr>
        <w:t>12. due process;</w:t>
      </w:r>
    </w:p>
    <w:p>
      <w:pPr>
        <w:pStyle w:val="LegalNumber2"/>
      </w:pPr>
      <w:r>
        <w:rPr>
          <w:rFonts w:ascii="Times New Roman" w:hAnsi="Times New Roman"/>
          <w:b w:val="0"/>
          <w:color w:val="111827"/>
          <w:sz w:val="22"/>
        </w:rPr>
        <w:t>13. evidence preservation.</w:t>
      </w:r>
    </w:p>
    <w:p>
      <w:pPr>
        <w:pStyle w:val="LegalNumber"/>
      </w:pPr>
      <w:r>
        <w:rPr>
          <w:rFonts w:ascii="Times New Roman" w:hAnsi="Times New Roman"/>
          <w:b w:val="0"/>
          <w:color w:val="111827"/>
          <w:sz w:val="22"/>
        </w:rPr>
        <w:t>2. Training shall be developed with worker-led organizations, survivor-support organizations, public-health experts, labor experts, civil-rights organizations, and law enforcement victim specialists.</w:t>
      </w:r>
    </w:p>
    <w:p>
      <w:pPr>
        <w:spacing w:after="80"/>
      </w:pPr>
    </w:p>
    <w:p>
      <w:pPr>
        <w:pStyle w:val="TitleHeading"/>
      </w:pPr>
      <w:r>
        <w:rPr>
          <w:rFonts w:ascii="Arial" w:hAnsi="Arial"/>
          <w:b/>
          <w:color w:val="0B2545"/>
          <w:sz w:val="22"/>
        </w:rPr>
        <w:t>TITLE VI. ANTI-HARASSMENT, ANTI-DISCRIMINATION, AND CIVIL RIGHTS</w:t>
      </w:r>
    </w:p>
    <w:p>
      <w:pPr>
        <w:pStyle w:val="SectionHeading"/>
      </w:pPr>
      <w:r>
        <w:rPr>
          <w:rFonts w:ascii="Arial" w:hAnsi="Arial"/>
          <w:b/>
          <w:color w:val="0B2545"/>
          <w:sz w:val="21"/>
        </w:rPr>
        <w:t>SECTION 601. Prohibited harassment and discrimination.</w:t>
      </w:r>
    </w:p>
    <w:p>
      <w:pPr>
        <w:pStyle w:val="LegalNumber"/>
      </w:pPr>
      <w:r>
        <w:rPr>
          <w:rFonts w:ascii="Times New Roman" w:hAnsi="Times New Roman"/>
          <w:b w:val="0"/>
          <w:color w:val="111827"/>
          <w:sz w:val="22"/>
        </w:rPr>
        <w:t>1. A person shall not harass, discriminate against, segregate, exclude, deny service to, underpay, discipline, evict, deplatform, blacklist, threaten, or retaliate against a person because of:</w:t>
      </w:r>
    </w:p>
    <w:p>
      <w:pPr>
        <w:pStyle w:val="LegalNumber2"/>
      </w:pPr>
      <w:r>
        <w:rPr>
          <w:rFonts w:ascii="Times New Roman" w:hAnsi="Times New Roman"/>
          <w:b w:val="0"/>
          <w:color w:val="111827"/>
          <w:sz w:val="22"/>
        </w:rPr>
        <w:t>1. a protected characteristic;</w:t>
      </w:r>
    </w:p>
    <w:p>
      <w:pPr>
        <w:pStyle w:val="LegalNumber2"/>
      </w:pPr>
      <w:r>
        <w:rPr>
          <w:rFonts w:ascii="Times New Roman" w:hAnsi="Times New Roman"/>
          <w:b w:val="0"/>
          <w:color w:val="111827"/>
          <w:sz w:val="22"/>
        </w:rPr>
        <w:t>2. lawful adult intimate work;</w:t>
      </w:r>
    </w:p>
    <w:p>
      <w:pPr>
        <w:pStyle w:val="LegalNumber2"/>
      </w:pPr>
      <w:r>
        <w:rPr>
          <w:rFonts w:ascii="Times New Roman" w:hAnsi="Times New Roman"/>
          <w:b w:val="0"/>
          <w:color w:val="111827"/>
          <w:sz w:val="22"/>
        </w:rPr>
        <w:t>3. refusal or withdrawal of consent;</w:t>
      </w:r>
    </w:p>
    <w:p>
      <w:pPr>
        <w:pStyle w:val="LegalNumber2"/>
      </w:pPr>
      <w:r>
        <w:rPr>
          <w:rFonts w:ascii="Times New Roman" w:hAnsi="Times New Roman"/>
          <w:b w:val="0"/>
          <w:color w:val="111827"/>
          <w:sz w:val="22"/>
        </w:rPr>
        <w:t>4. reporting, assisting, or opposing conduct prohibited by this Act;</w:t>
      </w:r>
    </w:p>
    <w:p>
      <w:pPr>
        <w:pStyle w:val="LegalNumber2"/>
      </w:pPr>
      <w:r>
        <w:rPr>
          <w:rFonts w:ascii="Times New Roman" w:hAnsi="Times New Roman"/>
          <w:b w:val="0"/>
          <w:color w:val="111827"/>
          <w:sz w:val="22"/>
        </w:rPr>
        <w:t>5. prior victimization;</w:t>
      </w:r>
    </w:p>
    <w:p>
      <w:pPr>
        <w:pStyle w:val="LegalNumber2"/>
      </w:pPr>
      <w:r>
        <w:rPr>
          <w:rFonts w:ascii="Times New Roman" w:hAnsi="Times New Roman"/>
          <w:b w:val="0"/>
          <w:color w:val="111827"/>
          <w:sz w:val="22"/>
        </w:rPr>
        <w:t>6. participation in healthcare, legal aid, advocacy, or worker organization.</w:t>
      </w:r>
    </w:p>
    <w:p>
      <w:pPr>
        <w:pStyle w:val="LegalNumber"/>
      </w:pPr>
      <w:r>
        <w:rPr>
          <w:rFonts w:ascii="Times New Roman" w:hAnsi="Times New Roman"/>
          <w:b w:val="0"/>
          <w:color w:val="111827"/>
          <w:sz w:val="22"/>
        </w:rPr>
        <w:t>2. Prohibited conduct includes:</w:t>
      </w:r>
    </w:p>
    <w:p>
      <w:pPr>
        <w:pStyle w:val="LegalNumber2"/>
      </w:pPr>
      <w:r>
        <w:rPr>
          <w:rFonts w:ascii="Times New Roman" w:hAnsi="Times New Roman"/>
          <w:b w:val="0"/>
          <w:color w:val="111827"/>
          <w:sz w:val="22"/>
        </w:rPr>
        <w:t>1. quid pro quo sexual demands;</w:t>
      </w:r>
    </w:p>
    <w:p>
      <w:pPr>
        <w:pStyle w:val="LegalNumber2"/>
      </w:pPr>
      <w:r>
        <w:rPr>
          <w:rFonts w:ascii="Times New Roman" w:hAnsi="Times New Roman"/>
          <w:b w:val="0"/>
          <w:color w:val="111827"/>
          <w:sz w:val="22"/>
        </w:rPr>
        <w:t>2. hostile work environment;</w:t>
      </w:r>
    </w:p>
    <w:p>
      <w:pPr>
        <w:pStyle w:val="LegalNumber2"/>
      </w:pPr>
      <w:r>
        <w:rPr>
          <w:rFonts w:ascii="Times New Roman" w:hAnsi="Times New Roman"/>
          <w:b w:val="0"/>
          <w:color w:val="111827"/>
          <w:sz w:val="22"/>
        </w:rPr>
        <w:t>3. hostile service environment;</w:t>
      </w:r>
    </w:p>
    <w:p>
      <w:pPr>
        <w:pStyle w:val="LegalNumber2"/>
      </w:pPr>
      <w:r>
        <w:rPr>
          <w:rFonts w:ascii="Times New Roman" w:hAnsi="Times New Roman"/>
          <w:b w:val="0"/>
          <w:color w:val="111827"/>
          <w:sz w:val="22"/>
        </w:rPr>
        <w:t>4. discriminatory client or worker selection by a business;</w:t>
      </w:r>
    </w:p>
    <w:p>
      <w:pPr>
        <w:pStyle w:val="LegalNumber2"/>
      </w:pPr>
      <w:r>
        <w:rPr>
          <w:rFonts w:ascii="Times New Roman" w:hAnsi="Times New Roman"/>
          <w:b w:val="0"/>
          <w:color w:val="111827"/>
          <w:sz w:val="22"/>
        </w:rPr>
        <w:t>5. refusal to accommodate disability;</w:t>
      </w:r>
    </w:p>
    <w:p>
      <w:pPr>
        <w:pStyle w:val="LegalNumber2"/>
      </w:pPr>
      <w:r>
        <w:rPr>
          <w:rFonts w:ascii="Times New Roman" w:hAnsi="Times New Roman"/>
          <w:b w:val="0"/>
          <w:color w:val="111827"/>
          <w:sz w:val="22"/>
        </w:rPr>
        <w:t>6. racialized, gender-based, anti-LGBTQ, xenophobic, age-based, body-based, disability-based, or health-status-based harassment;</w:t>
      </w:r>
    </w:p>
    <w:p>
      <w:pPr>
        <w:pStyle w:val="LegalNumber2"/>
      </w:pPr>
      <w:r>
        <w:rPr>
          <w:rFonts w:ascii="Times New Roman" w:hAnsi="Times New Roman"/>
          <w:b w:val="0"/>
          <w:color w:val="111827"/>
          <w:sz w:val="22"/>
        </w:rPr>
        <w:t>7. outing, doxxing, misgendering done as harassment, deadnaming done as harassment, or disclosure of private information;</w:t>
      </w:r>
    </w:p>
    <w:p>
      <w:pPr>
        <w:pStyle w:val="LegalNumber2"/>
      </w:pPr>
      <w:r>
        <w:rPr>
          <w:rFonts w:ascii="Times New Roman" w:hAnsi="Times New Roman"/>
          <w:b w:val="0"/>
          <w:color w:val="111827"/>
          <w:sz w:val="22"/>
        </w:rPr>
        <w:t>8. threats to contact immigration, law enforcement, family, employers, landlords, schools, or child-custody authorities;</w:t>
      </w:r>
    </w:p>
    <w:p>
      <w:pPr>
        <w:pStyle w:val="LegalNumber2"/>
      </w:pPr>
      <w:r>
        <w:rPr>
          <w:rFonts w:ascii="Times New Roman" w:hAnsi="Times New Roman"/>
          <w:b w:val="0"/>
          <w:color w:val="111827"/>
          <w:sz w:val="22"/>
        </w:rPr>
        <w:t>9. retaliatory reviews, blacklists, platform reports, or safety-list misuse.</w:t>
      </w:r>
    </w:p>
    <w:p>
      <w:pPr>
        <w:spacing w:after="80"/>
      </w:pPr>
    </w:p>
    <w:p>
      <w:pPr>
        <w:pStyle w:val="SectionHeading"/>
      </w:pPr>
      <w:r>
        <w:rPr>
          <w:rFonts w:ascii="Arial" w:hAnsi="Arial"/>
          <w:b/>
          <w:color w:val="0B2545"/>
          <w:sz w:val="21"/>
        </w:rPr>
        <w:t>SECTION 602. Civil rights enforcement.</w:t>
      </w:r>
    </w:p>
    <w:p>
      <w:pPr>
        <w:pStyle w:val="LegalNumber"/>
      </w:pPr>
      <w:r>
        <w:rPr>
          <w:rFonts w:ascii="Times New Roman" w:hAnsi="Times New Roman"/>
          <w:b w:val="0"/>
          <w:color w:val="111827"/>
          <w:sz w:val="22"/>
        </w:rPr>
        <w:t>1. A person aggrieved by a violation of this Title may file a complaint with the Commission, the State Civil Rights Agency, the Attorney General, or a court.</w:t>
      </w:r>
    </w:p>
    <w:p>
      <w:pPr>
        <w:pStyle w:val="LegalNumber"/>
      </w:pPr>
      <w:r>
        <w:rPr>
          <w:rFonts w:ascii="Times New Roman" w:hAnsi="Times New Roman"/>
          <w:b w:val="0"/>
          <w:color w:val="111827"/>
          <w:sz w:val="22"/>
        </w:rPr>
        <w:t>2. Administrative complaints shall be accepted in person, online, by phone, by mail, through advocates, anonymously for intelligence purposes, and confidentially for enforcement purposes.</w:t>
      </w:r>
    </w:p>
    <w:p>
      <w:pPr>
        <w:pStyle w:val="LegalNumber"/>
      </w:pPr>
      <w:r>
        <w:rPr>
          <w:rFonts w:ascii="Times New Roman" w:hAnsi="Times New Roman"/>
          <w:b w:val="0"/>
          <w:color w:val="111827"/>
          <w:sz w:val="22"/>
        </w:rPr>
        <w:t>3. Remedies may include:</w:t>
      </w:r>
    </w:p>
    <w:p>
      <w:pPr>
        <w:pStyle w:val="LegalNumber2"/>
      </w:pPr>
      <w:r>
        <w:rPr>
          <w:rFonts w:ascii="Times New Roman" w:hAnsi="Times New Roman"/>
          <w:b w:val="0"/>
          <w:color w:val="111827"/>
          <w:sz w:val="22"/>
        </w:rPr>
        <w:t>1. injunctive relief;</w:t>
      </w:r>
    </w:p>
    <w:p>
      <w:pPr>
        <w:pStyle w:val="LegalNumber2"/>
      </w:pPr>
      <w:r>
        <w:rPr>
          <w:rFonts w:ascii="Times New Roman" w:hAnsi="Times New Roman"/>
          <w:b w:val="0"/>
          <w:color w:val="111827"/>
          <w:sz w:val="22"/>
        </w:rPr>
        <w:t>2. reinstatement;</w:t>
      </w:r>
    </w:p>
    <w:p>
      <w:pPr>
        <w:pStyle w:val="LegalNumber2"/>
      </w:pPr>
      <w:r>
        <w:rPr>
          <w:rFonts w:ascii="Times New Roman" w:hAnsi="Times New Roman"/>
          <w:b w:val="0"/>
          <w:color w:val="111827"/>
          <w:sz w:val="22"/>
        </w:rPr>
        <w:t>3. license discipline;</w:t>
      </w:r>
    </w:p>
    <w:p>
      <w:pPr>
        <w:pStyle w:val="LegalNumber2"/>
      </w:pPr>
      <w:r>
        <w:rPr>
          <w:rFonts w:ascii="Times New Roman" w:hAnsi="Times New Roman"/>
          <w:b w:val="0"/>
          <w:color w:val="111827"/>
          <w:sz w:val="22"/>
        </w:rPr>
        <w:t>4. back pay;</w:t>
      </w:r>
    </w:p>
    <w:p>
      <w:pPr>
        <w:pStyle w:val="LegalNumber2"/>
      </w:pPr>
      <w:r>
        <w:rPr>
          <w:rFonts w:ascii="Times New Roman" w:hAnsi="Times New Roman"/>
          <w:b w:val="0"/>
          <w:color w:val="111827"/>
          <w:sz w:val="22"/>
        </w:rPr>
        <w:t>5. front pay;</w:t>
      </w:r>
    </w:p>
    <w:p>
      <w:pPr>
        <w:pStyle w:val="LegalNumber2"/>
      </w:pPr>
      <w:r>
        <w:rPr>
          <w:rFonts w:ascii="Times New Roman" w:hAnsi="Times New Roman"/>
          <w:b w:val="0"/>
          <w:color w:val="111827"/>
          <w:sz w:val="22"/>
        </w:rPr>
        <w:t>6. restitution;</w:t>
      </w:r>
    </w:p>
    <w:p>
      <w:pPr>
        <w:pStyle w:val="LegalNumber2"/>
      </w:pPr>
      <w:r>
        <w:rPr>
          <w:rFonts w:ascii="Times New Roman" w:hAnsi="Times New Roman"/>
          <w:b w:val="0"/>
          <w:color w:val="111827"/>
          <w:sz w:val="22"/>
        </w:rPr>
        <w:t>7. compensatory damages;</w:t>
      </w:r>
    </w:p>
    <w:p>
      <w:pPr>
        <w:pStyle w:val="LegalNumber2"/>
      </w:pPr>
      <w:r>
        <w:rPr>
          <w:rFonts w:ascii="Times New Roman" w:hAnsi="Times New Roman"/>
          <w:b w:val="0"/>
          <w:color w:val="111827"/>
          <w:sz w:val="22"/>
        </w:rPr>
        <w:t>8. statutory damages of $5,000 to $50,000 per violation;</w:t>
      </w:r>
    </w:p>
    <w:p>
      <w:pPr>
        <w:pStyle w:val="LegalNumber2"/>
      </w:pPr>
      <w:r>
        <w:rPr>
          <w:rFonts w:ascii="Times New Roman" w:hAnsi="Times New Roman"/>
          <w:b w:val="0"/>
          <w:color w:val="111827"/>
          <w:sz w:val="22"/>
        </w:rPr>
        <w:t>9. punitive damages for malicious or reckless conduct;</w:t>
      </w:r>
    </w:p>
    <w:p>
      <w:pPr>
        <w:pStyle w:val="LegalNumber2"/>
      </w:pPr>
      <w:r>
        <w:rPr>
          <w:rFonts w:ascii="Times New Roman" w:hAnsi="Times New Roman"/>
          <w:b w:val="0"/>
          <w:color w:val="111827"/>
          <w:sz w:val="22"/>
        </w:rPr>
        <w:t>10. attorney fees and costs;</w:t>
      </w:r>
    </w:p>
    <w:p>
      <w:pPr>
        <w:pStyle w:val="LegalNumber2"/>
      </w:pPr>
      <w:r>
        <w:rPr>
          <w:rFonts w:ascii="Times New Roman" w:hAnsi="Times New Roman"/>
          <w:b w:val="0"/>
          <w:color w:val="111827"/>
          <w:sz w:val="22"/>
        </w:rPr>
        <w:t>11. training orders;</w:t>
      </w:r>
    </w:p>
    <w:p>
      <w:pPr>
        <w:pStyle w:val="LegalNumber2"/>
      </w:pPr>
      <w:r>
        <w:rPr>
          <w:rFonts w:ascii="Times New Roman" w:hAnsi="Times New Roman"/>
          <w:b w:val="0"/>
          <w:color w:val="111827"/>
          <w:sz w:val="22"/>
        </w:rPr>
        <w:t>12. monitoring;</w:t>
      </w:r>
    </w:p>
    <w:p>
      <w:pPr>
        <w:pStyle w:val="LegalNumber2"/>
      </w:pPr>
      <w:r>
        <w:rPr>
          <w:rFonts w:ascii="Times New Roman" w:hAnsi="Times New Roman"/>
          <w:b w:val="0"/>
          <w:color w:val="111827"/>
          <w:sz w:val="22"/>
        </w:rPr>
        <w:t>13. corrective advertising;</w:t>
      </w:r>
    </w:p>
    <w:p>
      <w:pPr>
        <w:pStyle w:val="LegalNumber2"/>
      </w:pPr>
      <w:r>
        <w:rPr>
          <w:rFonts w:ascii="Times New Roman" w:hAnsi="Times New Roman"/>
          <w:b w:val="0"/>
          <w:color w:val="111827"/>
          <w:sz w:val="22"/>
        </w:rPr>
        <w:t>14. data deletion;</w:t>
      </w:r>
    </w:p>
    <w:p>
      <w:pPr>
        <w:pStyle w:val="LegalNumber2"/>
      </w:pPr>
      <w:r>
        <w:rPr>
          <w:rFonts w:ascii="Times New Roman" w:hAnsi="Times New Roman"/>
          <w:b w:val="0"/>
          <w:color w:val="111827"/>
          <w:sz w:val="22"/>
        </w:rPr>
        <w:t>15. privacy restoration.</w:t>
      </w:r>
    </w:p>
    <w:p>
      <w:pPr>
        <w:pStyle w:val="LegalNumber"/>
      </w:pPr>
      <w:r>
        <w:rPr>
          <w:rFonts w:ascii="Times New Roman" w:hAnsi="Times New Roman"/>
          <w:b w:val="0"/>
          <w:color w:val="111827"/>
          <w:sz w:val="22"/>
        </w:rPr>
        <w:t>4. A business shall be liable for harassment or discrimination by its owners, managers, supervisors, security staff, booking staff, content staff, platform moderators, or agents. A business may be liable for client or third-party misconduct when it knew or should have known of the conduct and failed to take prompt, reasonable corrective action.</w:t>
      </w:r>
    </w:p>
    <w:p>
      <w:pPr>
        <w:spacing w:after="80"/>
      </w:pPr>
    </w:p>
    <w:p>
      <w:pPr>
        <w:pStyle w:val="SectionHeading"/>
      </w:pPr>
      <w:r>
        <w:rPr>
          <w:rFonts w:ascii="Arial" w:hAnsi="Arial"/>
          <w:b/>
          <w:color w:val="0B2545"/>
          <w:sz w:val="21"/>
        </w:rPr>
        <w:t>SECTION 603. Anti-retaliation.</w:t>
      </w:r>
    </w:p>
    <w:p>
      <w:pPr>
        <w:pStyle w:val="LegalNumber"/>
      </w:pPr>
      <w:r>
        <w:rPr>
          <w:rFonts w:ascii="Times New Roman" w:hAnsi="Times New Roman"/>
          <w:b w:val="0"/>
          <w:color w:val="111827"/>
          <w:sz w:val="22"/>
        </w:rPr>
        <w:t>1. Retaliation is prohibited.</w:t>
      </w:r>
    </w:p>
    <w:p>
      <w:pPr>
        <w:pStyle w:val="LegalNumber"/>
      </w:pPr>
      <w:r>
        <w:rPr>
          <w:rFonts w:ascii="Times New Roman" w:hAnsi="Times New Roman"/>
          <w:b w:val="0"/>
          <w:color w:val="111827"/>
          <w:sz w:val="22"/>
        </w:rPr>
        <w:t>2. A rebuttable presumption of retaliation arises when adverse action occurs within 180 days after protected activity.</w:t>
      </w:r>
    </w:p>
    <w:p>
      <w:pPr>
        <w:pStyle w:val="LegalNumber"/>
      </w:pPr>
      <w:r>
        <w:rPr>
          <w:rFonts w:ascii="Times New Roman" w:hAnsi="Times New Roman"/>
          <w:b w:val="0"/>
          <w:color w:val="111827"/>
          <w:sz w:val="22"/>
        </w:rPr>
        <w:t>3. A person who retaliates is subject to civil penalties, damages, injunctive relief, license discipline, and, when threats, violence, stalking, extortion, or coercion are involved, criminal referral.</w:t>
      </w:r>
    </w:p>
    <w:p>
      <w:pPr>
        <w:spacing w:after="80"/>
      </w:pPr>
    </w:p>
    <w:p>
      <w:pPr>
        <w:pStyle w:val="TitleHeading"/>
      </w:pPr>
      <w:r>
        <w:rPr>
          <w:rFonts w:ascii="Arial" w:hAnsi="Arial"/>
          <w:b/>
          <w:color w:val="0B2545"/>
          <w:sz w:val="22"/>
        </w:rPr>
        <w:t>TITLE VII. VICTIM AND SURVIVOR PROTECTIONS</w:t>
      </w:r>
    </w:p>
    <w:p>
      <w:pPr>
        <w:pStyle w:val="SectionHeading"/>
      </w:pPr>
      <w:r>
        <w:rPr>
          <w:rFonts w:ascii="Arial" w:hAnsi="Arial"/>
          <w:b/>
          <w:color w:val="0B2545"/>
          <w:sz w:val="21"/>
        </w:rPr>
        <w:t>SECTION 701. Survivor access to services.</w:t>
      </w:r>
    </w:p>
    <w:p>
      <w:pPr>
        <w:pStyle w:val="LegalNumber"/>
      </w:pPr>
      <w:r>
        <w:rPr>
          <w:rFonts w:ascii="Times New Roman" w:hAnsi="Times New Roman"/>
          <w:b w:val="0"/>
          <w:color w:val="111827"/>
          <w:sz w:val="22"/>
        </w:rPr>
        <w:t>1. The State shall establish an Adult Intimate Work Victim and Survivor Services Program within the Office for Victims of Crime or equivalent agency.</w:t>
      </w:r>
    </w:p>
    <w:p>
      <w:pPr>
        <w:pStyle w:val="LegalNumber"/>
      </w:pPr>
      <w:r>
        <w:rPr>
          <w:rFonts w:ascii="Times New Roman" w:hAnsi="Times New Roman"/>
          <w:b w:val="0"/>
          <w:color w:val="111827"/>
          <w:sz w:val="22"/>
        </w:rPr>
        <w:t>2. Services shall be available to any person harmed by harassment, sexual violence, trafficking, coercion, exploitation, stalking, retaliation, nonconsensual recording, nonconsensual distribution, discrimination, wage theft connected to coercion, or abuse arising in or related to adult intimate work.</w:t>
      </w:r>
    </w:p>
    <w:p>
      <w:pPr>
        <w:pStyle w:val="LegalNumber"/>
      </w:pPr>
      <w:r>
        <w:rPr>
          <w:rFonts w:ascii="Times New Roman" w:hAnsi="Times New Roman"/>
          <w:b w:val="0"/>
          <w:color w:val="111827"/>
          <w:sz w:val="22"/>
        </w:rPr>
        <w:t>3. Services shall include:</w:t>
      </w:r>
    </w:p>
    <w:p>
      <w:pPr>
        <w:pStyle w:val="LegalNumber2"/>
      </w:pPr>
      <w:r>
        <w:rPr>
          <w:rFonts w:ascii="Times New Roman" w:hAnsi="Times New Roman"/>
          <w:b w:val="0"/>
          <w:color w:val="111827"/>
          <w:sz w:val="22"/>
        </w:rPr>
        <w:t>1. 24-hour hotline and text access;</w:t>
      </w:r>
    </w:p>
    <w:p>
      <w:pPr>
        <w:pStyle w:val="LegalNumber2"/>
      </w:pPr>
      <w:r>
        <w:rPr>
          <w:rFonts w:ascii="Times New Roman" w:hAnsi="Times New Roman"/>
          <w:b w:val="0"/>
          <w:color w:val="111827"/>
          <w:sz w:val="22"/>
        </w:rPr>
        <w:t>2. confidential victim advocates;</w:t>
      </w:r>
    </w:p>
    <w:p>
      <w:pPr>
        <w:pStyle w:val="LegalNumber2"/>
      </w:pPr>
      <w:r>
        <w:rPr>
          <w:rFonts w:ascii="Times New Roman" w:hAnsi="Times New Roman"/>
          <w:b w:val="0"/>
          <w:color w:val="111827"/>
          <w:sz w:val="22"/>
        </w:rPr>
        <w:t>3. emergency protective-order assistance;</w:t>
      </w:r>
    </w:p>
    <w:p>
      <w:pPr>
        <w:pStyle w:val="LegalNumber2"/>
      </w:pPr>
      <w:r>
        <w:rPr>
          <w:rFonts w:ascii="Times New Roman" w:hAnsi="Times New Roman"/>
          <w:b w:val="0"/>
          <w:color w:val="111827"/>
          <w:sz w:val="22"/>
        </w:rPr>
        <w:t>4. safety planning;</w:t>
      </w:r>
    </w:p>
    <w:p>
      <w:pPr>
        <w:pStyle w:val="LegalNumber2"/>
      </w:pPr>
      <w:r>
        <w:rPr>
          <w:rFonts w:ascii="Times New Roman" w:hAnsi="Times New Roman"/>
          <w:b w:val="0"/>
          <w:color w:val="111827"/>
          <w:sz w:val="22"/>
        </w:rPr>
        <w:t>5. emergency shelter and relocation;</w:t>
      </w:r>
    </w:p>
    <w:p>
      <w:pPr>
        <w:pStyle w:val="LegalNumber2"/>
      </w:pPr>
      <w:r>
        <w:rPr>
          <w:rFonts w:ascii="Times New Roman" w:hAnsi="Times New Roman"/>
          <w:b w:val="0"/>
          <w:color w:val="111827"/>
          <w:sz w:val="22"/>
        </w:rPr>
        <w:t>6. medical care navigation;</w:t>
      </w:r>
    </w:p>
    <w:p>
      <w:pPr>
        <w:pStyle w:val="LegalNumber2"/>
      </w:pPr>
      <w:r>
        <w:rPr>
          <w:rFonts w:ascii="Times New Roman" w:hAnsi="Times New Roman"/>
          <w:b w:val="0"/>
          <w:color w:val="111827"/>
          <w:sz w:val="22"/>
        </w:rPr>
        <w:t>7. sexual-assault forensic examination access;</w:t>
      </w:r>
    </w:p>
    <w:p>
      <w:pPr>
        <w:pStyle w:val="LegalNumber2"/>
      </w:pPr>
      <w:r>
        <w:rPr>
          <w:rFonts w:ascii="Times New Roman" w:hAnsi="Times New Roman"/>
          <w:b w:val="0"/>
          <w:color w:val="111827"/>
          <w:sz w:val="22"/>
        </w:rPr>
        <w:t>8. confidential evidence preservation;</w:t>
      </w:r>
    </w:p>
    <w:p>
      <w:pPr>
        <w:pStyle w:val="LegalNumber2"/>
      </w:pPr>
      <w:r>
        <w:rPr>
          <w:rFonts w:ascii="Times New Roman" w:hAnsi="Times New Roman"/>
          <w:b w:val="0"/>
          <w:color w:val="111827"/>
          <w:sz w:val="22"/>
        </w:rPr>
        <w:t>9. mental health counseling;</w:t>
      </w:r>
    </w:p>
    <w:p>
      <w:pPr>
        <w:pStyle w:val="LegalNumber2"/>
      </w:pPr>
      <w:r>
        <w:rPr>
          <w:rFonts w:ascii="Times New Roman" w:hAnsi="Times New Roman"/>
          <w:b w:val="0"/>
          <w:color w:val="111827"/>
          <w:sz w:val="22"/>
        </w:rPr>
        <w:t>10. legal aid;</w:t>
      </w:r>
    </w:p>
    <w:p>
      <w:pPr>
        <w:pStyle w:val="LegalNumber2"/>
      </w:pPr>
      <w:r>
        <w:rPr>
          <w:rFonts w:ascii="Times New Roman" w:hAnsi="Times New Roman"/>
          <w:b w:val="0"/>
          <w:color w:val="111827"/>
          <w:sz w:val="22"/>
        </w:rPr>
        <w:t>11. immigration-sensitive services;</w:t>
      </w:r>
    </w:p>
    <w:p>
      <w:pPr>
        <w:pStyle w:val="LegalNumber2"/>
      </w:pPr>
      <w:r>
        <w:rPr>
          <w:rFonts w:ascii="Times New Roman" w:hAnsi="Times New Roman"/>
          <w:b w:val="0"/>
          <w:color w:val="111827"/>
          <w:sz w:val="22"/>
        </w:rPr>
        <w:t>12. T visa and U visa referral assistance;</w:t>
      </w:r>
    </w:p>
    <w:p>
      <w:pPr>
        <w:pStyle w:val="LegalNumber2"/>
      </w:pPr>
      <w:r>
        <w:rPr>
          <w:rFonts w:ascii="Times New Roman" w:hAnsi="Times New Roman"/>
          <w:b w:val="0"/>
          <w:color w:val="111827"/>
          <w:sz w:val="22"/>
        </w:rPr>
        <w:t>13. language access;</w:t>
      </w:r>
    </w:p>
    <w:p>
      <w:pPr>
        <w:pStyle w:val="LegalNumber2"/>
      </w:pPr>
      <w:r>
        <w:rPr>
          <w:rFonts w:ascii="Times New Roman" w:hAnsi="Times New Roman"/>
          <w:b w:val="0"/>
          <w:color w:val="111827"/>
          <w:sz w:val="22"/>
        </w:rPr>
        <w:t>14. disability accommodations;</w:t>
      </w:r>
    </w:p>
    <w:p>
      <w:pPr>
        <w:pStyle w:val="LegalNumber2"/>
      </w:pPr>
      <w:r>
        <w:rPr>
          <w:rFonts w:ascii="Times New Roman" w:hAnsi="Times New Roman"/>
          <w:b w:val="0"/>
          <w:color w:val="111827"/>
          <w:sz w:val="22"/>
        </w:rPr>
        <w:t>15. transportation assistance;</w:t>
      </w:r>
    </w:p>
    <w:p>
      <w:pPr>
        <w:pStyle w:val="LegalNumber2"/>
      </w:pPr>
      <w:r>
        <w:rPr>
          <w:rFonts w:ascii="Times New Roman" w:hAnsi="Times New Roman"/>
          <w:b w:val="0"/>
          <w:color w:val="111827"/>
          <w:sz w:val="22"/>
        </w:rPr>
        <w:t>16. childcare assistance;</w:t>
      </w:r>
    </w:p>
    <w:p>
      <w:pPr>
        <w:pStyle w:val="LegalNumber2"/>
      </w:pPr>
      <w:r>
        <w:rPr>
          <w:rFonts w:ascii="Times New Roman" w:hAnsi="Times New Roman"/>
          <w:b w:val="0"/>
          <w:color w:val="111827"/>
          <w:sz w:val="22"/>
        </w:rPr>
        <w:t>17. income-stabilization grants;</w:t>
      </w:r>
    </w:p>
    <w:p>
      <w:pPr>
        <w:pStyle w:val="LegalNumber2"/>
      </w:pPr>
      <w:r>
        <w:rPr>
          <w:rFonts w:ascii="Times New Roman" w:hAnsi="Times New Roman"/>
          <w:b w:val="0"/>
          <w:color w:val="111827"/>
          <w:sz w:val="22"/>
        </w:rPr>
        <w:t>18. digital safety assistance;</w:t>
      </w:r>
    </w:p>
    <w:p>
      <w:pPr>
        <w:pStyle w:val="LegalNumber2"/>
      </w:pPr>
      <w:r>
        <w:rPr>
          <w:rFonts w:ascii="Times New Roman" w:hAnsi="Times New Roman"/>
          <w:b w:val="0"/>
          <w:color w:val="111827"/>
          <w:sz w:val="22"/>
        </w:rPr>
        <w:t>19. intimate-content takedown assistance;</w:t>
      </w:r>
    </w:p>
    <w:p>
      <w:pPr>
        <w:pStyle w:val="LegalNumber2"/>
      </w:pPr>
      <w:r>
        <w:rPr>
          <w:rFonts w:ascii="Times New Roman" w:hAnsi="Times New Roman"/>
          <w:b w:val="0"/>
          <w:color w:val="111827"/>
          <w:sz w:val="22"/>
        </w:rPr>
        <w:t>20. civil litigation support;</w:t>
      </w:r>
    </w:p>
    <w:p>
      <w:pPr>
        <w:pStyle w:val="LegalNumber2"/>
      </w:pPr>
      <w:r>
        <w:rPr>
          <w:rFonts w:ascii="Times New Roman" w:hAnsi="Times New Roman"/>
          <w:b w:val="0"/>
          <w:color w:val="111827"/>
          <w:sz w:val="22"/>
        </w:rPr>
        <w:t>21. restorative options when requested by the survivor and lawful.</w:t>
      </w:r>
    </w:p>
    <w:p>
      <w:pPr>
        <w:pStyle w:val="LegalNumber"/>
      </w:pPr>
      <w:r>
        <w:rPr>
          <w:rFonts w:ascii="Times New Roman" w:hAnsi="Times New Roman"/>
          <w:b w:val="0"/>
          <w:color w:val="111827"/>
          <w:sz w:val="22"/>
        </w:rPr>
        <w:t>4. Services shall not require a survivor to report to law enforcement, participate in prosecution, leave adult intimate work, disclose immigration status, disclose legal name publicly, or submit to mandatory medical testing.</w:t>
      </w:r>
    </w:p>
    <w:p>
      <w:pPr>
        <w:spacing w:after="80"/>
      </w:pPr>
    </w:p>
    <w:p>
      <w:pPr>
        <w:pStyle w:val="SectionHeading"/>
      </w:pPr>
      <w:r>
        <w:rPr>
          <w:rFonts w:ascii="Arial" w:hAnsi="Arial"/>
          <w:b/>
          <w:color w:val="0B2545"/>
          <w:sz w:val="21"/>
        </w:rPr>
        <w:t>SECTION 702. Confidential reporting.</w:t>
      </w:r>
    </w:p>
    <w:p>
      <w:pPr>
        <w:pStyle w:val="LegalNumber"/>
      </w:pPr>
      <w:r>
        <w:rPr>
          <w:rFonts w:ascii="Times New Roman" w:hAnsi="Times New Roman"/>
          <w:b w:val="0"/>
          <w:color w:val="111827"/>
          <w:sz w:val="22"/>
        </w:rPr>
        <w:t>1. The Commission shall maintain reporting channels for:</w:t>
      </w:r>
    </w:p>
    <w:p>
      <w:pPr>
        <w:pStyle w:val="LegalNumber2"/>
      </w:pPr>
      <w:r>
        <w:rPr>
          <w:rFonts w:ascii="Times New Roman" w:hAnsi="Times New Roman"/>
          <w:b w:val="0"/>
          <w:color w:val="111827"/>
          <w:sz w:val="22"/>
        </w:rPr>
        <w:t>1. emergencies;</w:t>
      </w:r>
    </w:p>
    <w:p>
      <w:pPr>
        <w:pStyle w:val="LegalNumber2"/>
      </w:pPr>
      <w:r>
        <w:rPr>
          <w:rFonts w:ascii="Times New Roman" w:hAnsi="Times New Roman"/>
          <w:b w:val="0"/>
          <w:color w:val="111827"/>
          <w:sz w:val="22"/>
        </w:rPr>
        <w:t>2. confidential complaints;</w:t>
      </w:r>
    </w:p>
    <w:p>
      <w:pPr>
        <w:pStyle w:val="LegalNumber2"/>
      </w:pPr>
      <w:r>
        <w:rPr>
          <w:rFonts w:ascii="Times New Roman" w:hAnsi="Times New Roman"/>
          <w:b w:val="0"/>
          <w:color w:val="111827"/>
          <w:sz w:val="22"/>
        </w:rPr>
        <w:t>3. anonymous tips;</w:t>
      </w:r>
    </w:p>
    <w:p>
      <w:pPr>
        <w:pStyle w:val="LegalNumber2"/>
      </w:pPr>
      <w:r>
        <w:rPr>
          <w:rFonts w:ascii="Times New Roman" w:hAnsi="Times New Roman"/>
          <w:b w:val="0"/>
          <w:color w:val="111827"/>
          <w:sz w:val="22"/>
        </w:rPr>
        <w:t>4. digital platform reports;</w:t>
      </w:r>
    </w:p>
    <w:p>
      <w:pPr>
        <w:pStyle w:val="LegalNumber2"/>
      </w:pPr>
      <w:r>
        <w:rPr>
          <w:rFonts w:ascii="Times New Roman" w:hAnsi="Times New Roman"/>
          <w:b w:val="0"/>
          <w:color w:val="111827"/>
          <w:sz w:val="22"/>
        </w:rPr>
        <w:t>5. worker safety reports;</w:t>
      </w:r>
    </w:p>
    <w:p>
      <w:pPr>
        <w:pStyle w:val="LegalNumber2"/>
      </w:pPr>
      <w:r>
        <w:rPr>
          <w:rFonts w:ascii="Times New Roman" w:hAnsi="Times New Roman"/>
          <w:b w:val="0"/>
          <w:color w:val="111827"/>
          <w:sz w:val="22"/>
        </w:rPr>
        <w:t>6. client misconduct reports;</w:t>
      </w:r>
    </w:p>
    <w:p>
      <w:pPr>
        <w:pStyle w:val="LegalNumber2"/>
      </w:pPr>
      <w:r>
        <w:rPr>
          <w:rFonts w:ascii="Times New Roman" w:hAnsi="Times New Roman"/>
          <w:b w:val="0"/>
          <w:color w:val="111827"/>
          <w:sz w:val="22"/>
        </w:rPr>
        <w:t>7. trafficking indicators;</w:t>
      </w:r>
    </w:p>
    <w:p>
      <w:pPr>
        <w:pStyle w:val="LegalNumber2"/>
      </w:pPr>
      <w:r>
        <w:rPr>
          <w:rFonts w:ascii="Times New Roman" w:hAnsi="Times New Roman"/>
          <w:b w:val="0"/>
          <w:color w:val="111827"/>
          <w:sz w:val="22"/>
        </w:rPr>
        <w:t>8. nonconsensual content;</w:t>
      </w:r>
    </w:p>
    <w:p>
      <w:pPr>
        <w:pStyle w:val="LegalNumber2"/>
      </w:pPr>
      <w:r>
        <w:rPr>
          <w:rFonts w:ascii="Times New Roman" w:hAnsi="Times New Roman"/>
          <w:b w:val="0"/>
          <w:color w:val="111827"/>
          <w:sz w:val="22"/>
        </w:rPr>
        <w:t>9. retaliation and blacklisting;</w:t>
      </w:r>
    </w:p>
    <w:p>
      <w:pPr>
        <w:pStyle w:val="LegalNumber2"/>
      </w:pPr>
      <w:r>
        <w:rPr>
          <w:rFonts w:ascii="Times New Roman" w:hAnsi="Times New Roman"/>
          <w:b w:val="0"/>
          <w:color w:val="111827"/>
          <w:sz w:val="22"/>
        </w:rPr>
        <w:t>10. discrimination and harassment.</w:t>
      </w:r>
    </w:p>
    <w:p>
      <w:pPr>
        <w:pStyle w:val="LegalNumber"/>
      </w:pPr>
      <w:r>
        <w:rPr>
          <w:rFonts w:ascii="Times New Roman" w:hAnsi="Times New Roman"/>
          <w:b w:val="0"/>
          <w:color w:val="111827"/>
          <w:sz w:val="22"/>
        </w:rPr>
        <w:t>2. The Commission shall permit reports through advocates, healthcare providers, worker organizations, platform safety teams, family members, and witnesses.</w:t>
      </w:r>
    </w:p>
    <w:p>
      <w:pPr>
        <w:pStyle w:val="LegalNumber"/>
      </w:pPr>
      <w:r>
        <w:rPr>
          <w:rFonts w:ascii="Times New Roman" w:hAnsi="Times New Roman"/>
          <w:b w:val="0"/>
          <w:color w:val="111827"/>
          <w:sz w:val="22"/>
        </w:rPr>
        <w:t>3. A survivor may choose whether to identify themselves to the respondent during the preliminary safety assessment. Formal adverse action against a respondent shall not be based solely on anonymous allegations unless corroborated by independent evidence or used only for nonpunitive safety planning.</w:t>
      </w:r>
    </w:p>
    <w:p>
      <w:pPr>
        <w:spacing w:after="80"/>
      </w:pPr>
    </w:p>
    <w:p>
      <w:pPr>
        <w:pStyle w:val="SectionHeading"/>
      </w:pPr>
      <w:r>
        <w:rPr>
          <w:rFonts w:ascii="Arial" w:hAnsi="Arial"/>
          <w:b/>
          <w:color w:val="0B2545"/>
          <w:sz w:val="21"/>
        </w:rPr>
        <w:t>SECTION 703. Emergency protective orders.</w:t>
      </w:r>
    </w:p>
    <w:p>
      <w:pPr>
        <w:pStyle w:val="LegalNumber"/>
      </w:pPr>
      <w:r>
        <w:rPr>
          <w:rFonts w:ascii="Times New Roman" w:hAnsi="Times New Roman"/>
          <w:b w:val="0"/>
          <w:color w:val="111827"/>
          <w:sz w:val="22"/>
        </w:rPr>
        <w:t>1. A court may issue an emergency protective order upon a sworn statement showing reasonable cause to believe that a person faces immediate or continuing risk of harassment, stalking, assault, coercion, trafficking, retaliation, nonconsensual recording, nonconsensual distribution, doxxing, extortion, or unlawful disclosure.</w:t>
      </w:r>
    </w:p>
    <w:p>
      <w:pPr>
        <w:pStyle w:val="LegalNumber"/>
      </w:pPr>
      <w:r>
        <w:rPr>
          <w:rFonts w:ascii="Times New Roman" w:hAnsi="Times New Roman"/>
          <w:b w:val="0"/>
          <w:color w:val="111827"/>
          <w:sz w:val="22"/>
        </w:rPr>
        <w:t>2. An order may:</w:t>
      </w:r>
    </w:p>
    <w:p>
      <w:pPr>
        <w:pStyle w:val="LegalNumber2"/>
      </w:pPr>
      <w:r>
        <w:rPr>
          <w:rFonts w:ascii="Times New Roman" w:hAnsi="Times New Roman"/>
          <w:b w:val="0"/>
          <w:color w:val="111827"/>
          <w:sz w:val="22"/>
        </w:rPr>
        <w:t>1. prohibit contact;</w:t>
      </w:r>
    </w:p>
    <w:p>
      <w:pPr>
        <w:pStyle w:val="LegalNumber2"/>
      </w:pPr>
      <w:r>
        <w:rPr>
          <w:rFonts w:ascii="Times New Roman" w:hAnsi="Times New Roman"/>
          <w:b w:val="0"/>
          <w:color w:val="111827"/>
          <w:sz w:val="22"/>
        </w:rPr>
        <w:t>2. require stay-away distances;</w:t>
      </w:r>
    </w:p>
    <w:p>
      <w:pPr>
        <w:pStyle w:val="LegalNumber2"/>
      </w:pPr>
      <w:r>
        <w:rPr>
          <w:rFonts w:ascii="Times New Roman" w:hAnsi="Times New Roman"/>
          <w:b w:val="0"/>
          <w:color w:val="111827"/>
          <w:sz w:val="22"/>
        </w:rPr>
        <w:t>3. require removal of intimate content;</w:t>
      </w:r>
    </w:p>
    <w:p>
      <w:pPr>
        <w:pStyle w:val="LegalNumber2"/>
      </w:pPr>
      <w:r>
        <w:rPr>
          <w:rFonts w:ascii="Times New Roman" w:hAnsi="Times New Roman"/>
          <w:b w:val="0"/>
          <w:color w:val="111827"/>
          <w:sz w:val="22"/>
        </w:rPr>
        <w:t>4. prohibit disclosure of identity, location, health information, immigration information, or work history;</w:t>
      </w:r>
    </w:p>
    <w:p>
      <w:pPr>
        <w:pStyle w:val="LegalNumber2"/>
      </w:pPr>
      <w:r>
        <w:rPr>
          <w:rFonts w:ascii="Times New Roman" w:hAnsi="Times New Roman"/>
          <w:b w:val="0"/>
          <w:color w:val="111827"/>
          <w:sz w:val="22"/>
        </w:rPr>
        <w:t>5. prohibit retaliation;</w:t>
      </w:r>
    </w:p>
    <w:p>
      <w:pPr>
        <w:pStyle w:val="LegalNumber2"/>
      </w:pPr>
      <w:r>
        <w:rPr>
          <w:rFonts w:ascii="Times New Roman" w:hAnsi="Times New Roman"/>
          <w:b w:val="0"/>
          <w:color w:val="111827"/>
          <w:sz w:val="22"/>
        </w:rPr>
        <w:t>6. require surrender of unlawfully held documents or property;</w:t>
      </w:r>
    </w:p>
    <w:p>
      <w:pPr>
        <w:pStyle w:val="LegalNumber2"/>
      </w:pPr>
      <w:r>
        <w:rPr>
          <w:rFonts w:ascii="Times New Roman" w:hAnsi="Times New Roman"/>
          <w:b w:val="0"/>
          <w:color w:val="111827"/>
          <w:sz w:val="22"/>
        </w:rPr>
        <w:t>7. require temporary platform account restrictions;</w:t>
      </w:r>
    </w:p>
    <w:p>
      <w:pPr>
        <w:pStyle w:val="LegalNumber2"/>
      </w:pPr>
      <w:r>
        <w:rPr>
          <w:rFonts w:ascii="Times New Roman" w:hAnsi="Times New Roman"/>
          <w:b w:val="0"/>
          <w:color w:val="111827"/>
          <w:sz w:val="22"/>
        </w:rPr>
        <w:t>8. require temporary workplace separation;</w:t>
      </w:r>
    </w:p>
    <w:p>
      <w:pPr>
        <w:pStyle w:val="LegalNumber2"/>
      </w:pPr>
      <w:r>
        <w:rPr>
          <w:rFonts w:ascii="Times New Roman" w:hAnsi="Times New Roman"/>
          <w:b w:val="0"/>
          <w:color w:val="111827"/>
          <w:sz w:val="22"/>
        </w:rPr>
        <w:t>9. require preservation of evidence;</w:t>
      </w:r>
    </w:p>
    <w:p>
      <w:pPr>
        <w:pStyle w:val="LegalNumber2"/>
      </w:pPr>
      <w:r>
        <w:rPr>
          <w:rFonts w:ascii="Times New Roman" w:hAnsi="Times New Roman"/>
          <w:b w:val="0"/>
          <w:color w:val="111827"/>
          <w:sz w:val="22"/>
        </w:rPr>
        <w:t>10. provide other necessary relief.</w:t>
      </w:r>
    </w:p>
    <w:p>
      <w:pPr>
        <w:pStyle w:val="LegalNumber"/>
      </w:pPr>
      <w:r>
        <w:rPr>
          <w:rFonts w:ascii="Times New Roman" w:hAnsi="Times New Roman"/>
          <w:b w:val="0"/>
          <w:color w:val="111827"/>
          <w:sz w:val="22"/>
        </w:rPr>
        <w:t>3. Ex parte relief may last up to 21 days. A hearing with notice and opportunity to be heard shall occur before extension.</w:t>
      </w:r>
    </w:p>
    <w:p>
      <w:pPr>
        <w:spacing w:after="80"/>
      </w:pPr>
    </w:p>
    <w:p>
      <w:pPr>
        <w:pStyle w:val="SectionHeading"/>
      </w:pPr>
      <w:r>
        <w:rPr>
          <w:rFonts w:ascii="Arial" w:hAnsi="Arial"/>
          <w:b/>
          <w:color w:val="0B2545"/>
          <w:sz w:val="21"/>
        </w:rPr>
        <w:t>SECTION 704. Survivor protection from criminalization.</w:t>
      </w:r>
    </w:p>
    <w:p>
      <w:pPr>
        <w:pStyle w:val="LegalNumber"/>
      </w:pPr>
      <w:r>
        <w:rPr>
          <w:rFonts w:ascii="Times New Roman" w:hAnsi="Times New Roman"/>
          <w:b w:val="0"/>
          <w:color w:val="111827"/>
          <w:sz w:val="22"/>
        </w:rPr>
        <w:t>1. A survivor shall not be prosecuted for adult intimate work, immigration-status-related reporting issues, licensing noncompliance, drug possession for personal use, false identification used to escape exploitation, or other nonviolent conduct directly resulting from trafficking, coercion, survival necessity, or abuse, unless prosecution is necessary to address serious bodily harm to another person and alternatives would be inadequate.</w:t>
      </w:r>
    </w:p>
    <w:p>
      <w:pPr>
        <w:pStyle w:val="LegalNumber"/>
      </w:pPr>
      <w:r>
        <w:rPr>
          <w:rFonts w:ascii="Times New Roman" w:hAnsi="Times New Roman"/>
          <w:b w:val="0"/>
          <w:color w:val="111827"/>
          <w:sz w:val="22"/>
        </w:rPr>
        <w:t>2. Evidence that a person engaged in adult intimate work shall not be used to impeach credibility, establish consent, prove criminal propensity, deny victim status, or reduce damages.</w:t>
      </w:r>
    </w:p>
    <w:p>
      <w:pPr>
        <w:pStyle w:val="LegalNumber"/>
      </w:pPr>
      <w:r>
        <w:rPr>
          <w:rFonts w:ascii="Times New Roman" w:hAnsi="Times New Roman"/>
          <w:b w:val="0"/>
          <w:color w:val="111827"/>
          <w:sz w:val="22"/>
        </w:rPr>
        <w:t>3. A survivor may seek restitution, damages, license sanctions, protective orders, content takedown, vacatur, and confidentiality whether or not a criminal prosecution occurs.</w:t>
      </w:r>
    </w:p>
    <w:p>
      <w:pPr>
        <w:spacing w:after="80"/>
      </w:pPr>
    </w:p>
    <w:p>
      <w:pPr>
        <w:pStyle w:val="SectionHeading"/>
      </w:pPr>
      <w:r>
        <w:rPr>
          <w:rFonts w:ascii="Arial" w:hAnsi="Arial"/>
          <w:b/>
          <w:color w:val="0B2545"/>
          <w:sz w:val="21"/>
        </w:rPr>
        <w:t>SECTION 705. Anti-blacklisting.</w:t>
      </w:r>
    </w:p>
    <w:p>
      <w:pPr>
        <w:pStyle w:val="LegalNumber"/>
      </w:pPr>
      <w:r>
        <w:rPr>
          <w:rFonts w:ascii="Times New Roman" w:hAnsi="Times New Roman"/>
          <w:b w:val="0"/>
          <w:color w:val="111827"/>
          <w:sz w:val="22"/>
        </w:rPr>
        <w:t>1. A person shall not blacklist, threaten to blacklist, dox, expose, deplatform, or deny future work to a worker, client, survivor, or witness for reporting, refusing, withdrawing consent, seeking support, participating in a proceeding, organizing, or asserting rights.</w:t>
      </w:r>
    </w:p>
    <w:p>
      <w:pPr>
        <w:pStyle w:val="LegalNumber"/>
      </w:pPr>
      <w:r>
        <w:rPr>
          <w:rFonts w:ascii="Times New Roman" w:hAnsi="Times New Roman"/>
          <w:b w:val="0"/>
          <w:color w:val="111827"/>
          <w:sz w:val="22"/>
        </w:rPr>
        <w:t>2. Worker-created safety information systems are permitted if they:</w:t>
      </w:r>
    </w:p>
    <w:p>
      <w:pPr>
        <w:pStyle w:val="LegalNumber2"/>
      </w:pPr>
      <w:r>
        <w:rPr>
          <w:rFonts w:ascii="Times New Roman" w:hAnsi="Times New Roman"/>
          <w:b w:val="0"/>
          <w:color w:val="111827"/>
          <w:sz w:val="22"/>
        </w:rPr>
        <w:t>1. are designed to prevent violence or exploitation;</w:t>
      </w:r>
    </w:p>
    <w:p>
      <w:pPr>
        <w:pStyle w:val="LegalNumber2"/>
      </w:pPr>
      <w:r>
        <w:rPr>
          <w:rFonts w:ascii="Times New Roman" w:hAnsi="Times New Roman"/>
          <w:b w:val="0"/>
          <w:color w:val="111827"/>
          <w:sz w:val="22"/>
        </w:rPr>
        <w:t>2. use privacy-preserving procedures;</w:t>
      </w:r>
    </w:p>
    <w:p>
      <w:pPr>
        <w:pStyle w:val="LegalNumber2"/>
      </w:pPr>
      <w:r>
        <w:rPr>
          <w:rFonts w:ascii="Times New Roman" w:hAnsi="Times New Roman"/>
          <w:b w:val="0"/>
          <w:color w:val="111827"/>
          <w:sz w:val="22"/>
        </w:rPr>
        <w:t>3. prohibit protected-characteristic discrimination;</w:t>
      </w:r>
    </w:p>
    <w:p>
      <w:pPr>
        <w:pStyle w:val="LegalNumber2"/>
      </w:pPr>
      <w:r>
        <w:rPr>
          <w:rFonts w:ascii="Times New Roman" w:hAnsi="Times New Roman"/>
          <w:b w:val="0"/>
          <w:color w:val="111827"/>
          <w:sz w:val="22"/>
        </w:rPr>
        <w:t>4. include procedures to correct materially false information;</w:t>
      </w:r>
    </w:p>
    <w:p>
      <w:pPr>
        <w:pStyle w:val="LegalNumber2"/>
      </w:pPr>
      <w:r>
        <w:rPr>
          <w:rFonts w:ascii="Times New Roman" w:hAnsi="Times New Roman"/>
          <w:b w:val="0"/>
          <w:color w:val="111827"/>
          <w:sz w:val="22"/>
        </w:rPr>
        <w:t>5. do not publicly disclose legal names, addresses, health information, immigration information, or unrelated private information.</w:t>
      </w:r>
    </w:p>
    <w:p>
      <w:pPr>
        <w:spacing w:after="80"/>
      </w:pPr>
    </w:p>
    <w:p>
      <w:pPr>
        <w:pStyle w:val="TitleHeading"/>
      </w:pPr>
      <w:r>
        <w:rPr>
          <w:rFonts w:ascii="Arial" w:hAnsi="Arial"/>
          <w:b/>
          <w:color w:val="0B2545"/>
          <w:sz w:val="22"/>
        </w:rPr>
        <w:t>TITLE VIII. DUE PROCESS AND SAFEGUARDS AGAINST ABUSE</w:t>
      </w:r>
    </w:p>
    <w:p>
      <w:pPr>
        <w:pStyle w:val="SectionHeading"/>
      </w:pPr>
      <w:r>
        <w:rPr>
          <w:rFonts w:ascii="Arial" w:hAnsi="Arial"/>
          <w:b/>
          <w:color w:val="0B2545"/>
          <w:sz w:val="21"/>
        </w:rPr>
        <w:t>SECTION 801. Fair investigation requirements.</w:t>
      </w:r>
    </w:p>
    <w:p>
      <w:pPr>
        <w:pStyle w:val="LegalNumber"/>
      </w:pPr>
      <w:r>
        <w:rPr>
          <w:rFonts w:ascii="Times New Roman" w:hAnsi="Times New Roman"/>
          <w:b w:val="0"/>
          <w:color w:val="111827"/>
          <w:sz w:val="22"/>
        </w:rPr>
        <w:t>1. Administrative investigations shall be prompt, fair, impartial, trauma-informed, and rights-protective.</w:t>
      </w:r>
    </w:p>
    <w:p>
      <w:pPr>
        <w:pStyle w:val="LegalNumber"/>
      </w:pPr>
      <w:r>
        <w:rPr>
          <w:rFonts w:ascii="Times New Roman" w:hAnsi="Times New Roman"/>
          <w:b w:val="0"/>
          <w:color w:val="111827"/>
          <w:sz w:val="22"/>
        </w:rPr>
        <w:t>2. The investigating agency shall:</w:t>
      </w:r>
    </w:p>
    <w:p>
      <w:pPr>
        <w:pStyle w:val="LegalNumber2"/>
      </w:pPr>
      <w:r>
        <w:rPr>
          <w:rFonts w:ascii="Times New Roman" w:hAnsi="Times New Roman"/>
          <w:b w:val="0"/>
          <w:color w:val="111827"/>
          <w:sz w:val="22"/>
        </w:rPr>
        <w:t>1. provide complainants with reporting options, confidentiality information, advocate access, and protection from retaliation;</w:t>
      </w:r>
    </w:p>
    <w:p>
      <w:pPr>
        <w:pStyle w:val="LegalNumber2"/>
      </w:pPr>
      <w:r>
        <w:rPr>
          <w:rFonts w:ascii="Times New Roman" w:hAnsi="Times New Roman"/>
          <w:b w:val="0"/>
          <w:color w:val="111827"/>
          <w:sz w:val="22"/>
        </w:rPr>
        <w:t>2. provide respondents with notice of allegations before adverse findings, unless delayed notice is necessary to prevent imminent harm or evidence destruction;</w:t>
      </w:r>
    </w:p>
    <w:p>
      <w:pPr>
        <w:pStyle w:val="LegalNumber2"/>
      </w:pPr>
      <w:r>
        <w:rPr>
          <w:rFonts w:ascii="Times New Roman" w:hAnsi="Times New Roman"/>
          <w:b w:val="0"/>
          <w:color w:val="111827"/>
          <w:sz w:val="22"/>
        </w:rPr>
        <w:t>3. collect relevant evidence;</w:t>
      </w:r>
    </w:p>
    <w:p>
      <w:pPr>
        <w:pStyle w:val="LegalNumber2"/>
      </w:pPr>
      <w:r>
        <w:rPr>
          <w:rFonts w:ascii="Times New Roman" w:hAnsi="Times New Roman"/>
          <w:b w:val="0"/>
          <w:color w:val="111827"/>
          <w:sz w:val="22"/>
        </w:rPr>
        <w:t>4. avoid unnecessary invasive questioning;</w:t>
      </w:r>
    </w:p>
    <w:p>
      <w:pPr>
        <w:pStyle w:val="LegalNumber2"/>
      </w:pPr>
      <w:r>
        <w:rPr>
          <w:rFonts w:ascii="Times New Roman" w:hAnsi="Times New Roman"/>
          <w:b w:val="0"/>
          <w:color w:val="111827"/>
          <w:sz w:val="22"/>
        </w:rPr>
        <w:t>5. protect privileged and confidential information;</w:t>
      </w:r>
    </w:p>
    <w:p>
      <w:pPr>
        <w:pStyle w:val="LegalNumber2"/>
      </w:pPr>
      <w:r>
        <w:rPr>
          <w:rFonts w:ascii="Times New Roman" w:hAnsi="Times New Roman"/>
          <w:b w:val="0"/>
          <w:color w:val="111827"/>
          <w:sz w:val="22"/>
        </w:rPr>
        <w:t>6. provide reasonable accommodations;</w:t>
      </w:r>
    </w:p>
    <w:p>
      <w:pPr>
        <w:pStyle w:val="LegalNumber2"/>
      </w:pPr>
      <w:r>
        <w:rPr>
          <w:rFonts w:ascii="Times New Roman" w:hAnsi="Times New Roman"/>
          <w:b w:val="0"/>
          <w:color w:val="111827"/>
          <w:sz w:val="22"/>
        </w:rPr>
        <w:t>7. use trained investigators;</w:t>
      </w:r>
    </w:p>
    <w:p>
      <w:pPr>
        <w:pStyle w:val="LegalNumber2"/>
      </w:pPr>
      <w:r>
        <w:rPr>
          <w:rFonts w:ascii="Times New Roman" w:hAnsi="Times New Roman"/>
          <w:b w:val="0"/>
          <w:color w:val="111827"/>
          <w:sz w:val="22"/>
        </w:rPr>
        <w:t>8. issue written findings.</w:t>
      </w:r>
    </w:p>
    <w:p>
      <w:pPr>
        <w:pStyle w:val="LegalNumber"/>
      </w:pPr>
      <w:r>
        <w:rPr>
          <w:rFonts w:ascii="Times New Roman" w:hAnsi="Times New Roman"/>
          <w:b w:val="0"/>
          <w:color w:val="111827"/>
          <w:sz w:val="22"/>
        </w:rPr>
        <w:t>3. A finding of violation in an administrative proceeding requires proof by a preponderance of the evidence, except that emergency suspension requires probable cause and final revocation based primarily on trafficking, sexual violence, exploitation of a minor, or intentional nonconsensual content distribution requires clear and convincing evidence.</w:t>
      </w:r>
    </w:p>
    <w:p>
      <w:pPr>
        <w:spacing w:after="80"/>
      </w:pPr>
    </w:p>
    <w:p>
      <w:pPr>
        <w:pStyle w:val="SectionHeading"/>
      </w:pPr>
      <w:r>
        <w:rPr>
          <w:rFonts w:ascii="Arial" w:hAnsi="Arial"/>
          <w:b/>
          <w:color w:val="0B2545"/>
          <w:sz w:val="21"/>
        </w:rPr>
        <w:t>SECTION 802. Rights of parties.</w:t>
      </w:r>
    </w:p>
    <w:p>
      <w:pPr>
        <w:pStyle w:val="LegalNumber"/>
      </w:pPr>
      <w:r>
        <w:rPr>
          <w:rFonts w:ascii="Times New Roman" w:hAnsi="Times New Roman"/>
          <w:b w:val="0"/>
          <w:color w:val="111827"/>
          <w:sz w:val="22"/>
        </w:rPr>
        <w:t>1. A complainant has the right to:</w:t>
      </w:r>
    </w:p>
    <w:p>
      <w:pPr>
        <w:pStyle w:val="LegalNumber2"/>
      </w:pPr>
      <w:r>
        <w:rPr>
          <w:rFonts w:ascii="Times New Roman" w:hAnsi="Times New Roman"/>
          <w:b w:val="0"/>
          <w:color w:val="111827"/>
          <w:sz w:val="22"/>
        </w:rPr>
        <w:t>1. an advocate;</w:t>
      </w:r>
    </w:p>
    <w:p>
      <w:pPr>
        <w:pStyle w:val="LegalNumber2"/>
      </w:pPr>
      <w:r>
        <w:rPr>
          <w:rFonts w:ascii="Times New Roman" w:hAnsi="Times New Roman"/>
          <w:b w:val="0"/>
          <w:color w:val="111827"/>
          <w:sz w:val="22"/>
        </w:rPr>
        <w:t>2. confidentiality;</w:t>
      </w:r>
    </w:p>
    <w:p>
      <w:pPr>
        <w:pStyle w:val="LegalNumber2"/>
      </w:pPr>
      <w:r>
        <w:rPr>
          <w:rFonts w:ascii="Times New Roman" w:hAnsi="Times New Roman"/>
          <w:b w:val="0"/>
          <w:color w:val="111827"/>
          <w:sz w:val="22"/>
        </w:rPr>
        <w:t>3. safety planning;</w:t>
      </w:r>
    </w:p>
    <w:p>
      <w:pPr>
        <w:pStyle w:val="LegalNumber2"/>
      </w:pPr>
      <w:r>
        <w:rPr>
          <w:rFonts w:ascii="Times New Roman" w:hAnsi="Times New Roman"/>
          <w:b w:val="0"/>
          <w:color w:val="111827"/>
          <w:sz w:val="22"/>
        </w:rPr>
        <w:t>4. notice of major case actions;</w:t>
      </w:r>
    </w:p>
    <w:p>
      <w:pPr>
        <w:pStyle w:val="LegalNumber2"/>
      </w:pPr>
      <w:r>
        <w:rPr>
          <w:rFonts w:ascii="Times New Roman" w:hAnsi="Times New Roman"/>
          <w:b w:val="0"/>
          <w:color w:val="111827"/>
          <w:sz w:val="22"/>
        </w:rPr>
        <w:t>5. protection from retaliation;</w:t>
      </w:r>
    </w:p>
    <w:p>
      <w:pPr>
        <w:pStyle w:val="LegalNumber2"/>
      </w:pPr>
      <w:r>
        <w:rPr>
          <w:rFonts w:ascii="Times New Roman" w:hAnsi="Times New Roman"/>
          <w:b w:val="0"/>
          <w:color w:val="111827"/>
          <w:sz w:val="22"/>
        </w:rPr>
        <w:t>6. language access;</w:t>
      </w:r>
    </w:p>
    <w:p>
      <w:pPr>
        <w:pStyle w:val="LegalNumber2"/>
      </w:pPr>
      <w:r>
        <w:rPr>
          <w:rFonts w:ascii="Times New Roman" w:hAnsi="Times New Roman"/>
          <w:b w:val="0"/>
          <w:color w:val="111827"/>
          <w:sz w:val="22"/>
        </w:rPr>
        <w:t>7. disability accommodations;</w:t>
      </w:r>
    </w:p>
    <w:p>
      <w:pPr>
        <w:pStyle w:val="LegalNumber2"/>
      </w:pPr>
      <w:r>
        <w:rPr>
          <w:rFonts w:ascii="Times New Roman" w:hAnsi="Times New Roman"/>
          <w:b w:val="0"/>
          <w:color w:val="111827"/>
          <w:sz w:val="22"/>
        </w:rPr>
        <w:t>8. evidence submission;</w:t>
      </w:r>
    </w:p>
    <w:p>
      <w:pPr>
        <w:pStyle w:val="LegalNumber2"/>
      </w:pPr>
      <w:r>
        <w:rPr>
          <w:rFonts w:ascii="Times New Roman" w:hAnsi="Times New Roman"/>
          <w:b w:val="0"/>
          <w:color w:val="111827"/>
          <w:sz w:val="22"/>
        </w:rPr>
        <w:t>9. trauma-informed proceedings;</w:t>
      </w:r>
    </w:p>
    <w:p>
      <w:pPr>
        <w:pStyle w:val="LegalNumber2"/>
      </w:pPr>
      <w:r>
        <w:rPr>
          <w:rFonts w:ascii="Times New Roman" w:hAnsi="Times New Roman"/>
          <w:b w:val="0"/>
          <w:color w:val="111827"/>
          <w:sz w:val="22"/>
        </w:rPr>
        <w:t>10. appeal of dismissal or inadequate protective measures.</w:t>
      </w:r>
    </w:p>
    <w:p>
      <w:pPr>
        <w:pStyle w:val="LegalNumber"/>
      </w:pPr>
      <w:r>
        <w:rPr>
          <w:rFonts w:ascii="Times New Roman" w:hAnsi="Times New Roman"/>
          <w:b w:val="0"/>
          <w:color w:val="111827"/>
          <w:sz w:val="22"/>
        </w:rPr>
        <w:t>2. A respondent has the right to:</w:t>
      </w:r>
    </w:p>
    <w:p>
      <w:pPr>
        <w:pStyle w:val="LegalNumber2"/>
      </w:pPr>
      <w:r>
        <w:rPr>
          <w:rFonts w:ascii="Times New Roman" w:hAnsi="Times New Roman"/>
          <w:b w:val="0"/>
          <w:color w:val="111827"/>
          <w:sz w:val="22"/>
        </w:rPr>
        <w:t>1. notice of alleged violations;</w:t>
      </w:r>
    </w:p>
    <w:p>
      <w:pPr>
        <w:pStyle w:val="LegalNumber2"/>
      </w:pPr>
      <w:r>
        <w:rPr>
          <w:rFonts w:ascii="Times New Roman" w:hAnsi="Times New Roman"/>
          <w:b w:val="0"/>
          <w:color w:val="111827"/>
          <w:sz w:val="22"/>
        </w:rPr>
        <w:t>2. access to evidence subject to privacy protections;</w:t>
      </w:r>
    </w:p>
    <w:p>
      <w:pPr>
        <w:pStyle w:val="LegalNumber2"/>
      </w:pPr>
      <w:r>
        <w:rPr>
          <w:rFonts w:ascii="Times New Roman" w:hAnsi="Times New Roman"/>
          <w:b w:val="0"/>
          <w:color w:val="111827"/>
          <w:sz w:val="22"/>
        </w:rPr>
        <w:t>3. opportunity to respond;</w:t>
      </w:r>
    </w:p>
    <w:p>
      <w:pPr>
        <w:pStyle w:val="LegalNumber2"/>
      </w:pPr>
      <w:r>
        <w:rPr>
          <w:rFonts w:ascii="Times New Roman" w:hAnsi="Times New Roman"/>
          <w:b w:val="0"/>
          <w:color w:val="111827"/>
          <w:sz w:val="22"/>
        </w:rPr>
        <w:t>4. counsel or representative at the respondent’s expense;</w:t>
      </w:r>
    </w:p>
    <w:p>
      <w:pPr>
        <w:pStyle w:val="LegalNumber2"/>
      </w:pPr>
      <w:r>
        <w:rPr>
          <w:rFonts w:ascii="Times New Roman" w:hAnsi="Times New Roman"/>
          <w:b w:val="0"/>
          <w:color w:val="111827"/>
          <w:sz w:val="22"/>
        </w:rPr>
        <w:t>5. impartial decision-maker;</w:t>
      </w:r>
    </w:p>
    <w:p>
      <w:pPr>
        <w:pStyle w:val="LegalNumber2"/>
      </w:pPr>
      <w:r>
        <w:rPr>
          <w:rFonts w:ascii="Times New Roman" w:hAnsi="Times New Roman"/>
          <w:b w:val="0"/>
          <w:color w:val="111827"/>
          <w:sz w:val="22"/>
        </w:rPr>
        <w:t>6. written findings;</w:t>
      </w:r>
    </w:p>
    <w:p>
      <w:pPr>
        <w:pStyle w:val="LegalNumber2"/>
      </w:pPr>
      <w:r>
        <w:rPr>
          <w:rFonts w:ascii="Times New Roman" w:hAnsi="Times New Roman"/>
          <w:b w:val="0"/>
          <w:color w:val="111827"/>
          <w:sz w:val="22"/>
        </w:rPr>
        <w:t>7. appeal;</w:t>
      </w:r>
    </w:p>
    <w:p>
      <w:pPr>
        <w:pStyle w:val="LegalNumber2"/>
      </w:pPr>
      <w:r>
        <w:rPr>
          <w:rFonts w:ascii="Times New Roman" w:hAnsi="Times New Roman"/>
          <w:b w:val="0"/>
          <w:color w:val="111827"/>
          <w:sz w:val="22"/>
        </w:rPr>
        <w:t>8. protection from public disclosure before final adjudication, except for necessary emergency safety notice.</w:t>
      </w:r>
    </w:p>
    <w:p>
      <w:pPr>
        <w:pStyle w:val="LegalNumber"/>
      </w:pPr>
      <w:r>
        <w:rPr>
          <w:rFonts w:ascii="Times New Roman" w:hAnsi="Times New Roman"/>
          <w:b w:val="0"/>
          <w:color w:val="111827"/>
          <w:sz w:val="22"/>
        </w:rPr>
        <w:t>3. Interim measures shall be individualized, no broader than necessary, and designed to protect safety and evidence integrity without presuming final responsibility.</w:t>
      </w:r>
    </w:p>
    <w:p>
      <w:pPr>
        <w:spacing w:after="80"/>
      </w:pPr>
    </w:p>
    <w:p>
      <w:pPr>
        <w:pStyle w:val="SectionHeading"/>
      </w:pPr>
      <w:r>
        <w:rPr>
          <w:rFonts w:ascii="Arial" w:hAnsi="Arial"/>
          <w:b/>
          <w:color w:val="0B2545"/>
          <w:sz w:val="21"/>
        </w:rPr>
        <w:t>SECTION 803. Confidentiality and evidence.</w:t>
      </w:r>
    </w:p>
    <w:p>
      <w:pPr>
        <w:pStyle w:val="LegalNumber"/>
      </w:pPr>
      <w:r>
        <w:rPr>
          <w:rFonts w:ascii="Times New Roman" w:hAnsi="Times New Roman"/>
          <w:b w:val="0"/>
          <w:color w:val="111827"/>
          <w:sz w:val="22"/>
        </w:rPr>
        <w:t>1. Records concerning worker certification, survivor services, health services, complaints, investigations, intimate content, client identity, worker identity, or witness identity are confidential and exempt from public disclosure.</w:t>
      </w:r>
    </w:p>
    <w:p>
      <w:pPr>
        <w:pStyle w:val="LegalNumber"/>
      </w:pPr>
      <w:r>
        <w:rPr>
          <w:rFonts w:ascii="Times New Roman" w:hAnsi="Times New Roman"/>
          <w:b w:val="0"/>
          <w:color w:val="111827"/>
          <w:sz w:val="22"/>
        </w:rPr>
        <w:t>2. Disclosure may occur only:</w:t>
      </w:r>
    </w:p>
    <w:p>
      <w:pPr>
        <w:pStyle w:val="LegalNumber2"/>
      </w:pPr>
      <w:r>
        <w:rPr>
          <w:rFonts w:ascii="Times New Roman" w:hAnsi="Times New Roman"/>
          <w:b w:val="0"/>
          <w:color w:val="111827"/>
          <w:sz w:val="22"/>
        </w:rPr>
        <w:t>1. with written consent;</w:t>
      </w:r>
    </w:p>
    <w:p>
      <w:pPr>
        <w:pStyle w:val="LegalNumber2"/>
      </w:pPr>
      <w:r>
        <w:rPr>
          <w:rFonts w:ascii="Times New Roman" w:hAnsi="Times New Roman"/>
          <w:b w:val="0"/>
          <w:color w:val="111827"/>
          <w:sz w:val="22"/>
        </w:rPr>
        <w:t>2. to provide services;</w:t>
      </w:r>
    </w:p>
    <w:p>
      <w:pPr>
        <w:pStyle w:val="LegalNumber2"/>
      </w:pPr>
      <w:r>
        <w:rPr>
          <w:rFonts w:ascii="Times New Roman" w:hAnsi="Times New Roman"/>
          <w:b w:val="0"/>
          <w:color w:val="111827"/>
          <w:sz w:val="22"/>
        </w:rPr>
        <w:t>3. to enforce this Act through secure channels;</w:t>
      </w:r>
    </w:p>
    <w:p>
      <w:pPr>
        <w:pStyle w:val="LegalNumber2"/>
      </w:pPr>
      <w:r>
        <w:rPr>
          <w:rFonts w:ascii="Times New Roman" w:hAnsi="Times New Roman"/>
          <w:b w:val="0"/>
          <w:color w:val="111827"/>
          <w:sz w:val="22"/>
        </w:rPr>
        <w:t>4. pursuant to court order;</w:t>
      </w:r>
    </w:p>
    <w:p>
      <w:pPr>
        <w:pStyle w:val="LegalNumber2"/>
      </w:pPr>
      <w:r>
        <w:rPr>
          <w:rFonts w:ascii="Times New Roman" w:hAnsi="Times New Roman"/>
          <w:b w:val="0"/>
          <w:color w:val="111827"/>
          <w:sz w:val="22"/>
        </w:rPr>
        <w:t>5. pursuant to warrant;</w:t>
      </w:r>
    </w:p>
    <w:p>
      <w:pPr>
        <w:pStyle w:val="LegalNumber2"/>
      </w:pPr>
      <w:r>
        <w:rPr>
          <w:rFonts w:ascii="Times New Roman" w:hAnsi="Times New Roman"/>
          <w:b w:val="0"/>
          <w:color w:val="111827"/>
          <w:sz w:val="22"/>
        </w:rPr>
        <w:t>6. when necessary to prevent imminent serious harm;</w:t>
      </w:r>
    </w:p>
    <w:p>
      <w:pPr>
        <w:pStyle w:val="LegalNumber2"/>
      </w:pPr>
      <w:r>
        <w:rPr>
          <w:rFonts w:ascii="Times New Roman" w:hAnsi="Times New Roman"/>
          <w:b w:val="0"/>
          <w:color w:val="111827"/>
          <w:sz w:val="22"/>
        </w:rPr>
        <w:t>7. as anonymized aggregate data.</w:t>
      </w:r>
    </w:p>
    <w:p>
      <w:pPr>
        <w:pStyle w:val="LegalNumber"/>
      </w:pPr>
      <w:r>
        <w:rPr>
          <w:rFonts w:ascii="Times New Roman" w:hAnsi="Times New Roman"/>
          <w:b w:val="0"/>
          <w:color w:val="111827"/>
          <w:sz w:val="22"/>
        </w:rPr>
        <w:t>3. A person’s sexual history, adult intimate work history, appearance, clothing, professional name, advertisements, or prior content shall not be admitted to prove consent, credibility, propensity, or fault, except where a court finds that the evidence is directly material, not unfairly prejudicial, and unavailable through less intrusive means.</w:t>
      </w:r>
    </w:p>
    <w:p>
      <w:pPr>
        <w:spacing w:after="80"/>
      </w:pPr>
    </w:p>
    <w:p>
      <w:pPr>
        <w:pStyle w:val="SectionHeading"/>
      </w:pPr>
      <w:r>
        <w:rPr>
          <w:rFonts w:ascii="Arial" w:hAnsi="Arial"/>
          <w:b/>
          <w:color w:val="0B2545"/>
          <w:sz w:val="21"/>
        </w:rPr>
        <w:t>SECTION 804. Knowingly false or malicious claims.</w:t>
      </w:r>
    </w:p>
    <w:p>
      <w:pPr>
        <w:pStyle w:val="LegalNumber"/>
      </w:pPr>
      <w:r>
        <w:rPr>
          <w:rFonts w:ascii="Times New Roman" w:hAnsi="Times New Roman"/>
          <w:b w:val="0"/>
          <w:color w:val="111827"/>
          <w:sz w:val="22"/>
        </w:rPr>
        <w:t>1. A person who knowingly makes a materially false claim with intent to cause unlawful harm is subject to civil penalties, attorney fees, and other relief.</w:t>
      </w:r>
    </w:p>
    <w:p>
      <w:pPr>
        <w:pStyle w:val="LegalNumber"/>
      </w:pPr>
      <w:r>
        <w:rPr>
          <w:rFonts w:ascii="Times New Roman" w:hAnsi="Times New Roman"/>
          <w:b w:val="0"/>
          <w:color w:val="111827"/>
          <w:sz w:val="22"/>
        </w:rPr>
        <w:t>2. A complaint shall not be deemed false, malicious, or bad faith solely because:</w:t>
      </w:r>
    </w:p>
    <w:p>
      <w:pPr>
        <w:pStyle w:val="LegalNumber2"/>
      </w:pPr>
      <w:r>
        <w:rPr>
          <w:rFonts w:ascii="Times New Roman" w:hAnsi="Times New Roman"/>
          <w:b w:val="0"/>
          <w:color w:val="111827"/>
          <w:sz w:val="22"/>
        </w:rPr>
        <w:t>1. the allegation is not substantiated;</w:t>
      </w:r>
    </w:p>
    <w:p>
      <w:pPr>
        <w:pStyle w:val="LegalNumber2"/>
      </w:pPr>
      <w:r>
        <w:rPr>
          <w:rFonts w:ascii="Times New Roman" w:hAnsi="Times New Roman"/>
          <w:b w:val="0"/>
          <w:color w:val="111827"/>
          <w:sz w:val="22"/>
        </w:rPr>
        <w:t>2. the complainant delays reporting;</w:t>
      </w:r>
    </w:p>
    <w:p>
      <w:pPr>
        <w:pStyle w:val="LegalNumber2"/>
      </w:pPr>
      <w:r>
        <w:rPr>
          <w:rFonts w:ascii="Times New Roman" w:hAnsi="Times New Roman"/>
          <w:b w:val="0"/>
          <w:color w:val="111827"/>
          <w:sz w:val="22"/>
        </w:rPr>
        <w:t>3. the complainant withdraws;</w:t>
      </w:r>
    </w:p>
    <w:p>
      <w:pPr>
        <w:pStyle w:val="LegalNumber2"/>
      </w:pPr>
      <w:r>
        <w:rPr>
          <w:rFonts w:ascii="Times New Roman" w:hAnsi="Times New Roman"/>
          <w:b w:val="0"/>
          <w:color w:val="111827"/>
          <w:sz w:val="22"/>
        </w:rPr>
        <w:t>4. memories are incomplete or inconsistent;</w:t>
      </w:r>
    </w:p>
    <w:p>
      <w:pPr>
        <w:pStyle w:val="LegalNumber2"/>
      </w:pPr>
      <w:r>
        <w:rPr>
          <w:rFonts w:ascii="Times New Roman" w:hAnsi="Times New Roman"/>
          <w:b w:val="0"/>
          <w:color w:val="111827"/>
          <w:sz w:val="22"/>
        </w:rPr>
        <w:t>5. the respondent is not disciplined;</w:t>
      </w:r>
    </w:p>
    <w:p>
      <w:pPr>
        <w:pStyle w:val="LegalNumber2"/>
      </w:pPr>
      <w:r>
        <w:rPr>
          <w:rFonts w:ascii="Times New Roman" w:hAnsi="Times New Roman"/>
          <w:b w:val="0"/>
          <w:color w:val="111827"/>
          <w:sz w:val="22"/>
        </w:rPr>
        <w:t>6. evidence is unavailable;</w:t>
      </w:r>
    </w:p>
    <w:p>
      <w:pPr>
        <w:pStyle w:val="LegalNumber2"/>
      </w:pPr>
      <w:r>
        <w:rPr>
          <w:rFonts w:ascii="Times New Roman" w:hAnsi="Times New Roman"/>
          <w:b w:val="0"/>
          <w:color w:val="111827"/>
          <w:sz w:val="22"/>
        </w:rPr>
        <w:t>7. a prosecutor declines charges;</w:t>
      </w:r>
    </w:p>
    <w:p>
      <w:pPr>
        <w:pStyle w:val="LegalNumber2"/>
      </w:pPr>
      <w:r>
        <w:rPr>
          <w:rFonts w:ascii="Times New Roman" w:hAnsi="Times New Roman"/>
          <w:b w:val="0"/>
          <w:color w:val="111827"/>
          <w:sz w:val="22"/>
        </w:rPr>
        <w:t>8. a court or agency finds insufficient proof.</w:t>
      </w:r>
    </w:p>
    <w:p>
      <w:pPr>
        <w:pStyle w:val="LegalNumber"/>
      </w:pPr>
      <w:r>
        <w:rPr>
          <w:rFonts w:ascii="Times New Roman" w:hAnsi="Times New Roman"/>
          <w:b w:val="0"/>
          <w:color w:val="111827"/>
          <w:sz w:val="22"/>
        </w:rPr>
        <w:t>3. No agency shall pursue penalties for a knowingly false claim without clear and convincing evidence of material falsity and malicious intent.</w:t>
      </w:r>
    </w:p>
    <w:p>
      <w:pPr>
        <w:pStyle w:val="LegalNumber"/>
      </w:pPr>
      <w:r>
        <w:rPr>
          <w:rFonts w:ascii="Times New Roman" w:hAnsi="Times New Roman"/>
          <w:b w:val="0"/>
          <w:color w:val="111827"/>
          <w:sz w:val="22"/>
        </w:rPr>
        <w:t>4. This section shall not be used to deter, threaten, or retaliate against good-faith reports.</w:t>
      </w:r>
    </w:p>
    <w:p>
      <w:pPr>
        <w:spacing w:after="80"/>
      </w:pPr>
    </w:p>
    <w:p>
      <w:pPr>
        <w:pStyle w:val="SectionHeading"/>
      </w:pPr>
      <w:r>
        <w:rPr>
          <w:rFonts w:ascii="Arial" w:hAnsi="Arial"/>
          <w:b/>
          <w:color w:val="0B2545"/>
          <w:sz w:val="21"/>
        </w:rPr>
        <w:t>SECTION 805. Appeals and judicial review.</w:t>
      </w:r>
    </w:p>
    <w:p>
      <w:pPr>
        <w:pStyle w:val="LegalNumber"/>
      </w:pPr>
      <w:r>
        <w:rPr>
          <w:rFonts w:ascii="Times New Roman" w:hAnsi="Times New Roman"/>
          <w:b w:val="0"/>
          <w:color w:val="111827"/>
          <w:sz w:val="22"/>
        </w:rPr>
        <w:t>1. A final administrative order may be appealed to the designated administrative appeals body within 30 days.</w:t>
      </w:r>
    </w:p>
    <w:p>
      <w:pPr>
        <w:pStyle w:val="LegalNumber"/>
      </w:pPr>
      <w:r>
        <w:rPr>
          <w:rFonts w:ascii="Times New Roman" w:hAnsi="Times New Roman"/>
          <w:b w:val="0"/>
          <w:color w:val="111827"/>
          <w:sz w:val="22"/>
        </w:rPr>
        <w:t>2. A final agency decision after appeal is subject to judicial review.</w:t>
      </w:r>
    </w:p>
    <w:p>
      <w:pPr>
        <w:pStyle w:val="LegalNumber"/>
      </w:pPr>
      <w:r>
        <w:rPr>
          <w:rFonts w:ascii="Times New Roman" w:hAnsi="Times New Roman"/>
          <w:b w:val="0"/>
          <w:color w:val="111827"/>
          <w:sz w:val="22"/>
        </w:rPr>
        <w:t>3. Courts shall preserve confidentiality through sealing, pseudonyms, redaction, protective orders, closed proceedings when necessary, and limited-access records.</w:t>
      </w:r>
    </w:p>
    <w:p>
      <w:pPr>
        <w:spacing w:after="80"/>
      </w:pPr>
    </w:p>
    <w:p>
      <w:pPr>
        <w:pStyle w:val="TitleHeading"/>
      </w:pPr>
      <w:r>
        <w:rPr>
          <w:rFonts w:ascii="Arial" w:hAnsi="Arial"/>
          <w:b/>
          <w:color w:val="0B2545"/>
          <w:sz w:val="22"/>
        </w:rPr>
        <w:t>TITLE IX. CRIMINAL PENALTIES AND CIVIL ENFORCEMENT</w:t>
      </w:r>
    </w:p>
    <w:p>
      <w:pPr>
        <w:pStyle w:val="SectionHeading"/>
      </w:pPr>
      <w:r>
        <w:rPr>
          <w:rFonts w:ascii="Arial" w:hAnsi="Arial"/>
          <w:b/>
          <w:color w:val="0B2545"/>
          <w:sz w:val="21"/>
        </w:rPr>
        <w:t>SECTION 901. Commercial sexual exploitation of a minor.</w:t>
      </w:r>
    </w:p>
    <w:p>
      <w:pPr>
        <w:pStyle w:val="LegalNumber"/>
      </w:pPr>
      <w:r>
        <w:rPr>
          <w:rFonts w:ascii="Times New Roman" w:hAnsi="Times New Roman"/>
          <w:b w:val="0"/>
          <w:color w:val="111827"/>
          <w:sz w:val="22"/>
        </w:rPr>
        <w:t>1. A person commits commercial sexual exploitation of a minor if the person knowingly, recklessly, or with criminal negligence recruits, entices, harbors, transports, provides, obtains, maintains, advertises, patronizes, solicits, purchases, manages, records, distributes, or benefits from commercial sexual conduct involving a minor.</w:t>
      </w:r>
    </w:p>
    <w:p>
      <w:pPr>
        <w:pStyle w:val="LegalNumber"/>
      </w:pPr>
      <w:r>
        <w:rPr>
          <w:rFonts w:ascii="Times New Roman" w:hAnsi="Times New Roman"/>
          <w:b w:val="0"/>
          <w:color w:val="111827"/>
          <w:sz w:val="22"/>
        </w:rPr>
        <w:t>2. If the person had a reasonable opportunity to observe the minor, mistake of age is not a defense.</w:t>
      </w:r>
    </w:p>
    <w:p>
      <w:pPr>
        <w:pStyle w:val="LegalNumber"/>
      </w:pPr>
      <w:r>
        <w:rPr>
          <w:rFonts w:ascii="Times New Roman" w:hAnsi="Times New Roman"/>
          <w:b w:val="0"/>
          <w:color w:val="111827"/>
          <w:sz w:val="22"/>
        </w:rPr>
        <w:t>3. Violation is punishable by imprisonment for 15 years to life, a fine up to $500,000, restitution, asset forfeiture, permanent license disqualification, and registration when required by law.</w:t>
      </w:r>
    </w:p>
    <w:p>
      <w:pPr>
        <w:spacing w:after="80"/>
      </w:pPr>
    </w:p>
    <w:p>
      <w:pPr>
        <w:pStyle w:val="SectionHeading"/>
      </w:pPr>
      <w:r>
        <w:rPr>
          <w:rFonts w:ascii="Arial" w:hAnsi="Arial"/>
          <w:b/>
          <w:color w:val="0B2545"/>
          <w:sz w:val="21"/>
        </w:rPr>
        <w:t>SECTION 902. Coercive adult intimate work and trafficking.</w:t>
      </w:r>
    </w:p>
    <w:p>
      <w:pPr>
        <w:pStyle w:val="LegalNumber"/>
      </w:pPr>
      <w:r>
        <w:rPr>
          <w:rFonts w:ascii="Times New Roman" w:hAnsi="Times New Roman"/>
          <w:b w:val="0"/>
          <w:color w:val="111827"/>
          <w:sz w:val="22"/>
        </w:rPr>
        <w:t>1. A person commits coercive adult intimate work if the person uses coercion to cause or attempt to cause another person to provide, continue, advertise, record, distribute, facilitate, or purchase adult intimate services or content.</w:t>
      </w:r>
    </w:p>
    <w:p>
      <w:pPr>
        <w:pStyle w:val="LegalNumber"/>
      </w:pPr>
      <w:r>
        <w:rPr>
          <w:rFonts w:ascii="Times New Roman" w:hAnsi="Times New Roman"/>
          <w:b w:val="0"/>
          <w:color w:val="111827"/>
          <w:sz w:val="22"/>
        </w:rPr>
        <w:t>2. Violation is punishable by imprisonment for 5 to 25 years, a fine up to $250,000, restitution, asset forfeiture, and permanent or long-term license disqualification.</w:t>
      </w:r>
    </w:p>
    <w:p>
      <w:pPr>
        <w:pStyle w:val="LegalNumber"/>
      </w:pPr>
      <w:r>
        <w:rPr>
          <w:rFonts w:ascii="Times New Roman" w:hAnsi="Times New Roman"/>
          <w:b w:val="0"/>
          <w:color w:val="111827"/>
          <w:sz w:val="22"/>
        </w:rPr>
        <w:t>3. Aggravated coercive adult intimate work is punishable by imprisonment for 10 to 40 years when:</w:t>
      </w:r>
    </w:p>
    <w:p>
      <w:pPr>
        <w:pStyle w:val="LegalNumber2"/>
      </w:pPr>
      <w:r>
        <w:rPr>
          <w:rFonts w:ascii="Times New Roman" w:hAnsi="Times New Roman"/>
          <w:b w:val="0"/>
          <w:color w:val="111827"/>
          <w:sz w:val="22"/>
        </w:rPr>
        <w:t>1. the conduct involves serious bodily injury;</w:t>
      </w:r>
    </w:p>
    <w:p>
      <w:pPr>
        <w:pStyle w:val="LegalNumber2"/>
      </w:pPr>
      <w:r>
        <w:rPr>
          <w:rFonts w:ascii="Times New Roman" w:hAnsi="Times New Roman"/>
          <w:b w:val="0"/>
          <w:color w:val="111827"/>
          <w:sz w:val="22"/>
        </w:rPr>
        <w:t>2. the conduct involves a weapon;</w:t>
      </w:r>
    </w:p>
    <w:p>
      <w:pPr>
        <w:pStyle w:val="LegalNumber2"/>
      </w:pPr>
      <w:r>
        <w:rPr>
          <w:rFonts w:ascii="Times New Roman" w:hAnsi="Times New Roman"/>
          <w:b w:val="0"/>
          <w:color w:val="111827"/>
          <w:sz w:val="22"/>
        </w:rPr>
        <w:t>3. the defendant targets multiple victims;</w:t>
      </w:r>
    </w:p>
    <w:p>
      <w:pPr>
        <w:pStyle w:val="LegalNumber2"/>
      </w:pPr>
      <w:r>
        <w:rPr>
          <w:rFonts w:ascii="Times New Roman" w:hAnsi="Times New Roman"/>
          <w:b w:val="0"/>
          <w:color w:val="111827"/>
          <w:sz w:val="22"/>
        </w:rPr>
        <w:t>4. the defendant is an operator, manager, security staff member, public official, healthcare provider, landlord, immigration service provider, or law enforcement officer abusing authority;</w:t>
      </w:r>
    </w:p>
    <w:p>
      <w:pPr>
        <w:pStyle w:val="LegalNumber2"/>
      </w:pPr>
      <w:r>
        <w:rPr>
          <w:rFonts w:ascii="Times New Roman" w:hAnsi="Times New Roman"/>
          <w:b w:val="0"/>
          <w:color w:val="111827"/>
          <w:sz w:val="22"/>
        </w:rPr>
        <w:t>5. the conduct involves confinement, kidnapping, document confiscation, debt bondage, or threats to children or family members;</w:t>
      </w:r>
    </w:p>
    <w:p>
      <w:pPr>
        <w:pStyle w:val="LegalNumber2"/>
      </w:pPr>
      <w:r>
        <w:rPr>
          <w:rFonts w:ascii="Times New Roman" w:hAnsi="Times New Roman"/>
          <w:b w:val="0"/>
          <w:color w:val="111827"/>
          <w:sz w:val="22"/>
        </w:rPr>
        <w:t>6. the conduct involves organized criminal activity.</w:t>
      </w:r>
    </w:p>
    <w:p>
      <w:pPr>
        <w:spacing w:after="80"/>
      </w:pPr>
    </w:p>
    <w:p>
      <w:pPr>
        <w:pStyle w:val="SectionHeading"/>
      </w:pPr>
      <w:r>
        <w:rPr>
          <w:rFonts w:ascii="Arial" w:hAnsi="Arial"/>
          <w:b/>
          <w:color w:val="0B2545"/>
          <w:sz w:val="21"/>
        </w:rPr>
        <w:t>SECTION 903. Nonconsensual intimate act in a commercial context.</w:t>
      </w:r>
    </w:p>
    <w:p>
      <w:pPr>
        <w:pStyle w:val="LegalNumber"/>
      </w:pPr>
      <w:r>
        <w:rPr>
          <w:rFonts w:ascii="Times New Roman" w:hAnsi="Times New Roman"/>
          <w:b w:val="0"/>
          <w:color w:val="111827"/>
          <w:sz w:val="22"/>
        </w:rPr>
        <w:t>1. A person who engages in an intimate act with another person in the context of adult intimate work without affirmative consent commits a sexual offense and is subject to penalties under the State’s sexual-assault laws.</w:t>
      </w:r>
    </w:p>
    <w:p>
      <w:pPr>
        <w:pStyle w:val="LegalNumber"/>
      </w:pPr>
      <w:r>
        <w:rPr>
          <w:rFonts w:ascii="Times New Roman" w:hAnsi="Times New Roman"/>
          <w:b w:val="0"/>
          <w:color w:val="111827"/>
          <w:sz w:val="22"/>
        </w:rPr>
        <w:t>2. Payment, work status, contract language, prior consent, or presence in a licensed establishment is not a defense.</w:t>
      </w:r>
    </w:p>
    <w:p>
      <w:pPr>
        <w:pStyle w:val="LegalNumber"/>
      </w:pPr>
      <w:r>
        <w:rPr>
          <w:rFonts w:ascii="Times New Roman" w:hAnsi="Times New Roman"/>
          <w:b w:val="0"/>
          <w:color w:val="111827"/>
          <w:sz w:val="22"/>
        </w:rPr>
        <w:t>3. A conviction under this section requires restitution, mandatory no-contact orders when requested by the survivor, and license disqualification when the offender is licensed.</w:t>
      </w:r>
    </w:p>
    <w:p>
      <w:pPr>
        <w:spacing w:after="80"/>
      </w:pPr>
    </w:p>
    <w:p>
      <w:pPr>
        <w:pStyle w:val="SectionHeading"/>
      </w:pPr>
      <w:r>
        <w:rPr>
          <w:rFonts w:ascii="Arial" w:hAnsi="Arial"/>
          <w:b/>
          <w:color w:val="0B2545"/>
          <w:sz w:val="21"/>
        </w:rPr>
        <w:t>SECTION 904. Nonconsensual recording, synthetic depiction, and distribution.</w:t>
      </w:r>
    </w:p>
    <w:p>
      <w:pPr>
        <w:pStyle w:val="LegalNumber"/>
      </w:pPr>
      <w:r>
        <w:rPr>
          <w:rFonts w:ascii="Times New Roman" w:hAnsi="Times New Roman"/>
          <w:b w:val="0"/>
          <w:color w:val="111827"/>
          <w:sz w:val="22"/>
        </w:rPr>
        <w:t>1. A person commits unlawful intimate content abuse if the person knowingly:</w:t>
      </w:r>
    </w:p>
    <w:p>
      <w:pPr>
        <w:pStyle w:val="LegalNumber2"/>
      </w:pPr>
      <w:r>
        <w:rPr>
          <w:rFonts w:ascii="Times New Roman" w:hAnsi="Times New Roman"/>
          <w:b w:val="0"/>
          <w:color w:val="111827"/>
          <w:sz w:val="22"/>
        </w:rPr>
        <w:t>1. records, photographs, livestreams, stores, or captures intimate content without written consent;</w:t>
      </w:r>
    </w:p>
    <w:p>
      <w:pPr>
        <w:pStyle w:val="LegalNumber2"/>
      </w:pPr>
      <w:r>
        <w:rPr>
          <w:rFonts w:ascii="Times New Roman" w:hAnsi="Times New Roman"/>
          <w:b w:val="0"/>
          <w:color w:val="111827"/>
          <w:sz w:val="22"/>
        </w:rPr>
        <w:t>2. distributes, publishes, sells, transmits, or monetizes intimate content without written distribution consent;</w:t>
      </w:r>
    </w:p>
    <w:p>
      <w:pPr>
        <w:pStyle w:val="LegalNumber2"/>
      </w:pPr>
      <w:r>
        <w:rPr>
          <w:rFonts w:ascii="Times New Roman" w:hAnsi="Times New Roman"/>
          <w:b w:val="0"/>
          <w:color w:val="111827"/>
          <w:sz w:val="22"/>
        </w:rPr>
        <w:t>3. threatens to distribute intimate content to obtain money, labor, services, sex, silence, immigration advantage, housing advantage, or any other benefit;</w:t>
      </w:r>
    </w:p>
    <w:p>
      <w:pPr>
        <w:pStyle w:val="LegalNumber2"/>
      </w:pPr>
      <w:r>
        <w:rPr>
          <w:rFonts w:ascii="Times New Roman" w:hAnsi="Times New Roman"/>
          <w:b w:val="0"/>
          <w:color w:val="111827"/>
          <w:sz w:val="22"/>
        </w:rPr>
        <w:t>4. creates, distributes, or monetizes realistic synthetic intimate content depicting an identifiable person without consent;</w:t>
      </w:r>
    </w:p>
    <w:p>
      <w:pPr>
        <w:pStyle w:val="LegalNumber2"/>
      </w:pPr>
      <w:r>
        <w:rPr>
          <w:rFonts w:ascii="Times New Roman" w:hAnsi="Times New Roman"/>
          <w:b w:val="0"/>
          <w:color w:val="111827"/>
          <w:sz w:val="22"/>
        </w:rPr>
        <w:t>5. refuses to remove content after a lawful takedown order.</w:t>
      </w:r>
    </w:p>
    <w:p>
      <w:pPr>
        <w:pStyle w:val="LegalNumber"/>
      </w:pPr>
      <w:r>
        <w:rPr>
          <w:rFonts w:ascii="Times New Roman" w:hAnsi="Times New Roman"/>
          <w:b w:val="0"/>
          <w:color w:val="111827"/>
          <w:sz w:val="22"/>
        </w:rPr>
        <w:t>2. Violation is punishable by imprisonment for up to 5 years, a fine up to $100,000, restitution, damages, content deletion, de-indexing orders, and forfeiture of proceeds.</w:t>
      </w:r>
    </w:p>
    <w:p>
      <w:pPr>
        <w:pStyle w:val="LegalNumber"/>
      </w:pPr>
      <w:r>
        <w:rPr>
          <w:rFonts w:ascii="Times New Roman" w:hAnsi="Times New Roman"/>
          <w:b w:val="0"/>
          <w:color w:val="111827"/>
          <w:sz w:val="22"/>
        </w:rPr>
        <w:t>3. Aggravated violation is punishable by imprisonment for up to 10 years when the conduct involves a minor, coercion, stalking, extortion, trafficking, repeated distribution, synthetic impersonation for profit, or distribution to employers, family, schools, landlords, immigration authorities, or child-custody participants.</w:t>
      </w:r>
    </w:p>
    <w:p>
      <w:pPr>
        <w:spacing w:after="80"/>
      </w:pPr>
    </w:p>
    <w:p>
      <w:pPr>
        <w:pStyle w:val="SectionHeading"/>
      </w:pPr>
      <w:r>
        <w:rPr>
          <w:rFonts w:ascii="Arial" w:hAnsi="Arial"/>
          <w:b/>
          <w:color w:val="0B2545"/>
          <w:sz w:val="21"/>
        </w:rPr>
        <w:t>SECTION 905. Retaliation, document confiscation, and debt bondage.</w:t>
      </w:r>
    </w:p>
    <w:p>
      <w:pPr>
        <w:pStyle w:val="LegalNumber"/>
      </w:pPr>
      <w:r>
        <w:rPr>
          <w:rFonts w:ascii="Times New Roman" w:hAnsi="Times New Roman"/>
          <w:b w:val="0"/>
          <w:color w:val="111827"/>
          <w:sz w:val="22"/>
        </w:rPr>
        <w:t>1. Retaliation involving threats, violence, stalking, extortion, document confiscation, immigration threats, or economic coercion is punishable by imprisonment for up to 5 years, a fine up to $100,000, restitution, and license discipline.</w:t>
      </w:r>
    </w:p>
    <w:p>
      <w:pPr>
        <w:pStyle w:val="LegalNumber"/>
      </w:pPr>
      <w:r>
        <w:rPr>
          <w:rFonts w:ascii="Times New Roman" w:hAnsi="Times New Roman"/>
          <w:b w:val="0"/>
          <w:color w:val="111827"/>
          <w:sz w:val="22"/>
        </w:rPr>
        <w:t>2. Document confiscation for the purpose of compelling adult intimate work is punishable by imprisonment for up to 10 years.</w:t>
      </w:r>
    </w:p>
    <w:p>
      <w:pPr>
        <w:pStyle w:val="LegalNumber"/>
      </w:pPr>
      <w:r>
        <w:rPr>
          <w:rFonts w:ascii="Times New Roman" w:hAnsi="Times New Roman"/>
          <w:b w:val="0"/>
          <w:color w:val="111827"/>
          <w:sz w:val="22"/>
        </w:rPr>
        <w:t>3. Debt bondage or quota systems used to compel adult intimate work are punishable by imprisonment for up to 10 years, restitution, debt cancellation, and asset forfeiture.</w:t>
      </w:r>
    </w:p>
    <w:p>
      <w:pPr>
        <w:spacing w:after="80"/>
      </w:pPr>
    </w:p>
    <w:p>
      <w:pPr>
        <w:pStyle w:val="SectionHeading"/>
      </w:pPr>
      <w:r>
        <w:rPr>
          <w:rFonts w:ascii="Arial" w:hAnsi="Arial"/>
          <w:b/>
          <w:color w:val="0B2545"/>
          <w:sz w:val="21"/>
        </w:rPr>
        <w:t>SECTION 906. Unlicensed operation.</w:t>
      </w:r>
    </w:p>
    <w:p>
      <w:pPr>
        <w:pStyle w:val="LegalNumber"/>
      </w:pPr>
      <w:r>
        <w:rPr>
          <w:rFonts w:ascii="Times New Roman" w:hAnsi="Times New Roman"/>
          <w:b w:val="0"/>
          <w:color w:val="111827"/>
          <w:sz w:val="22"/>
        </w:rPr>
        <w:t>1. A person who knowingly operates an adult intimate establishment, agency, content production business, content distribution business, or covered platform without required licensure is subject to:</w:t>
      </w:r>
    </w:p>
    <w:p>
      <w:pPr>
        <w:pStyle w:val="LegalNumber2"/>
      </w:pPr>
      <w:r>
        <w:rPr>
          <w:rFonts w:ascii="Times New Roman" w:hAnsi="Times New Roman"/>
          <w:b w:val="0"/>
          <w:color w:val="111827"/>
          <w:sz w:val="22"/>
        </w:rPr>
        <w:t>1. civil penalty of $10,000 to $100,000;</w:t>
      </w:r>
    </w:p>
    <w:p>
      <w:pPr>
        <w:pStyle w:val="LegalNumber2"/>
      </w:pPr>
      <w:r>
        <w:rPr>
          <w:rFonts w:ascii="Times New Roman" w:hAnsi="Times New Roman"/>
          <w:b w:val="0"/>
          <w:color w:val="111827"/>
          <w:sz w:val="22"/>
        </w:rPr>
        <w:t>2. cease-and-desist order;</w:t>
      </w:r>
    </w:p>
    <w:p>
      <w:pPr>
        <w:pStyle w:val="LegalNumber2"/>
      </w:pPr>
      <w:r>
        <w:rPr>
          <w:rFonts w:ascii="Times New Roman" w:hAnsi="Times New Roman"/>
          <w:b w:val="0"/>
          <w:color w:val="111827"/>
          <w:sz w:val="22"/>
        </w:rPr>
        <w:t>3. restitution;</w:t>
      </w:r>
    </w:p>
    <w:p>
      <w:pPr>
        <w:pStyle w:val="LegalNumber2"/>
      </w:pPr>
      <w:r>
        <w:rPr>
          <w:rFonts w:ascii="Times New Roman" w:hAnsi="Times New Roman"/>
          <w:b w:val="0"/>
          <w:color w:val="111827"/>
          <w:sz w:val="22"/>
        </w:rPr>
        <w:t>4. tax assessment;</w:t>
      </w:r>
    </w:p>
    <w:p>
      <w:pPr>
        <w:pStyle w:val="LegalNumber2"/>
      </w:pPr>
      <w:r>
        <w:rPr>
          <w:rFonts w:ascii="Times New Roman" w:hAnsi="Times New Roman"/>
          <w:b w:val="0"/>
          <w:color w:val="111827"/>
          <w:sz w:val="22"/>
        </w:rPr>
        <w:t>5. license ineligibility for up to five years.</w:t>
      </w:r>
    </w:p>
    <w:p>
      <w:pPr>
        <w:pStyle w:val="LegalNumber"/>
      </w:pPr>
      <w:r>
        <w:rPr>
          <w:rFonts w:ascii="Times New Roman" w:hAnsi="Times New Roman"/>
          <w:b w:val="0"/>
          <w:color w:val="111827"/>
          <w:sz w:val="22"/>
        </w:rPr>
        <w:t>2. Knowing unlicensed operation after a final cease-and-desist order is punishable by imprisonment for up to two years or a fine up to $250,000 when the conduct creates substantial risk of trafficking, coercion, sexual violence, exploitation of a minor, or serious injury.</w:t>
      </w:r>
    </w:p>
    <w:p>
      <w:pPr>
        <w:spacing w:after="80"/>
      </w:pPr>
    </w:p>
    <w:p>
      <w:pPr>
        <w:pStyle w:val="SectionHeading"/>
      </w:pPr>
      <w:r>
        <w:rPr>
          <w:rFonts w:ascii="Arial" w:hAnsi="Arial"/>
          <w:b/>
          <w:color w:val="0B2545"/>
          <w:sz w:val="21"/>
        </w:rPr>
        <w:t>SECTION 907. Civil enforcement.</w:t>
      </w:r>
    </w:p>
    <w:p>
      <w:pPr>
        <w:pStyle w:val="LegalNumber"/>
      </w:pPr>
      <w:r>
        <w:rPr>
          <w:rFonts w:ascii="Times New Roman" w:hAnsi="Times New Roman"/>
          <w:b w:val="0"/>
          <w:color w:val="111827"/>
          <w:sz w:val="22"/>
        </w:rPr>
        <w:t>1. The Attorney General, Commission, Civil Rights Agency, Department of Labor, Department of Health, or a local prosecutor may bring a civil action to enforce this Act.</w:t>
      </w:r>
    </w:p>
    <w:p>
      <w:pPr>
        <w:pStyle w:val="LegalNumber"/>
      </w:pPr>
      <w:r>
        <w:rPr>
          <w:rFonts w:ascii="Times New Roman" w:hAnsi="Times New Roman"/>
          <w:b w:val="0"/>
          <w:color w:val="111827"/>
          <w:sz w:val="22"/>
        </w:rPr>
        <w:t>2. A private person injured by a violation may bring a civil action for:</w:t>
      </w:r>
    </w:p>
    <w:p>
      <w:pPr>
        <w:pStyle w:val="LegalNumber2"/>
      </w:pPr>
      <w:r>
        <w:rPr>
          <w:rFonts w:ascii="Times New Roman" w:hAnsi="Times New Roman"/>
          <w:b w:val="0"/>
          <w:color w:val="111827"/>
          <w:sz w:val="22"/>
        </w:rPr>
        <w:t>1. declaratory relief;</w:t>
      </w:r>
    </w:p>
    <w:p>
      <w:pPr>
        <w:pStyle w:val="LegalNumber2"/>
      </w:pPr>
      <w:r>
        <w:rPr>
          <w:rFonts w:ascii="Times New Roman" w:hAnsi="Times New Roman"/>
          <w:b w:val="0"/>
          <w:color w:val="111827"/>
          <w:sz w:val="22"/>
        </w:rPr>
        <w:t>2. injunctive relief;</w:t>
      </w:r>
    </w:p>
    <w:p>
      <w:pPr>
        <w:pStyle w:val="LegalNumber2"/>
      </w:pPr>
      <w:r>
        <w:rPr>
          <w:rFonts w:ascii="Times New Roman" w:hAnsi="Times New Roman"/>
          <w:b w:val="0"/>
          <w:color w:val="111827"/>
          <w:sz w:val="22"/>
        </w:rPr>
        <w:t>3. damages;</w:t>
      </w:r>
    </w:p>
    <w:p>
      <w:pPr>
        <w:pStyle w:val="LegalNumber2"/>
      </w:pPr>
      <w:r>
        <w:rPr>
          <w:rFonts w:ascii="Times New Roman" w:hAnsi="Times New Roman"/>
          <w:b w:val="0"/>
          <w:color w:val="111827"/>
          <w:sz w:val="22"/>
        </w:rPr>
        <w:t>4. statutory damages;</w:t>
      </w:r>
    </w:p>
    <w:p>
      <w:pPr>
        <w:pStyle w:val="LegalNumber2"/>
      </w:pPr>
      <w:r>
        <w:rPr>
          <w:rFonts w:ascii="Times New Roman" w:hAnsi="Times New Roman"/>
          <w:b w:val="0"/>
          <w:color w:val="111827"/>
          <w:sz w:val="22"/>
        </w:rPr>
        <w:t>5. restitution;</w:t>
      </w:r>
    </w:p>
    <w:p>
      <w:pPr>
        <w:pStyle w:val="LegalNumber2"/>
      </w:pPr>
      <w:r>
        <w:rPr>
          <w:rFonts w:ascii="Times New Roman" w:hAnsi="Times New Roman"/>
          <w:b w:val="0"/>
          <w:color w:val="111827"/>
          <w:sz w:val="22"/>
        </w:rPr>
        <w:t>6. content takedown;</w:t>
      </w:r>
    </w:p>
    <w:p>
      <w:pPr>
        <w:pStyle w:val="LegalNumber2"/>
      </w:pPr>
      <w:r>
        <w:rPr>
          <w:rFonts w:ascii="Times New Roman" w:hAnsi="Times New Roman"/>
          <w:b w:val="0"/>
          <w:color w:val="111827"/>
          <w:sz w:val="22"/>
        </w:rPr>
        <w:t>7. data deletion;</w:t>
      </w:r>
    </w:p>
    <w:p>
      <w:pPr>
        <w:pStyle w:val="LegalNumber2"/>
      </w:pPr>
      <w:r>
        <w:rPr>
          <w:rFonts w:ascii="Times New Roman" w:hAnsi="Times New Roman"/>
          <w:b w:val="0"/>
          <w:color w:val="111827"/>
          <w:sz w:val="22"/>
        </w:rPr>
        <w:t>8. attorney fees and costs.</w:t>
      </w:r>
    </w:p>
    <w:p>
      <w:pPr>
        <w:pStyle w:val="LegalNumber"/>
      </w:pPr>
      <w:r>
        <w:rPr>
          <w:rFonts w:ascii="Times New Roman" w:hAnsi="Times New Roman"/>
          <w:b w:val="0"/>
          <w:color w:val="111827"/>
          <w:sz w:val="22"/>
        </w:rPr>
        <w:t>3. The statute of limitations is:</w:t>
      </w:r>
    </w:p>
    <w:p>
      <w:pPr>
        <w:pStyle w:val="LegalNumber2"/>
      </w:pPr>
      <w:r>
        <w:rPr>
          <w:rFonts w:ascii="Times New Roman" w:hAnsi="Times New Roman"/>
          <w:b w:val="0"/>
          <w:color w:val="111827"/>
          <w:sz w:val="22"/>
        </w:rPr>
        <w:t>1. 10 years for trafficking, coercion, sexual violence, exploitation of a minor, or nonconsensual intimate content;</w:t>
      </w:r>
    </w:p>
    <w:p>
      <w:pPr>
        <w:pStyle w:val="LegalNumber2"/>
      </w:pPr>
      <w:r>
        <w:rPr>
          <w:rFonts w:ascii="Times New Roman" w:hAnsi="Times New Roman"/>
          <w:b w:val="0"/>
          <w:color w:val="111827"/>
          <w:sz w:val="22"/>
        </w:rPr>
        <w:t>2. 6 years for harassment, discrimination, retaliation, wage theft, privacy violations, or licensing-related harm;</w:t>
      </w:r>
    </w:p>
    <w:p>
      <w:pPr>
        <w:pStyle w:val="LegalNumber2"/>
      </w:pPr>
      <w:r>
        <w:rPr>
          <w:rFonts w:ascii="Times New Roman" w:hAnsi="Times New Roman"/>
          <w:b w:val="0"/>
          <w:color w:val="111827"/>
          <w:sz w:val="22"/>
        </w:rPr>
        <w:t>3. tolled while the plaintiff is a minor, incapacitated, under coercive control, trafficked, reasonably fearful of retaliation, or unable to discover the violation.</w:t>
      </w:r>
    </w:p>
    <w:p>
      <w:pPr>
        <w:spacing w:after="80"/>
      </w:pPr>
    </w:p>
    <w:p>
      <w:pPr>
        <w:pStyle w:val="TitleHeading"/>
      </w:pPr>
      <w:r>
        <w:rPr>
          <w:rFonts w:ascii="Arial" w:hAnsi="Arial"/>
          <w:b/>
          <w:color w:val="0B2545"/>
          <w:sz w:val="22"/>
        </w:rPr>
        <w:t>TITLE X. DIGITAL CONTENT, PRIVACY, ADVERTISING, AND DISTRIBUTION</w:t>
      </w:r>
    </w:p>
    <w:p>
      <w:pPr>
        <w:pStyle w:val="SectionHeading"/>
      </w:pPr>
      <w:r>
        <w:rPr>
          <w:rFonts w:ascii="Arial" w:hAnsi="Arial"/>
          <w:b/>
          <w:color w:val="0B2545"/>
          <w:sz w:val="21"/>
        </w:rPr>
        <w:t>SECTION 1001. Written consent for content.</w:t>
      </w:r>
    </w:p>
    <w:p>
      <w:pPr>
        <w:pStyle w:val="LegalNumber"/>
      </w:pPr>
      <w:r>
        <w:rPr>
          <w:rFonts w:ascii="Times New Roman" w:hAnsi="Times New Roman"/>
          <w:b w:val="0"/>
          <w:color w:val="111827"/>
          <w:sz w:val="22"/>
        </w:rPr>
        <w:t>1. Commercial adult intimate content shall not be produced, recorded, stored, distributed, sold, licensed, streamed, or monetized unless each depicted participant provides written consent.</w:t>
      </w:r>
    </w:p>
    <w:p>
      <w:pPr>
        <w:pStyle w:val="LegalNumber"/>
      </w:pPr>
      <w:r>
        <w:rPr>
          <w:rFonts w:ascii="Times New Roman" w:hAnsi="Times New Roman"/>
          <w:b w:val="0"/>
          <w:color w:val="111827"/>
          <w:sz w:val="22"/>
        </w:rPr>
        <w:t>2. Consent shall be separate for:</w:t>
      </w:r>
    </w:p>
    <w:p>
      <w:pPr>
        <w:pStyle w:val="LegalNumber2"/>
      </w:pPr>
      <w:r>
        <w:rPr>
          <w:rFonts w:ascii="Times New Roman" w:hAnsi="Times New Roman"/>
          <w:b w:val="0"/>
          <w:color w:val="111827"/>
          <w:sz w:val="22"/>
        </w:rPr>
        <w:t>1. recording;</w:t>
      </w:r>
    </w:p>
    <w:p>
      <w:pPr>
        <w:pStyle w:val="LegalNumber2"/>
      </w:pPr>
      <w:r>
        <w:rPr>
          <w:rFonts w:ascii="Times New Roman" w:hAnsi="Times New Roman"/>
          <w:b w:val="0"/>
          <w:color w:val="111827"/>
          <w:sz w:val="22"/>
        </w:rPr>
        <w:t>2. editing;</w:t>
      </w:r>
    </w:p>
    <w:p>
      <w:pPr>
        <w:pStyle w:val="LegalNumber2"/>
      </w:pPr>
      <w:r>
        <w:rPr>
          <w:rFonts w:ascii="Times New Roman" w:hAnsi="Times New Roman"/>
          <w:b w:val="0"/>
          <w:color w:val="111827"/>
          <w:sz w:val="22"/>
        </w:rPr>
        <w:t>3. storage;</w:t>
      </w:r>
    </w:p>
    <w:p>
      <w:pPr>
        <w:pStyle w:val="LegalNumber2"/>
      </w:pPr>
      <w:r>
        <w:rPr>
          <w:rFonts w:ascii="Times New Roman" w:hAnsi="Times New Roman"/>
          <w:b w:val="0"/>
          <w:color w:val="111827"/>
          <w:sz w:val="22"/>
        </w:rPr>
        <w:t>4. publication;</w:t>
      </w:r>
    </w:p>
    <w:p>
      <w:pPr>
        <w:pStyle w:val="LegalNumber2"/>
      </w:pPr>
      <w:r>
        <w:rPr>
          <w:rFonts w:ascii="Times New Roman" w:hAnsi="Times New Roman"/>
          <w:b w:val="0"/>
          <w:color w:val="111827"/>
          <w:sz w:val="22"/>
        </w:rPr>
        <w:t>5. sale;</w:t>
      </w:r>
    </w:p>
    <w:p>
      <w:pPr>
        <w:pStyle w:val="LegalNumber2"/>
      </w:pPr>
      <w:r>
        <w:rPr>
          <w:rFonts w:ascii="Times New Roman" w:hAnsi="Times New Roman"/>
          <w:b w:val="0"/>
          <w:color w:val="111827"/>
          <w:sz w:val="22"/>
        </w:rPr>
        <w:t>6. platform distribution;</w:t>
      </w:r>
    </w:p>
    <w:p>
      <w:pPr>
        <w:pStyle w:val="LegalNumber2"/>
      </w:pPr>
      <w:r>
        <w:rPr>
          <w:rFonts w:ascii="Times New Roman" w:hAnsi="Times New Roman"/>
          <w:b w:val="0"/>
          <w:color w:val="111827"/>
          <w:sz w:val="22"/>
        </w:rPr>
        <w:t>7. geographic distribution;</w:t>
      </w:r>
    </w:p>
    <w:p>
      <w:pPr>
        <w:pStyle w:val="LegalNumber2"/>
      </w:pPr>
      <w:r>
        <w:rPr>
          <w:rFonts w:ascii="Times New Roman" w:hAnsi="Times New Roman"/>
          <w:b w:val="0"/>
          <w:color w:val="111827"/>
          <w:sz w:val="22"/>
        </w:rPr>
        <w:t>8. duration of distribution;</w:t>
      </w:r>
    </w:p>
    <w:p>
      <w:pPr>
        <w:pStyle w:val="LegalNumber2"/>
      </w:pPr>
      <w:r>
        <w:rPr>
          <w:rFonts w:ascii="Times New Roman" w:hAnsi="Times New Roman"/>
          <w:b w:val="0"/>
          <w:color w:val="111827"/>
          <w:sz w:val="22"/>
        </w:rPr>
        <w:t>9. use of professional name or legal name;</w:t>
      </w:r>
    </w:p>
    <w:p>
      <w:pPr>
        <w:pStyle w:val="LegalNumber2"/>
      </w:pPr>
      <w:r>
        <w:rPr>
          <w:rFonts w:ascii="Times New Roman" w:hAnsi="Times New Roman"/>
          <w:b w:val="0"/>
          <w:color w:val="111827"/>
          <w:sz w:val="22"/>
        </w:rPr>
        <w:t>10. use of likeness, voice, and biometric data;</w:t>
      </w:r>
    </w:p>
    <w:p>
      <w:pPr>
        <w:pStyle w:val="LegalNumber2"/>
      </w:pPr>
      <w:r>
        <w:rPr>
          <w:rFonts w:ascii="Times New Roman" w:hAnsi="Times New Roman"/>
          <w:b w:val="0"/>
          <w:color w:val="111827"/>
          <w:sz w:val="22"/>
        </w:rPr>
        <w:t>11. synthetic alteration or AI-generated derivative;</w:t>
      </w:r>
    </w:p>
    <w:p>
      <w:pPr>
        <w:pStyle w:val="LegalNumber2"/>
      </w:pPr>
      <w:r>
        <w:rPr>
          <w:rFonts w:ascii="Times New Roman" w:hAnsi="Times New Roman"/>
          <w:b w:val="0"/>
          <w:color w:val="111827"/>
          <w:sz w:val="22"/>
        </w:rPr>
        <w:t>12. promotional excerpts;</w:t>
      </w:r>
    </w:p>
    <w:p>
      <w:pPr>
        <w:pStyle w:val="LegalNumber2"/>
      </w:pPr>
      <w:r>
        <w:rPr>
          <w:rFonts w:ascii="Times New Roman" w:hAnsi="Times New Roman"/>
          <w:b w:val="0"/>
          <w:color w:val="111827"/>
          <w:sz w:val="22"/>
        </w:rPr>
        <w:t>13. sublicensing.</w:t>
      </w:r>
    </w:p>
    <w:p>
      <w:pPr>
        <w:pStyle w:val="LegalNumber"/>
      </w:pPr>
      <w:r>
        <w:rPr>
          <w:rFonts w:ascii="Times New Roman" w:hAnsi="Times New Roman"/>
          <w:b w:val="0"/>
          <w:color w:val="111827"/>
          <w:sz w:val="22"/>
        </w:rPr>
        <w:t>3. Blanket consent to unspecified future recordings, uses, platforms, acts, participants, or synthetic alterations is invalid.</w:t>
      </w:r>
    </w:p>
    <w:p>
      <w:pPr>
        <w:pStyle w:val="LegalNumber"/>
      </w:pPr>
      <w:r>
        <w:rPr>
          <w:rFonts w:ascii="Times New Roman" w:hAnsi="Times New Roman"/>
          <w:b w:val="0"/>
          <w:color w:val="111827"/>
          <w:sz w:val="22"/>
        </w:rPr>
        <w:t>4. A participant may revoke consent before first commercial distribution. After first commercial distribution, a participant may seek takedown for fraud, coercion, material breach, nonpayment, unlawful distribution, unauthorized alteration, expiration of consent, or safety threat.</w:t>
      </w:r>
    </w:p>
    <w:p>
      <w:pPr>
        <w:pStyle w:val="LegalNumber"/>
      </w:pPr>
      <w:r>
        <w:rPr>
          <w:rFonts w:ascii="Times New Roman" w:hAnsi="Times New Roman"/>
          <w:b w:val="0"/>
          <w:color w:val="111827"/>
          <w:sz w:val="22"/>
        </w:rPr>
        <w:t>5. Consent records shall be retained securely for seven years after final distribution and shall be available to the Commission or court under protective procedures.</w:t>
      </w:r>
    </w:p>
    <w:p>
      <w:pPr>
        <w:spacing w:after="80"/>
      </w:pPr>
    </w:p>
    <w:p>
      <w:pPr>
        <w:pStyle w:val="SectionHeading"/>
      </w:pPr>
      <w:r>
        <w:rPr>
          <w:rFonts w:ascii="Arial" w:hAnsi="Arial"/>
          <w:b/>
          <w:color w:val="0B2545"/>
          <w:sz w:val="21"/>
        </w:rPr>
        <w:t>SECTION 1002. Nonconsensual content takedown.</w:t>
      </w:r>
    </w:p>
    <w:p>
      <w:pPr>
        <w:pStyle w:val="LegalNumber"/>
      </w:pPr>
      <w:r>
        <w:rPr>
          <w:rFonts w:ascii="Times New Roman" w:hAnsi="Times New Roman"/>
          <w:b w:val="0"/>
          <w:color w:val="111827"/>
          <w:sz w:val="22"/>
        </w:rPr>
        <w:t>1. A covered platform or content distributor shall maintain an accessible takedown mechanism for nonconsensual intimate content, impersonation, unauthorized advertising, trafficking, coercion, minor-involved content, and unlawful synthetic intimate content.</w:t>
      </w:r>
    </w:p>
    <w:p>
      <w:pPr>
        <w:pStyle w:val="LegalNumber"/>
      </w:pPr>
      <w:r>
        <w:rPr>
          <w:rFonts w:ascii="Times New Roman" w:hAnsi="Times New Roman"/>
          <w:b w:val="0"/>
          <w:color w:val="111827"/>
          <w:sz w:val="22"/>
        </w:rPr>
        <w:t>2. Upon receiving a facially valid notice, the platform shall:</w:t>
      </w:r>
    </w:p>
    <w:p>
      <w:pPr>
        <w:pStyle w:val="LegalNumber2"/>
      </w:pPr>
      <w:r>
        <w:rPr>
          <w:rFonts w:ascii="Times New Roman" w:hAnsi="Times New Roman"/>
          <w:b w:val="0"/>
          <w:color w:val="111827"/>
          <w:sz w:val="22"/>
        </w:rPr>
        <w:t>1. remove or disable access to the reported content within 24 hours when the claim involves a minor, trafficking, coercion, imminent harm, extortion, or unlawful recording;</w:t>
      </w:r>
    </w:p>
    <w:p>
      <w:pPr>
        <w:pStyle w:val="LegalNumber2"/>
      </w:pPr>
      <w:r>
        <w:rPr>
          <w:rFonts w:ascii="Times New Roman" w:hAnsi="Times New Roman"/>
          <w:b w:val="0"/>
          <w:color w:val="111827"/>
          <w:sz w:val="22"/>
        </w:rPr>
        <w:t>2. remove or disable access within 48 hours for other nonconsensual intimate content;</w:t>
      </w:r>
    </w:p>
    <w:p>
      <w:pPr>
        <w:pStyle w:val="LegalNumber2"/>
      </w:pPr>
      <w:r>
        <w:rPr>
          <w:rFonts w:ascii="Times New Roman" w:hAnsi="Times New Roman"/>
          <w:b w:val="0"/>
          <w:color w:val="111827"/>
          <w:sz w:val="22"/>
        </w:rPr>
        <w:t>3. make reasonable efforts to identify and remove known identical copies under the platform’s control;</w:t>
      </w:r>
    </w:p>
    <w:p>
      <w:pPr>
        <w:pStyle w:val="LegalNumber2"/>
      </w:pPr>
      <w:r>
        <w:rPr>
          <w:rFonts w:ascii="Times New Roman" w:hAnsi="Times New Roman"/>
          <w:b w:val="0"/>
          <w:color w:val="111827"/>
          <w:sz w:val="22"/>
        </w:rPr>
        <w:t>4. preserve evidence for 90 days, or longer upon lawful request;</w:t>
      </w:r>
    </w:p>
    <w:p>
      <w:pPr>
        <w:pStyle w:val="LegalNumber2"/>
      </w:pPr>
      <w:r>
        <w:rPr>
          <w:rFonts w:ascii="Times New Roman" w:hAnsi="Times New Roman"/>
          <w:b w:val="0"/>
          <w:color w:val="111827"/>
          <w:sz w:val="22"/>
        </w:rPr>
        <w:t>5. notify the reporting person of action taken;</w:t>
      </w:r>
    </w:p>
    <w:p>
      <w:pPr>
        <w:pStyle w:val="LegalNumber2"/>
      </w:pPr>
      <w:r>
        <w:rPr>
          <w:rFonts w:ascii="Times New Roman" w:hAnsi="Times New Roman"/>
          <w:b w:val="0"/>
          <w:color w:val="111827"/>
          <w:sz w:val="22"/>
        </w:rPr>
        <w:t>6. provide information about survivor services and law enforcement options.</w:t>
      </w:r>
    </w:p>
    <w:p>
      <w:pPr>
        <w:pStyle w:val="LegalNumber"/>
      </w:pPr>
      <w:r>
        <w:rPr>
          <w:rFonts w:ascii="Times New Roman" w:hAnsi="Times New Roman"/>
          <w:b w:val="0"/>
          <w:color w:val="111827"/>
          <w:sz w:val="22"/>
        </w:rPr>
        <w:t>3. A platform may provide a privacy-protective counter-notice process when legally appropriate, but shall not restore intimate content unless it determines by clear evidence that all required consents exist and restoration would not create immediate safety risk.</w:t>
      </w:r>
    </w:p>
    <w:p>
      <w:pPr>
        <w:pStyle w:val="LegalNumber"/>
      </w:pPr>
      <w:r>
        <w:rPr>
          <w:rFonts w:ascii="Times New Roman" w:hAnsi="Times New Roman"/>
          <w:b w:val="0"/>
          <w:color w:val="111827"/>
          <w:sz w:val="22"/>
        </w:rPr>
        <w:t>4. Repeated failure to comply is an unfair or deceptive practice under state consumer-protection law and grounds for civil penalties and license discipline.</w:t>
      </w:r>
    </w:p>
    <w:p>
      <w:pPr>
        <w:spacing w:after="80"/>
      </w:pPr>
    </w:p>
    <w:p>
      <w:pPr>
        <w:pStyle w:val="SectionHeading"/>
      </w:pPr>
      <w:r>
        <w:rPr>
          <w:rFonts w:ascii="Arial" w:hAnsi="Arial"/>
          <w:b/>
          <w:color w:val="0B2545"/>
          <w:sz w:val="21"/>
        </w:rPr>
        <w:t>SECTION 1003. Data privacy.</w:t>
      </w:r>
    </w:p>
    <w:p>
      <w:pPr>
        <w:pStyle w:val="LegalNumber"/>
      </w:pPr>
      <w:r>
        <w:rPr>
          <w:rFonts w:ascii="Times New Roman" w:hAnsi="Times New Roman"/>
          <w:b w:val="0"/>
          <w:color w:val="111827"/>
          <w:sz w:val="22"/>
        </w:rPr>
        <w:t>1. Operators, agencies, establishments, platforms, and content distributors shall collect only data necessary for licensing, safety, payment, age verification, consent verification, tax compliance, and lawful reporting.</w:t>
      </w:r>
    </w:p>
    <w:p>
      <w:pPr>
        <w:pStyle w:val="LegalNumber"/>
      </w:pPr>
      <w:r>
        <w:rPr>
          <w:rFonts w:ascii="Times New Roman" w:hAnsi="Times New Roman"/>
          <w:b w:val="0"/>
          <w:color w:val="111827"/>
          <w:sz w:val="22"/>
        </w:rPr>
        <w:t>2. Covered entities shall not sell, rent, trade, or disclose worker or client:</w:t>
      </w:r>
    </w:p>
    <w:p>
      <w:pPr>
        <w:pStyle w:val="LegalNumber2"/>
      </w:pPr>
      <w:r>
        <w:rPr>
          <w:rFonts w:ascii="Times New Roman" w:hAnsi="Times New Roman"/>
          <w:b w:val="0"/>
          <w:color w:val="111827"/>
          <w:sz w:val="22"/>
        </w:rPr>
        <w:t>1. legal name;</w:t>
      </w:r>
    </w:p>
    <w:p>
      <w:pPr>
        <w:pStyle w:val="LegalNumber2"/>
      </w:pPr>
      <w:r>
        <w:rPr>
          <w:rFonts w:ascii="Times New Roman" w:hAnsi="Times New Roman"/>
          <w:b w:val="0"/>
          <w:color w:val="111827"/>
          <w:sz w:val="22"/>
        </w:rPr>
        <w:t>2. home address;</w:t>
      </w:r>
    </w:p>
    <w:p>
      <w:pPr>
        <w:pStyle w:val="LegalNumber2"/>
      </w:pPr>
      <w:r>
        <w:rPr>
          <w:rFonts w:ascii="Times New Roman" w:hAnsi="Times New Roman"/>
          <w:b w:val="0"/>
          <w:color w:val="111827"/>
          <w:sz w:val="22"/>
        </w:rPr>
        <w:t>3. precise location;</w:t>
      </w:r>
    </w:p>
    <w:p>
      <w:pPr>
        <w:pStyle w:val="LegalNumber2"/>
      </w:pPr>
      <w:r>
        <w:rPr>
          <w:rFonts w:ascii="Times New Roman" w:hAnsi="Times New Roman"/>
          <w:b w:val="0"/>
          <w:color w:val="111827"/>
          <w:sz w:val="22"/>
        </w:rPr>
        <w:t>4. phone number;</w:t>
      </w:r>
    </w:p>
    <w:p>
      <w:pPr>
        <w:pStyle w:val="LegalNumber2"/>
      </w:pPr>
      <w:r>
        <w:rPr>
          <w:rFonts w:ascii="Times New Roman" w:hAnsi="Times New Roman"/>
          <w:b w:val="0"/>
          <w:color w:val="111827"/>
          <w:sz w:val="22"/>
        </w:rPr>
        <w:t>5. email address;</w:t>
      </w:r>
    </w:p>
    <w:p>
      <w:pPr>
        <w:pStyle w:val="LegalNumber2"/>
      </w:pPr>
      <w:r>
        <w:rPr>
          <w:rFonts w:ascii="Times New Roman" w:hAnsi="Times New Roman"/>
          <w:b w:val="0"/>
          <w:color w:val="111827"/>
          <w:sz w:val="22"/>
        </w:rPr>
        <w:t>6. biometric data;</w:t>
      </w:r>
    </w:p>
    <w:p>
      <w:pPr>
        <w:pStyle w:val="LegalNumber2"/>
      </w:pPr>
      <w:r>
        <w:rPr>
          <w:rFonts w:ascii="Times New Roman" w:hAnsi="Times New Roman"/>
          <w:b w:val="0"/>
          <w:color w:val="111827"/>
          <w:sz w:val="22"/>
        </w:rPr>
        <w:t>7. identification documents;</w:t>
      </w:r>
    </w:p>
    <w:p>
      <w:pPr>
        <w:pStyle w:val="LegalNumber2"/>
      </w:pPr>
      <w:r>
        <w:rPr>
          <w:rFonts w:ascii="Times New Roman" w:hAnsi="Times New Roman"/>
          <w:b w:val="0"/>
          <w:color w:val="111827"/>
          <w:sz w:val="22"/>
        </w:rPr>
        <w:t>8. health information;</w:t>
      </w:r>
    </w:p>
    <w:p>
      <w:pPr>
        <w:pStyle w:val="LegalNumber2"/>
      </w:pPr>
      <w:r>
        <w:rPr>
          <w:rFonts w:ascii="Times New Roman" w:hAnsi="Times New Roman"/>
          <w:b w:val="0"/>
          <w:color w:val="111827"/>
          <w:sz w:val="22"/>
        </w:rPr>
        <w:t>9. immigration information;</w:t>
      </w:r>
    </w:p>
    <w:p>
      <w:pPr>
        <w:pStyle w:val="LegalNumber2"/>
      </w:pPr>
      <w:r>
        <w:rPr>
          <w:rFonts w:ascii="Times New Roman" w:hAnsi="Times New Roman"/>
          <w:b w:val="0"/>
          <w:color w:val="111827"/>
          <w:sz w:val="22"/>
        </w:rPr>
        <w:t>10. work history;</w:t>
      </w:r>
    </w:p>
    <w:p>
      <w:pPr>
        <w:pStyle w:val="LegalNumber2"/>
      </w:pPr>
      <w:r>
        <w:rPr>
          <w:rFonts w:ascii="Times New Roman" w:hAnsi="Times New Roman"/>
          <w:b w:val="0"/>
          <w:color w:val="111827"/>
          <w:sz w:val="22"/>
        </w:rPr>
        <w:t>11. client history;</w:t>
      </w:r>
    </w:p>
    <w:p>
      <w:pPr>
        <w:pStyle w:val="LegalNumber2"/>
      </w:pPr>
      <w:r>
        <w:rPr>
          <w:rFonts w:ascii="Times New Roman" w:hAnsi="Times New Roman"/>
          <w:b w:val="0"/>
          <w:color w:val="111827"/>
          <w:sz w:val="22"/>
        </w:rPr>
        <w:t>12. platform viewing history;</w:t>
      </w:r>
    </w:p>
    <w:p>
      <w:pPr>
        <w:pStyle w:val="LegalNumber2"/>
      </w:pPr>
      <w:r>
        <w:rPr>
          <w:rFonts w:ascii="Times New Roman" w:hAnsi="Times New Roman"/>
          <w:b w:val="0"/>
          <w:color w:val="111827"/>
          <w:sz w:val="22"/>
        </w:rPr>
        <w:t>13. content-consumption history.</w:t>
      </w:r>
    </w:p>
    <w:p>
      <w:pPr>
        <w:pStyle w:val="LegalNumber"/>
      </w:pPr>
      <w:r>
        <w:rPr>
          <w:rFonts w:ascii="Times New Roman" w:hAnsi="Times New Roman"/>
          <w:b w:val="0"/>
          <w:color w:val="111827"/>
          <w:sz w:val="22"/>
        </w:rPr>
        <w:t>3. Biometric data may be used only for age or identity verification when a less intrusive method is unavailable or chosen by the person. Biometric data shall be deleted immediately after verification unless the person separately consents to retention for a specific lawful purpose.</w:t>
      </w:r>
    </w:p>
    <w:p>
      <w:pPr>
        <w:pStyle w:val="LegalNumber"/>
      </w:pPr>
      <w:r>
        <w:rPr>
          <w:rFonts w:ascii="Times New Roman" w:hAnsi="Times New Roman"/>
          <w:b w:val="0"/>
          <w:color w:val="111827"/>
          <w:sz w:val="22"/>
        </w:rPr>
        <w:t>4. Age-verification systems shall use privacy-preserving methods when feasible, including third-party tokenization, zero-knowledge verification, or other methods that confirm adult status without revealing unnecessary identity data.</w:t>
      </w:r>
    </w:p>
    <w:p>
      <w:pPr>
        <w:pStyle w:val="LegalNumber"/>
      </w:pPr>
      <w:r>
        <w:rPr>
          <w:rFonts w:ascii="Times New Roman" w:hAnsi="Times New Roman"/>
          <w:b w:val="0"/>
          <w:color w:val="111827"/>
          <w:sz w:val="22"/>
        </w:rPr>
        <w:t>5. A covered entity shall not retain copies of government identification after verification unless retention is expressly required by law. When retention is required, the entity shall encrypt the record, restrict access, maintain access logs, and delete the record at the earliest lawful date.</w:t>
      </w:r>
    </w:p>
    <w:p>
      <w:pPr>
        <w:pStyle w:val="LegalNumber"/>
      </w:pPr>
      <w:r>
        <w:rPr>
          <w:rFonts w:ascii="Times New Roman" w:hAnsi="Times New Roman"/>
          <w:b w:val="0"/>
          <w:color w:val="111827"/>
          <w:sz w:val="22"/>
        </w:rPr>
        <w:t>6. A breach of worker, client, participant, or survivor data shall be reported within 72 hours to the Commission and affected persons, unless delayed by court order for criminal investigation.</w:t>
      </w:r>
    </w:p>
    <w:p>
      <w:pPr>
        <w:pStyle w:val="LegalNumber"/>
      </w:pPr>
      <w:r>
        <w:rPr>
          <w:rFonts w:ascii="Times New Roman" w:hAnsi="Times New Roman"/>
          <w:b w:val="0"/>
          <w:color w:val="111827"/>
          <w:sz w:val="22"/>
        </w:rPr>
        <w:t>7. A person injured by unlawful data disclosure may recover actual damages, statutory damages of $10,000 per affected person per violation, punitive damages for reckless or intentional disclosure, attorney fees, and injunctive relief.</w:t>
      </w:r>
    </w:p>
    <w:p>
      <w:pPr>
        <w:spacing w:after="80"/>
      </w:pPr>
    </w:p>
    <w:p>
      <w:pPr>
        <w:pStyle w:val="SectionHeading"/>
      </w:pPr>
      <w:r>
        <w:rPr>
          <w:rFonts w:ascii="Arial" w:hAnsi="Arial"/>
          <w:b/>
          <w:color w:val="0B2545"/>
          <w:sz w:val="21"/>
        </w:rPr>
        <w:t>SECTION 1004. Advertising rules.</w:t>
      </w:r>
    </w:p>
    <w:p>
      <w:pPr>
        <w:pStyle w:val="LegalNumber"/>
      </w:pPr>
      <w:r>
        <w:rPr>
          <w:rFonts w:ascii="Times New Roman" w:hAnsi="Times New Roman"/>
          <w:b w:val="0"/>
          <w:color w:val="111827"/>
          <w:sz w:val="22"/>
        </w:rPr>
        <w:t>1. Advertising for lawful adult intimate work is permitted only:</w:t>
      </w:r>
    </w:p>
    <w:p>
      <w:pPr>
        <w:pStyle w:val="LegalNumber2"/>
      </w:pPr>
      <w:r>
        <w:rPr>
          <w:rFonts w:ascii="Times New Roman" w:hAnsi="Times New Roman"/>
          <w:b w:val="0"/>
          <w:color w:val="111827"/>
          <w:sz w:val="22"/>
        </w:rPr>
        <w:t>1. by a certified worker advertising the worker’s own services;</w:t>
      </w:r>
    </w:p>
    <w:p>
      <w:pPr>
        <w:pStyle w:val="LegalNumber2"/>
      </w:pPr>
      <w:r>
        <w:rPr>
          <w:rFonts w:ascii="Times New Roman" w:hAnsi="Times New Roman"/>
          <w:b w:val="0"/>
          <w:color w:val="111827"/>
          <w:sz w:val="22"/>
        </w:rPr>
        <w:t>2. by a licensed operator, agency, establishment, platform, content production business, or content distributor;</w:t>
      </w:r>
    </w:p>
    <w:p>
      <w:pPr>
        <w:pStyle w:val="LegalNumber2"/>
      </w:pPr>
      <w:r>
        <w:rPr>
          <w:rFonts w:ascii="Times New Roman" w:hAnsi="Times New Roman"/>
          <w:b w:val="0"/>
          <w:color w:val="111827"/>
          <w:sz w:val="22"/>
        </w:rPr>
        <w:t>3. through media, platforms, signage, or locations authorized by this Act and Commission rule.</w:t>
      </w:r>
    </w:p>
    <w:p>
      <w:pPr>
        <w:pStyle w:val="LegalNumber"/>
      </w:pPr>
      <w:r>
        <w:rPr>
          <w:rFonts w:ascii="Times New Roman" w:hAnsi="Times New Roman"/>
          <w:b w:val="0"/>
          <w:color w:val="111827"/>
          <w:sz w:val="22"/>
        </w:rPr>
        <w:t>2. An advertisement shall:</w:t>
      </w:r>
    </w:p>
    <w:p>
      <w:pPr>
        <w:pStyle w:val="LegalNumber2"/>
      </w:pPr>
      <w:r>
        <w:rPr>
          <w:rFonts w:ascii="Times New Roman" w:hAnsi="Times New Roman"/>
          <w:b w:val="0"/>
          <w:color w:val="111827"/>
          <w:sz w:val="22"/>
        </w:rPr>
        <w:t>1. be truthful and not misleading;</w:t>
      </w:r>
    </w:p>
    <w:p>
      <w:pPr>
        <w:pStyle w:val="LegalNumber2"/>
      </w:pPr>
      <w:r>
        <w:rPr>
          <w:rFonts w:ascii="Times New Roman" w:hAnsi="Times New Roman"/>
          <w:b w:val="0"/>
          <w:color w:val="111827"/>
          <w:sz w:val="22"/>
        </w:rPr>
        <w:t>2. identify the license or certification status through a privacy-preserving credential;</w:t>
      </w:r>
    </w:p>
    <w:p>
      <w:pPr>
        <w:pStyle w:val="LegalNumber2"/>
      </w:pPr>
      <w:r>
        <w:rPr>
          <w:rFonts w:ascii="Times New Roman" w:hAnsi="Times New Roman"/>
          <w:b w:val="0"/>
          <w:color w:val="111827"/>
          <w:sz w:val="22"/>
        </w:rPr>
        <w:t>3. state that all services require affirmative consent and may be refused or stopped;</w:t>
      </w:r>
    </w:p>
    <w:p>
      <w:pPr>
        <w:pStyle w:val="LegalNumber2"/>
      </w:pPr>
      <w:r>
        <w:rPr>
          <w:rFonts w:ascii="Times New Roman" w:hAnsi="Times New Roman"/>
          <w:b w:val="0"/>
          <w:color w:val="111827"/>
          <w:sz w:val="22"/>
        </w:rPr>
        <w:t>4. include a link or notice concerning reporting options, trafficking indicators, and client responsibilities when online;</w:t>
      </w:r>
    </w:p>
    <w:p>
      <w:pPr>
        <w:pStyle w:val="LegalNumber2"/>
      </w:pPr>
      <w:r>
        <w:rPr>
          <w:rFonts w:ascii="Times New Roman" w:hAnsi="Times New Roman"/>
          <w:b w:val="0"/>
          <w:color w:val="111827"/>
          <w:sz w:val="22"/>
        </w:rPr>
        <w:t>5. avoid disclosure of a worker’s legal name, home address, precise location, immigration status, health status, or private contact information without written consent.</w:t>
      </w:r>
    </w:p>
    <w:p>
      <w:pPr>
        <w:pStyle w:val="LegalNumber"/>
      </w:pPr>
      <w:r>
        <w:rPr>
          <w:rFonts w:ascii="Times New Roman" w:hAnsi="Times New Roman"/>
          <w:b w:val="0"/>
          <w:color w:val="111827"/>
          <w:sz w:val="22"/>
        </w:rPr>
        <w:t>3. An advertisement shall not:</w:t>
      </w:r>
    </w:p>
    <w:p>
      <w:pPr>
        <w:pStyle w:val="LegalNumber2"/>
      </w:pPr>
      <w:r>
        <w:rPr>
          <w:rFonts w:ascii="Times New Roman" w:hAnsi="Times New Roman"/>
          <w:b w:val="0"/>
          <w:color w:val="111827"/>
          <w:sz w:val="22"/>
        </w:rPr>
        <w:t>1. depict or suggest a minor;</w:t>
      </w:r>
    </w:p>
    <w:p>
      <w:pPr>
        <w:pStyle w:val="LegalNumber2"/>
      </w:pPr>
      <w:r>
        <w:rPr>
          <w:rFonts w:ascii="Times New Roman" w:hAnsi="Times New Roman"/>
          <w:b w:val="0"/>
          <w:color w:val="111827"/>
          <w:sz w:val="22"/>
        </w:rPr>
        <w:t>2. use school imagery, childlike imagery, youth-targeted cartoons, toys, uniforms associated with minors, or language designed to appeal to minors;</w:t>
      </w:r>
    </w:p>
    <w:p>
      <w:pPr>
        <w:pStyle w:val="LegalNumber2"/>
      </w:pPr>
      <w:r>
        <w:rPr>
          <w:rFonts w:ascii="Times New Roman" w:hAnsi="Times New Roman"/>
          <w:b w:val="0"/>
          <w:color w:val="111827"/>
          <w:sz w:val="22"/>
        </w:rPr>
        <w:t>3. show explicit sexual conduct in outdoor, storefront, transit, broadcast, or other public-facing media accessible to minors;</w:t>
      </w:r>
    </w:p>
    <w:p>
      <w:pPr>
        <w:pStyle w:val="LegalNumber2"/>
      </w:pPr>
      <w:r>
        <w:rPr>
          <w:rFonts w:ascii="Times New Roman" w:hAnsi="Times New Roman"/>
          <w:b w:val="0"/>
          <w:color w:val="111827"/>
          <w:sz w:val="22"/>
        </w:rPr>
        <w:t>4. falsely imply guaranteed services, nonconsensual services, intoxicated services, unsafe services, or services outside a worker’s boundaries;</w:t>
      </w:r>
    </w:p>
    <w:p>
      <w:pPr>
        <w:pStyle w:val="LegalNumber2"/>
      </w:pPr>
      <w:r>
        <w:rPr>
          <w:rFonts w:ascii="Times New Roman" w:hAnsi="Times New Roman"/>
          <w:b w:val="0"/>
          <w:color w:val="111827"/>
          <w:sz w:val="22"/>
        </w:rPr>
        <w:t>5. imply that payment purchases consent;</w:t>
      </w:r>
    </w:p>
    <w:p>
      <w:pPr>
        <w:pStyle w:val="LegalNumber2"/>
      </w:pPr>
      <w:r>
        <w:rPr>
          <w:rFonts w:ascii="Times New Roman" w:hAnsi="Times New Roman"/>
          <w:b w:val="0"/>
          <w:color w:val="111827"/>
          <w:sz w:val="22"/>
        </w:rPr>
        <w:t>6. advertise unlicensed establishments, agencies, platforms, or operators;</w:t>
      </w:r>
    </w:p>
    <w:p>
      <w:pPr>
        <w:pStyle w:val="LegalNumber2"/>
      </w:pPr>
      <w:r>
        <w:rPr>
          <w:rFonts w:ascii="Times New Roman" w:hAnsi="Times New Roman"/>
          <w:b w:val="0"/>
          <w:color w:val="111827"/>
          <w:sz w:val="22"/>
        </w:rPr>
        <w:t>7. use a person’s image, voice, likeness, professional name, legal name, review, or intimate content without consent;</w:t>
      </w:r>
    </w:p>
    <w:p>
      <w:pPr>
        <w:pStyle w:val="LegalNumber2"/>
      </w:pPr>
      <w:r>
        <w:rPr>
          <w:rFonts w:ascii="Times New Roman" w:hAnsi="Times New Roman"/>
          <w:b w:val="0"/>
          <w:color w:val="111827"/>
          <w:sz w:val="22"/>
        </w:rPr>
        <w:t>8. target minors or use behavioral advertising profiles known to include minors;</w:t>
      </w:r>
    </w:p>
    <w:p>
      <w:pPr>
        <w:pStyle w:val="LegalNumber2"/>
      </w:pPr>
      <w:r>
        <w:rPr>
          <w:rFonts w:ascii="Times New Roman" w:hAnsi="Times New Roman"/>
          <w:b w:val="0"/>
          <w:color w:val="111827"/>
          <w:sz w:val="22"/>
        </w:rPr>
        <w:t>9. use unsolicited direct messages, spam, robocalls, or location-based targeting near schools, shelters, healthcare facilities, addiction-treatment facilities, courthouses, houses of worship, youth centers, or domestic-violence shelters;</w:t>
      </w:r>
    </w:p>
    <w:p>
      <w:pPr>
        <w:pStyle w:val="LegalNumber2"/>
      </w:pPr>
      <w:r>
        <w:rPr>
          <w:rFonts w:ascii="Times New Roman" w:hAnsi="Times New Roman"/>
          <w:b w:val="0"/>
          <w:color w:val="111827"/>
          <w:sz w:val="22"/>
        </w:rPr>
        <w:t>10. obstruct reporting or misrepresent legal rights.</w:t>
      </w:r>
    </w:p>
    <w:p>
      <w:pPr>
        <w:pStyle w:val="LegalNumber"/>
      </w:pPr>
      <w:r>
        <w:rPr>
          <w:rFonts w:ascii="Times New Roman" w:hAnsi="Times New Roman"/>
          <w:b w:val="0"/>
          <w:color w:val="111827"/>
          <w:sz w:val="22"/>
        </w:rPr>
        <w:t>4. Outdoor, storefront, transit, and public-facing advertisements shall be limited to:</w:t>
      </w:r>
    </w:p>
    <w:p>
      <w:pPr>
        <w:pStyle w:val="LegalNumber2"/>
      </w:pPr>
      <w:r>
        <w:rPr>
          <w:rFonts w:ascii="Times New Roman" w:hAnsi="Times New Roman"/>
          <w:b w:val="0"/>
          <w:color w:val="111827"/>
          <w:sz w:val="22"/>
        </w:rPr>
        <w:t>1. business name;</w:t>
      </w:r>
    </w:p>
    <w:p>
      <w:pPr>
        <w:pStyle w:val="LegalNumber2"/>
      </w:pPr>
      <w:r>
        <w:rPr>
          <w:rFonts w:ascii="Times New Roman" w:hAnsi="Times New Roman"/>
          <w:b w:val="0"/>
          <w:color w:val="111827"/>
          <w:sz w:val="22"/>
        </w:rPr>
        <w:t>2. logo;</w:t>
      </w:r>
    </w:p>
    <w:p>
      <w:pPr>
        <w:pStyle w:val="LegalNumber2"/>
      </w:pPr>
      <w:r>
        <w:rPr>
          <w:rFonts w:ascii="Times New Roman" w:hAnsi="Times New Roman"/>
          <w:b w:val="0"/>
          <w:color w:val="111827"/>
          <w:sz w:val="22"/>
        </w:rPr>
        <w:t>3. hours;</w:t>
      </w:r>
    </w:p>
    <w:p>
      <w:pPr>
        <w:pStyle w:val="LegalNumber2"/>
      </w:pPr>
      <w:r>
        <w:rPr>
          <w:rFonts w:ascii="Times New Roman" w:hAnsi="Times New Roman"/>
          <w:b w:val="0"/>
          <w:color w:val="111827"/>
          <w:sz w:val="22"/>
        </w:rPr>
        <w:t>4. general adult-services description;</w:t>
      </w:r>
    </w:p>
    <w:p>
      <w:pPr>
        <w:pStyle w:val="LegalNumber2"/>
      </w:pPr>
      <w:r>
        <w:rPr>
          <w:rFonts w:ascii="Times New Roman" w:hAnsi="Times New Roman"/>
          <w:b w:val="0"/>
          <w:color w:val="111827"/>
          <w:sz w:val="22"/>
        </w:rPr>
        <w:t>5. website or phone contact;</w:t>
      </w:r>
    </w:p>
    <w:p>
      <w:pPr>
        <w:pStyle w:val="LegalNumber2"/>
      </w:pPr>
      <w:r>
        <w:rPr>
          <w:rFonts w:ascii="Times New Roman" w:hAnsi="Times New Roman"/>
          <w:b w:val="0"/>
          <w:color w:val="111827"/>
          <w:sz w:val="22"/>
        </w:rPr>
        <w:t>6. license number;</w:t>
      </w:r>
    </w:p>
    <w:p>
      <w:pPr>
        <w:pStyle w:val="LegalNumber2"/>
      </w:pPr>
      <w:r>
        <w:rPr>
          <w:rFonts w:ascii="Times New Roman" w:hAnsi="Times New Roman"/>
          <w:b w:val="0"/>
          <w:color w:val="111827"/>
          <w:sz w:val="22"/>
        </w:rPr>
        <w:t>7. non-explicit imagery.</w:t>
      </w:r>
    </w:p>
    <w:p>
      <w:pPr>
        <w:pStyle w:val="LegalNumber"/>
      </w:pPr>
      <w:r>
        <w:rPr>
          <w:rFonts w:ascii="Times New Roman" w:hAnsi="Times New Roman"/>
          <w:b w:val="0"/>
          <w:color w:val="111827"/>
          <w:sz w:val="22"/>
        </w:rPr>
        <w:t>5. No outdoor or public-facing advertisement for an adult intimate establishment shall be placed within 1,000 feet of a K-12 school, licensed childcare center, playground, youth center, or public library children’s entrance, measured by ordinary pedestrian route, unless the advertisement is inside a building and not visible from the protected location.</w:t>
      </w:r>
    </w:p>
    <w:p>
      <w:pPr>
        <w:pStyle w:val="LegalNumber"/>
      </w:pPr>
      <w:r>
        <w:rPr>
          <w:rFonts w:ascii="Times New Roman" w:hAnsi="Times New Roman"/>
          <w:b w:val="0"/>
          <w:color w:val="111827"/>
          <w:sz w:val="22"/>
        </w:rPr>
        <w:t>6. Online advertisements containing explicit adult content shall be behind an age-verification or age-gating mechanism and shall comply with privacy requirements.</w:t>
      </w:r>
    </w:p>
    <w:p>
      <w:pPr>
        <w:spacing w:after="80"/>
      </w:pPr>
    </w:p>
    <w:p>
      <w:pPr>
        <w:pStyle w:val="SectionHeading"/>
      </w:pPr>
      <w:r>
        <w:rPr>
          <w:rFonts w:ascii="Arial" w:hAnsi="Arial"/>
          <w:b/>
          <w:color w:val="0B2545"/>
          <w:sz w:val="21"/>
        </w:rPr>
        <w:t>SECTION 1005. Consumer protections.</w:t>
      </w:r>
    </w:p>
    <w:p>
      <w:pPr>
        <w:pStyle w:val="LegalNumber"/>
      </w:pPr>
      <w:r>
        <w:rPr>
          <w:rFonts w:ascii="Times New Roman" w:hAnsi="Times New Roman"/>
          <w:b w:val="0"/>
          <w:color w:val="111827"/>
          <w:sz w:val="22"/>
        </w:rPr>
        <w:t>1. A client has the right to:</w:t>
      </w:r>
    </w:p>
    <w:p>
      <w:pPr>
        <w:pStyle w:val="LegalNumber2"/>
      </w:pPr>
      <w:r>
        <w:rPr>
          <w:rFonts w:ascii="Times New Roman" w:hAnsi="Times New Roman"/>
          <w:b w:val="0"/>
          <w:color w:val="111827"/>
          <w:sz w:val="22"/>
        </w:rPr>
        <w:t>1. truthful price and fee information;</w:t>
      </w:r>
    </w:p>
    <w:p>
      <w:pPr>
        <w:pStyle w:val="LegalNumber2"/>
      </w:pPr>
      <w:r>
        <w:rPr>
          <w:rFonts w:ascii="Times New Roman" w:hAnsi="Times New Roman"/>
          <w:b w:val="0"/>
          <w:color w:val="111827"/>
          <w:sz w:val="22"/>
        </w:rPr>
        <w:t>2. privacy consistent with this Act;</w:t>
      </w:r>
    </w:p>
    <w:p>
      <w:pPr>
        <w:pStyle w:val="LegalNumber2"/>
      </w:pPr>
      <w:r>
        <w:rPr>
          <w:rFonts w:ascii="Times New Roman" w:hAnsi="Times New Roman"/>
          <w:b w:val="0"/>
          <w:color w:val="111827"/>
          <w:sz w:val="22"/>
        </w:rPr>
        <w:t>3. safety from assault, theft, extortion, unlawful recording, discrimination, and fraud;</w:t>
      </w:r>
    </w:p>
    <w:p>
      <w:pPr>
        <w:pStyle w:val="LegalNumber2"/>
      </w:pPr>
      <w:r>
        <w:rPr>
          <w:rFonts w:ascii="Times New Roman" w:hAnsi="Times New Roman"/>
          <w:b w:val="0"/>
          <w:color w:val="111827"/>
          <w:sz w:val="22"/>
        </w:rPr>
        <w:t>4. clear cancellation and refund policies;</w:t>
      </w:r>
    </w:p>
    <w:p>
      <w:pPr>
        <w:pStyle w:val="LegalNumber2"/>
      </w:pPr>
      <w:r>
        <w:rPr>
          <w:rFonts w:ascii="Times New Roman" w:hAnsi="Times New Roman"/>
          <w:b w:val="0"/>
          <w:color w:val="111827"/>
          <w:sz w:val="22"/>
        </w:rPr>
        <w:t>5. notice that all services require ongoing consent;</w:t>
      </w:r>
    </w:p>
    <w:p>
      <w:pPr>
        <w:pStyle w:val="LegalNumber2"/>
      </w:pPr>
      <w:r>
        <w:rPr>
          <w:rFonts w:ascii="Times New Roman" w:hAnsi="Times New Roman"/>
          <w:b w:val="0"/>
          <w:color w:val="111827"/>
          <w:sz w:val="22"/>
        </w:rPr>
        <w:t>6. complaint access.</w:t>
      </w:r>
    </w:p>
    <w:p>
      <w:pPr>
        <w:pStyle w:val="LegalNumber"/>
      </w:pPr>
      <w:r>
        <w:rPr>
          <w:rFonts w:ascii="Times New Roman" w:hAnsi="Times New Roman"/>
          <w:b w:val="0"/>
          <w:color w:val="111827"/>
          <w:sz w:val="22"/>
        </w:rPr>
        <w:t>2. A client shall:</w:t>
      </w:r>
    </w:p>
    <w:p>
      <w:pPr>
        <w:pStyle w:val="LegalNumber2"/>
      </w:pPr>
      <w:r>
        <w:rPr>
          <w:rFonts w:ascii="Times New Roman" w:hAnsi="Times New Roman"/>
          <w:b w:val="0"/>
          <w:color w:val="111827"/>
          <w:sz w:val="22"/>
        </w:rPr>
        <w:t>1. be an adult;</w:t>
      </w:r>
    </w:p>
    <w:p>
      <w:pPr>
        <w:pStyle w:val="LegalNumber2"/>
      </w:pPr>
      <w:r>
        <w:rPr>
          <w:rFonts w:ascii="Times New Roman" w:hAnsi="Times New Roman"/>
          <w:b w:val="0"/>
          <w:color w:val="111827"/>
          <w:sz w:val="22"/>
        </w:rPr>
        <w:t>2. comply with consent and boundary rules;</w:t>
      </w:r>
    </w:p>
    <w:p>
      <w:pPr>
        <w:pStyle w:val="LegalNumber2"/>
      </w:pPr>
      <w:r>
        <w:rPr>
          <w:rFonts w:ascii="Times New Roman" w:hAnsi="Times New Roman"/>
          <w:b w:val="0"/>
          <w:color w:val="111827"/>
          <w:sz w:val="22"/>
        </w:rPr>
        <w:t>3. not record or distribute intimate content without written consent;</w:t>
      </w:r>
    </w:p>
    <w:p>
      <w:pPr>
        <w:pStyle w:val="LegalNumber2"/>
      </w:pPr>
      <w:r>
        <w:rPr>
          <w:rFonts w:ascii="Times New Roman" w:hAnsi="Times New Roman"/>
          <w:b w:val="0"/>
          <w:color w:val="111827"/>
          <w:sz w:val="22"/>
        </w:rPr>
        <w:t>4. not harass, stalk, threaten, coerce, dox, assault, or retaliate;</w:t>
      </w:r>
    </w:p>
    <w:p>
      <w:pPr>
        <w:pStyle w:val="LegalNumber2"/>
      </w:pPr>
      <w:r>
        <w:rPr>
          <w:rFonts w:ascii="Times New Roman" w:hAnsi="Times New Roman"/>
          <w:b w:val="0"/>
          <w:color w:val="111827"/>
          <w:sz w:val="22"/>
        </w:rPr>
        <w:t>5. not seek services from a person believed to be minor, coerced, trafficked, incapacitated, or unsafe;</w:t>
      </w:r>
    </w:p>
    <w:p>
      <w:pPr>
        <w:pStyle w:val="LegalNumber2"/>
      </w:pPr>
      <w:r>
        <w:rPr>
          <w:rFonts w:ascii="Times New Roman" w:hAnsi="Times New Roman"/>
          <w:b w:val="0"/>
          <w:color w:val="111827"/>
          <w:sz w:val="22"/>
        </w:rPr>
        <w:t>6. comply with establishment safety and health rules.</w:t>
      </w:r>
    </w:p>
    <w:p>
      <w:pPr>
        <w:pStyle w:val="LegalNumber"/>
      </w:pPr>
      <w:r>
        <w:rPr>
          <w:rFonts w:ascii="Times New Roman" w:hAnsi="Times New Roman"/>
          <w:b w:val="0"/>
          <w:color w:val="111827"/>
          <w:sz w:val="22"/>
        </w:rPr>
        <w:t>3. Client privacy does not shield criminal conduct. Records identifying a client may be disclosed pursuant to warrant, court order, emergency protective order, or lawful investigation of trafficking, coercion, sexual violence, exploitation of a minor, nonconsensual recording, stalking, extortion, or serious violence.</w:t>
      </w:r>
    </w:p>
    <w:p>
      <w:pPr>
        <w:spacing w:after="80"/>
      </w:pPr>
    </w:p>
    <w:p>
      <w:pPr>
        <w:pStyle w:val="TitleHeading"/>
      </w:pPr>
      <w:r>
        <w:rPr>
          <w:rFonts w:ascii="Arial" w:hAnsi="Arial"/>
          <w:b/>
          <w:color w:val="0B2545"/>
          <w:sz w:val="22"/>
        </w:rPr>
        <w:t>TITLE XI. TAXATION, FEES, AND PUBLIC FUNDING</w:t>
      </w:r>
    </w:p>
    <w:p>
      <w:pPr>
        <w:pStyle w:val="SectionHeading"/>
      </w:pPr>
      <w:r>
        <w:rPr>
          <w:rFonts w:ascii="Arial" w:hAnsi="Arial"/>
          <w:b/>
          <w:color w:val="0B2545"/>
          <w:sz w:val="21"/>
        </w:rPr>
        <w:t>SECTION 1101. Adult intimate work regulatory fund.</w:t>
      </w:r>
    </w:p>
    <w:p>
      <w:pPr>
        <w:pStyle w:val="LegalNumber"/>
      </w:pPr>
      <w:r>
        <w:rPr>
          <w:rFonts w:ascii="Times New Roman" w:hAnsi="Times New Roman"/>
          <w:b w:val="0"/>
          <w:color w:val="111827"/>
          <w:sz w:val="22"/>
        </w:rPr>
        <w:t>1. The Adult Intimate Work Safety and Equity Fund is established in the State Treasury.</w:t>
      </w:r>
    </w:p>
    <w:p>
      <w:pPr>
        <w:pStyle w:val="LegalNumber"/>
      </w:pPr>
      <w:r>
        <w:rPr>
          <w:rFonts w:ascii="Times New Roman" w:hAnsi="Times New Roman"/>
          <w:b w:val="0"/>
          <w:color w:val="111827"/>
          <w:sz w:val="22"/>
        </w:rPr>
        <w:t>2. The Fund shall receive:</w:t>
      </w:r>
    </w:p>
    <w:p>
      <w:pPr>
        <w:pStyle w:val="LegalNumber2"/>
      </w:pPr>
      <w:r>
        <w:rPr>
          <w:rFonts w:ascii="Times New Roman" w:hAnsi="Times New Roman"/>
          <w:b w:val="0"/>
          <w:color w:val="111827"/>
          <w:sz w:val="22"/>
        </w:rPr>
        <w:t>1. license fees;</w:t>
      </w:r>
    </w:p>
    <w:p>
      <w:pPr>
        <w:pStyle w:val="LegalNumber2"/>
      </w:pPr>
      <w:r>
        <w:rPr>
          <w:rFonts w:ascii="Times New Roman" w:hAnsi="Times New Roman"/>
          <w:b w:val="0"/>
          <w:color w:val="111827"/>
          <w:sz w:val="22"/>
        </w:rPr>
        <w:t>2. civil penalties;</w:t>
      </w:r>
    </w:p>
    <w:p>
      <w:pPr>
        <w:pStyle w:val="LegalNumber2"/>
      </w:pPr>
      <w:r>
        <w:rPr>
          <w:rFonts w:ascii="Times New Roman" w:hAnsi="Times New Roman"/>
          <w:b w:val="0"/>
          <w:color w:val="111827"/>
          <w:sz w:val="22"/>
        </w:rPr>
        <w:t>3. dedicated excise taxes;</w:t>
      </w:r>
    </w:p>
    <w:p>
      <w:pPr>
        <w:pStyle w:val="LegalNumber2"/>
      </w:pPr>
      <w:r>
        <w:rPr>
          <w:rFonts w:ascii="Times New Roman" w:hAnsi="Times New Roman"/>
          <w:b w:val="0"/>
          <w:color w:val="111827"/>
          <w:sz w:val="22"/>
        </w:rPr>
        <w:t>4. appropriations;</w:t>
      </w:r>
    </w:p>
    <w:p>
      <w:pPr>
        <w:pStyle w:val="LegalNumber2"/>
      </w:pPr>
      <w:r>
        <w:rPr>
          <w:rFonts w:ascii="Times New Roman" w:hAnsi="Times New Roman"/>
          <w:b w:val="0"/>
          <w:color w:val="111827"/>
          <w:sz w:val="22"/>
        </w:rPr>
        <w:t>5. grants;</w:t>
      </w:r>
    </w:p>
    <w:p>
      <w:pPr>
        <w:pStyle w:val="LegalNumber2"/>
      </w:pPr>
      <w:r>
        <w:rPr>
          <w:rFonts w:ascii="Times New Roman" w:hAnsi="Times New Roman"/>
          <w:b w:val="0"/>
          <w:color w:val="111827"/>
          <w:sz w:val="22"/>
        </w:rPr>
        <w:t>6. restitution deposits when unclaimed and lawfully transferred;</w:t>
      </w:r>
    </w:p>
    <w:p>
      <w:pPr>
        <w:pStyle w:val="LegalNumber2"/>
      </w:pPr>
      <w:r>
        <w:rPr>
          <w:rFonts w:ascii="Times New Roman" w:hAnsi="Times New Roman"/>
          <w:b w:val="0"/>
          <w:color w:val="111827"/>
          <w:sz w:val="22"/>
        </w:rPr>
        <w:t>7. voluntary contributions.</w:t>
      </w:r>
    </w:p>
    <w:p>
      <w:pPr>
        <w:pStyle w:val="LegalNumber"/>
      </w:pPr>
      <w:r>
        <w:rPr>
          <w:rFonts w:ascii="Times New Roman" w:hAnsi="Times New Roman"/>
          <w:b w:val="0"/>
          <w:color w:val="111827"/>
          <w:sz w:val="22"/>
        </w:rPr>
        <w:t>3. Fund money shall not revert to the general fund.</w:t>
      </w:r>
    </w:p>
    <w:p>
      <w:pPr>
        <w:spacing w:after="80"/>
      </w:pPr>
    </w:p>
    <w:p>
      <w:pPr>
        <w:pStyle w:val="SectionHeading"/>
      </w:pPr>
      <w:r>
        <w:rPr>
          <w:rFonts w:ascii="Arial" w:hAnsi="Arial"/>
          <w:b/>
          <w:color w:val="0B2545"/>
          <w:sz w:val="21"/>
        </w:rPr>
        <w:t>SECTION 1102. Excise tax.</w:t>
      </w:r>
    </w:p>
    <w:p>
      <w:pPr>
        <w:pStyle w:val="LegalNumber"/>
      </w:pPr>
      <w:r>
        <w:rPr>
          <w:rFonts w:ascii="Times New Roman" w:hAnsi="Times New Roman"/>
          <w:b w:val="0"/>
          <w:color w:val="111827"/>
          <w:sz w:val="22"/>
        </w:rPr>
        <w:t>1. A licensed operator, agency, establishment, content production business, content distributor, and covered platform shall pay an adult intimate work excise tax equal to 4 percent of gross receipts derived from adult intimate work in this State.</w:t>
      </w:r>
    </w:p>
    <w:p>
      <w:pPr>
        <w:pStyle w:val="LegalNumber"/>
      </w:pPr>
      <w:r>
        <w:rPr>
          <w:rFonts w:ascii="Times New Roman" w:hAnsi="Times New Roman"/>
          <w:b w:val="0"/>
          <w:color w:val="111827"/>
          <w:sz w:val="22"/>
        </w:rPr>
        <w:t>2. Worker earnings paid directly to individual workers shall not be taxed under this section. Workers remain subject to generally applicable income and self-employment taxes.</w:t>
      </w:r>
    </w:p>
    <w:p>
      <w:pPr>
        <w:pStyle w:val="LegalNumber"/>
      </w:pPr>
      <w:r>
        <w:rPr>
          <w:rFonts w:ascii="Times New Roman" w:hAnsi="Times New Roman"/>
          <w:b w:val="0"/>
          <w:color w:val="111827"/>
          <w:sz w:val="22"/>
        </w:rPr>
        <w:t>3. Worker-controlled cooperatives with annual gross receipts under $500,000 shall pay a reduced excise tax of 1 percent.</w:t>
      </w:r>
    </w:p>
    <w:p>
      <w:pPr>
        <w:pStyle w:val="LegalNumber"/>
      </w:pPr>
      <w:r>
        <w:rPr>
          <w:rFonts w:ascii="Times New Roman" w:hAnsi="Times New Roman"/>
          <w:b w:val="0"/>
          <w:color w:val="111827"/>
          <w:sz w:val="22"/>
        </w:rPr>
        <w:t>4. The Department of Revenue shall issue simplified guidance to prevent tax compliance from exposing workers’ identities or pushing workers into unregulated markets.</w:t>
      </w:r>
    </w:p>
    <w:p>
      <w:pPr>
        <w:pStyle w:val="LegalNumber"/>
      </w:pPr>
      <w:r>
        <w:rPr>
          <w:rFonts w:ascii="Times New Roman" w:hAnsi="Times New Roman"/>
          <w:b w:val="0"/>
          <w:color w:val="111827"/>
          <w:sz w:val="22"/>
        </w:rPr>
        <w:t>5. Tax records identifying workers, clients, or survivors are confidential and shall not be disclosed except for tax administration, court order, or investigation of trafficking, coercion, exploitation of a minor, money laundering, or serious violence.</w:t>
      </w:r>
    </w:p>
    <w:p>
      <w:pPr>
        <w:spacing w:after="80"/>
      </w:pPr>
    </w:p>
    <w:p>
      <w:pPr>
        <w:pStyle w:val="SectionHeading"/>
      </w:pPr>
      <w:r>
        <w:rPr>
          <w:rFonts w:ascii="Arial" w:hAnsi="Arial"/>
          <w:b/>
          <w:color w:val="0B2545"/>
          <w:sz w:val="21"/>
        </w:rPr>
        <w:t>SECTION 1103. Revenue allocation.</w:t>
      </w:r>
    </w:p>
    <w:p>
      <w:pPr>
        <w:pStyle w:val="LegalBody"/>
      </w:pPr>
      <w:r>
        <w:rPr>
          <w:rFonts w:ascii="Times New Roman" w:hAnsi="Times New Roman"/>
          <w:b w:val="0"/>
          <w:color w:val="111827"/>
          <w:sz w:val="22"/>
        </w:rPr>
        <w:t>Annual Fund revenue shall be allocated as follows:</w:t>
      </w:r>
    </w:p>
    <w:p>
      <w:pPr>
        <w:pStyle w:val="LegalNumber"/>
      </w:pPr>
      <w:r>
        <w:rPr>
          <w:rFonts w:ascii="Times New Roman" w:hAnsi="Times New Roman"/>
          <w:b w:val="0"/>
          <w:color w:val="111827"/>
          <w:sz w:val="22"/>
        </w:rPr>
        <w:t>1. 25 percent to worker health, occupational safety, mental health, peer outreach, and mobile services;</w:t>
      </w:r>
    </w:p>
    <w:p>
      <w:pPr>
        <w:pStyle w:val="LegalNumber"/>
      </w:pPr>
      <w:r>
        <w:rPr>
          <w:rFonts w:ascii="Times New Roman" w:hAnsi="Times New Roman"/>
          <w:b w:val="0"/>
          <w:color w:val="111827"/>
          <w:sz w:val="22"/>
        </w:rPr>
        <w:t>2. 25 percent to victim and survivor services, emergency housing, relocation, legal aid, intimate-content takedown assistance, and protective-order support;</w:t>
      </w:r>
    </w:p>
    <w:p>
      <w:pPr>
        <w:pStyle w:val="LegalNumber"/>
      </w:pPr>
      <w:r>
        <w:rPr>
          <w:rFonts w:ascii="Times New Roman" w:hAnsi="Times New Roman"/>
          <w:b w:val="0"/>
          <w:color w:val="111827"/>
          <w:sz w:val="22"/>
        </w:rPr>
        <w:t>3. 20 percent to inspections, licensing, anti-trafficking enforcement, financial audits, and platform compliance;</w:t>
      </w:r>
    </w:p>
    <w:p>
      <w:pPr>
        <w:pStyle w:val="LegalNumber"/>
      </w:pPr>
      <w:r>
        <w:rPr>
          <w:rFonts w:ascii="Times New Roman" w:hAnsi="Times New Roman"/>
          <w:b w:val="0"/>
          <w:color w:val="111827"/>
          <w:sz w:val="22"/>
        </w:rPr>
        <w:t>4. 10 percent to public education, consent education, client-responsibility campaigns, and professional training;</w:t>
      </w:r>
    </w:p>
    <w:p>
      <w:pPr>
        <w:pStyle w:val="LegalNumber"/>
      </w:pPr>
      <w:r>
        <w:rPr>
          <w:rFonts w:ascii="Times New Roman" w:hAnsi="Times New Roman"/>
          <w:b w:val="0"/>
          <w:color w:val="111827"/>
          <w:sz w:val="22"/>
        </w:rPr>
        <w:t>5. 10 percent to local community impact grants for lighting, transportation safety, sanitation, nuisance prevention, and nonpunitive outreach;</w:t>
      </w:r>
    </w:p>
    <w:p>
      <w:pPr>
        <w:pStyle w:val="LegalNumber"/>
      </w:pPr>
      <w:r>
        <w:rPr>
          <w:rFonts w:ascii="Times New Roman" w:hAnsi="Times New Roman"/>
          <w:b w:val="0"/>
          <w:color w:val="111827"/>
          <w:sz w:val="22"/>
        </w:rPr>
        <w:t>6. 5 percent to worker-controlled cooperative support and transition grants;</w:t>
      </w:r>
    </w:p>
    <w:p>
      <w:pPr>
        <w:pStyle w:val="LegalNumber"/>
      </w:pPr>
      <w:r>
        <w:rPr>
          <w:rFonts w:ascii="Times New Roman" w:hAnsi="Times New Roman"/>
          <w:b w:val="0"/>
          <w:color w:val="111827"/>
          <w:sz w:val="22"/>
        </w:rPr>
        <w:t>7. 5 percent to research, data protection, independent evaluation, and legislative review.</w:t>
      </w:r>
    </w:p>
    <w:p>
      <w:pPr>
        <w:spacing w:after="80"/>
      </w:pPr>
    </w:p>
    <w:p>
      <w:pPr>
        <w:pStyle w:val="SectionHeading"/>
      </w:pPr>
      <w:r>
        <w:rPr>
          <w:rFonts w:ascii="Arial" w:hAnsi="Arial"/>
          <w:b/>
          <w:color w:val="0B2545"/>
          <w:sz w:val="21"/>
        </w:rPr>
        <w:t>SECTION 1104. Fee limits.</w:t>
      </w:r>
    </w:p>
    <w:p>
      <w:pPr>
        <w:pStyle w:val="LegalNumber"/>
      </w:pPr>
      <w:r>
        <w:rPr>
          <w:rFonts w:ascii="Times New Roman" w:hAnsi="Times New Roman"/>
          <w:b w:val="0"/>
          <w:color w:val="111827"/>
          <w:sz w:val="22"/>
        </w:rPr>
        <w:t>1. Local governments shall not impose fees, taxes, assessments, or charges on adult intimate workers or businesses that exceed the reasonable cost of administration, inspection, public safety, and community-impact mitigation.</w:t>
      </w:r>
    </w:p>
    <w:p>
      <w:pPr>
        <w:pStyle w:val="LegalNumber"/>
      </w:pPr>
      <w:r>
        <w:rPr>
          <w:rFonts w:ascii="Times New Roman" w:hAnsi="Times New Roman"/>
          <w:b w:val="0"/>
          <w:color w:val="111827"/>
          <w:sz w:val="22"/>
        </w:rPr>
        <w:t>2. Fees shall not be structured to suppress lawful adult intimate work, force workers into unregulated markets, or favor large operators over independent workers and worker-controlled cooperatives.</w:t>
      </w:r>
    </w:p>
    <w:p>
      <w:pPr>
        <w:spacing w:after="80"/>
      </w:pPr>
    </w:p>
    <w:p>
      <w:pPr>
        <w:pStyle w:val="TitleHeading"/>
      </w:pPr>
      <w:r>
        <w:rPr>
          <w:rFonts w:ascii="Arial" w:hAnsi="Arial"/>
          <w:b/>
          <w:color w:val="0B2545"/>
          <w:sz w:val="22"/>
        </w:rPr>
        <w:t>TITLE XII. ADMINISTRATION AND OVERSIGHT</w:t>
      </w:r>
    </w:p>
    <w:p>
      <w:pPr>
        <w:pStyle w:val="SectionHeading"/>
      </w:pPr>
      <w:r>
        <w:rPr>
          <w:rFonts w:ascii="Arial" w:hAnsi="Arial"/>
          <w:b/>
          <w:color w:val="0B2545"/>
          <w:sz w:val="21"/>
        </w:rPr>
        <w:t>SECTION 1201. Adult Intimate Work Regulation Commission.</w:t>
      </w:r>
    </w:p>
    <w:p>
      <w:pPr>
        <w:pStyle w:val="LegalNumber"/>
      </w:pPr>
      <w:r>
        <w:rPr>
          <w:rFonts w:ascii="Times New Roman" w:hAnsi="Times New Roman"/>
          <w:b w:val="0"/>
          <w:color w:val="111827"/>
          <w:sz w:val="22"/>
        </w:rPr>
        <w:t>1. The Adult Intimate Work Regulation Commission is established as an independent regulatory body within the Department of Labor and Public Health Administration.</w:t>
      </w:r>
    </w:p>
    <w:p>
      <w:pPr>
        <w:pStyle w:val="LegalNumber"/>
      </w:pPr>
      <w:r>
        <w:rPr>
          <w:rFonts w:ascii="Times New Roman" w:hAnsi="Times New Roman"/>
          <w:b w:val="0"/>
          <w:color w:val="111827"/>
          <w:sz w:val="22"/>
        </w:rPr>
        <w:t>2. The Commission shall administer licensing, certification, rules, inspections, complaints, data privacy, compliance assistance, and reporting under this Act.</w:t>
      </w:r>
    </w:p>
    <w:p>
      <w:pPr>
        <w:pStyle w:val="LegalNumber"/>
      </w:pPr>
      <w:r>
        <w:rPr>
          <w:rFonts w:ascii="Times New Roman" w:hAnsi="Times New Roman"/>
          <w:b w:val="0"/>
          <w:color w:val="111827"/>
          <w:sz w:val="22"/>
        </w:rPr>
        <w:t>3. The Commission shall include 11 voting members appointed for staggered four-year terms:</w:t>
      </w:r>
    </w:p>
    <w:p>
      <w:pPr>
        <w:pStyle w:val="LegalNumber2"/>
      </w:pPr>
      <w:r>
        <w:rPr>
          <w:rFonts w:ascii="Times New Roman" w:hAnsi="Times New Roman"/>
          <w:b w:val="0"/>
          <w:color w:val="111827"/>
          <w:sz w:val="22"/>
        </w:rPr>
        <w:t>1. one public-health expert;</w:t>
      </w:r>
    </w:p>
    <w:p>
      <w:pPr>
        <w:pStyle w:val="LegalNumber2"/>
      </w:pPr>
      <w:r>
        <w:rPr>
          <w:rFonts w:ascii="Times New Roman" w:hAnsi="Times New Roman"/>
          <w:b w:val="0"/>
          <w:color w:val="111827"/>
          <w:sz w:val="22"/>
        </w:rPr>
        <w:t>2. one labor-rights expert;</w:t>
      </w:r>
    </w:p>
    <w:p>
      <w:pPr>
        <w:pStyle w:val="LegalNumber2"/>
      </w:pPr>
      <w:r>
        <w:rPr>
          <w:rFonts w:ascii="Times New Roman" w:hAnsi="Times New Roman"/>
          <w:b w:val="0"/>
          <w:color w:val="111827"/>
          <w:sz w:val="22"/>
        </w:rPr>
        <w:t>3. one civil-rights expert;</w:t>
      </w:r>
    </w:p>
    <w:p>
      <w:pPr>
        <w:pStyle w:val="LegalNumber2"/>
      </w:pPr>
      <w:r>
        <w:rPr>
          <w:rFonts w:ascii="Times New Roman" w:hAnsi="Times New Roman"/>
          <w:b w:val="0"/>
          <w:color w:val="111827"/>
          <w:sz w:val="22"/>
        </w:rPr>
        <w:t>4. one anti-trafficking expert;</w:t>
      </w:r>
    </w:p>
    <w:p>
      <w:pPr>
        <w:pStyle w:val="LegalNumber2"/>
      </w:pPr>
      <w:r>
        <w:rPr>
          <w:rFonts w:ascii="Times New Roman" w:hAnsi="Times New Roman"/>
          <w:b w:val="0"/>
          <w:color w:val="111827"/>
          <w:sz w:val="22"/>
        </w:rPr>
        <w:t>5. one victim-services expert;</w:t>
      </w:r>
    </w:p>
    <w:p>
      <w:pPr>
        <w:pStyle w:val="LegalNumber2"/>
      </w:pPr>
      <w:r>
        <w:rPr>
          <w:rFonts w:ascii="Times New Roman" w:hAnsi="Times New Roman"/>
          <w:b w:val="0"/>
          <w:color w:val="111827"/>
          <w:sz w:val="22"/>
        </w:rPr>
        <w:t>6. two current or former adult intimate workers selected from nominees submitted by worker-led organizations;</w:t>
      </w:r>
    </w:p>
    <w:p>
      <w:pPr>
        <w:pStyle w:val="LegalNumber2"/>
      </w:pPr>
      <w:r>
        <w:rPr>
          <w:rFonts w:ascii="Times New Roman" w:hAnsi="Times New Roman"/>
          <w:b w:val="0"/>
          <w:color w:val="111827"/>
          <w:sz w:val="22"/>
        </w:rPr>
        <w:t>7. one representative of worker-controlled cooperatives or small businesses;</w:t>
      </w:r>
    </w:p>
    <w:p>
      <w:pPr>
        <w:pStyle w:val="LegalNumber2"/>
      </w:pPr>
      <w:r>
        <w:rPr>
          <w:rFonts w:ascii="Times New Roman" w:hAnsi="Times New Roman"/>
          <w:b w:val="0"/>
          <w:color w:val="111827"/>
          <w:sz w:val="22"/>
        </w:rPr>
        <w:t>8. one local-government representative;</w:t>
      </w:r>
    </w:p>
    <w:p>
      <w:pPr>
        <w:pStyle w:val="LegalNumber2"/>
      </w:pPr>
      <w:r>
        <w:rPr>
          <w:rFonts w:ascii="Times New Roman" w:hAnsi="Times New Roman"/>
          <w:b w:val="0"/>
          <w:color w:val="111827"/>
          <w:sz w:val="22"/>
        </w:rPr>
        <w:t>9. one data-privacy or technology expert;</w:t>
      </w:r>
    </w:p>
    <w:p>
      <w:pPr>
        <w:pStyle w:val="LegalNumber2"/>
      </w:pPr>
      <w:r>
        <w:rPr>
          <w:rFonts w:ascii="Times New Roman" w:hAnsi="Times New Roman"/>
          <w:b w:val="0"/>
          <w:color w:val="111827"/>
          <w:sz w:val="22"/>
        </w:rPr>
        <w:t>10. one attorney with administrative-law and due-process experience.</w:t>
      </w:r>
    </w:p>
    <w:p>
      <w:pPr>
        <w:pStyle w:val="LegalNumber"/>
      </w:pPr>
      <w:r>
        <w:rPr>
          <w:rFonts w:ascii="Times New Roman" w:hAnsi="Times New Roman"/>
          <w:b w:val="0"/>
          <w:color w:val="111827"/>
          <w:sz w:val="22"/>
        </w:rPr>
        <w:t>4. At least half of Commission members shall have demonstrated experience with worker safety, survivor rights, civil liberties, public health, or labor enforcement.</w:t>
      </w:r>
    </w:p>
    <w:p>
      <w:pPr>
        <w:pStyle w:val="LegalNumber"/>
      </w:pPr>
      <w:r>
        <w:rPr>
          <w:rFonts w:ascii="Times New Roman" w:hAnsi="Times New Roman"/>
          <w:b w:val="0"/>
          <w:color w:val="111827"/>
          <w:sz w:val="22"/>
        </w:rPr>
        <w:t>5. No owner, executive, lobbyist, or controlling investor of a large adult intimate business may serve as a voting Commission member.</w:t>
      </w:r>
    </w:p>
    <w:p>
      <w:pPr>
        <w:spacing w:after="80"/>
      </w:pPr>
    </w:p>
    <w:p>
      <w:pPr>
        <w:pStyle w:val="SectionHeading"/>
      </w:pPr>
      <w:r>
        <w:rPr>
          <w:rFonts w:ascii="Arial" w:hAnsi="Arial"/>
          <w:b/>
          <w:color w:val="0B2545"/>
          <w:sz w:val="21"/>
        </w:rPr>
        <w:t>SECTION 1202. Commission powers and duties.</w:t>
      </w:r>
    </w:p>
    <w:p>
      <w:pPr>
        <w:pStyle w:val="LegalBody"/>
      </w:pPr>
      <w:r>
        <w:rPr>
          <w:rFonts w:ascii="Times New Roman" w:hAnsi="Times New Roman"/>
          <w:b w:val="0"/>
          <w:color w:val="111827"/>
          <w:sz w:val="22"/>
        </w:rPr>
        <w:t>The Commission shall:</w:t>
      </w:r>
    </w:p>
    <w:p>
      <w:pPr>
        <w:pStyle w:val="LegalNumber"/>
      </w:pPr>
      <w:r>
        <w:rPr>
          <w:rFonts w:ascii="Times New Roman" w:hAnsi="Times New Roman"/>
          <w:b w:val="0"/>
          <w:color w:val="111827"/>
          <w:sz w:val="22"/>
        </w:rPr>
        <w:t>1. issue worker certifications;</w:t>
      </w:r>
    </w:p>
    <w:p>
      <w:pPr>
        <w:pStyle w:val="LegalNumber"/>
      </w:pPr>
      <w:r>
        <w:rPr>
          <w:rFonts w:ascii="Times New Roman" w:hAnsi="Times New Roman"/>
          <w:b w:val="0"/>
          <w:color w:val="111827"/>
          <w:sz w:val="22"/>
        </w:rPr>
        <w:t>2. license operators, establishments, agencies, platforms, content production businesses, and content distributors;</w:t>
      </w:r>
    </w:p>
    <w:p>
      <w:pPr>
        <w:pStyle w:val="LegalNumber"/>
      </w:pPr>
      <w:r>
        <w:rPr>
          <w:rFonts w:ascii="Times New Roman" w:hAnsi="Times New Roman"/>
          <w:b w:val="0"/>
          <w:color w:val="111827"/>
          <w:sz w:val="22"/>
        </w:rPr>
        <w:t>3. promulgate rules;</w:t>
      </w:r>
    </w:p>
    <w:p>
      <w:pPr>
        <w:pStyle w:val="LegalNumber"/>
      </w:pPr>
      <w:r>
        <w:rPr>
          <w:rFonts w:ascii="Times New Roman" w:hAnsi="Times New Roman"/>
          <w:b w:val="0"/>
          <w:color w:val="111827"/>
          <w:sz w:val="22"/>
        </w:rPr>
        <w:t>4. inspect licensed premises;</w:t>
      </w:r>
    </w:p>
    <w:p>
      <w:pPr>
        <w:pStyle w:val="LegalNumber"/>
      </w:pPr>
      <w:r>
        <w:rPr>
          <w:rFonts w:ascii="Times New Roman" w:hAnsi="Times New Roman"/>
          <w:b w:val="0"/>
          <w:color w:val="111827"/>
          <w:sz w:val="22"/>
        </w:rPr>
        <w:t>5. investigate complaints;</w:t>
      </w:r>
    </w:p>
    <w:p>
      <w:pPr>
        <w:pStyle w:val="LegalNumber"/>
      </w:pPr>
      <w:r>
        <w:rPr>
          <w:rFonts w:ascii="Times New Roman" w:hAnsi="Times New Roman"/>
          <w:b w:val="0"/>
          <w:color w:val="111827"/>
          <w:sz w:val="22"/>
        </w:rPr>
        <w:t>6. discipline licenses;</w:t>
      </w:r>
    </w:p>
    <w:p>
      <w:pPr>
        <w:pStyle w:val="LegalNumber"/>
      </w:pPr>
      <w:r>
        <w:rPr>
          <w:rFonts w:ascii="Times New Roman" w:hAnsi="Times New Roman"/>
          <w:b w:val="0"/>
          <w:color w:val="111827"/>
          <w:sz w:val="22"/>
        </w:rPr>
        <w:t>7. coordinate with labor, health, civil-rights, tax, consumer-protection, law enforcement, and victim-services agencies;</w:t>
      </w:r>
    </w:p>
    <w:p>
      <w:pPr>
        <w:pStyle w:val="LegalNumber"/>
      </w:pPr>
      <w:r>
        <w:rPr>
          <w:rFonts w:ascii="Times New Roman" w:hAnsi="Times New Roman"/>
          <w:b w:val="0"/>
          <w:color w:val="111827"/>
          <w:sz w:val="22"/>
        </w:rPr>
        <w:t>8. maintain confidential reporting systems;</w:t>
      </w:r>
    </w:p>
    <w:p>
      <w:pPr>
        <w:pStyle w:val="LegalNumber"/>
      </w:pPr>
      <w:r>
        <w:rPr>
          <w:rFonts w:ascii="Times New Roman" w:hAnsi="Times New Roman"/>
          <w:b w:val="0"/>
          <w:color w:val="111827"/>
          <w:sz w:val="22"/>
        </w:rPr>
        <w:t>9. certify training programs;</w:t>
      </w:r>
    </w:p>
    <w:p>
      <w:pPr>
        <w:pStyle w:val="LegalNumber"/>
      </w:pPr>
      <w:r>
        <w:rPr>
          <w:rFonts w:ascii="Times New Roman" w:hAnsi="Times New Roman"/>
          <w:b w:val="0"/>
          <w:color w:val="111827"/>
          <w:sz w:val="22"/>
        </w:rPr>
        <w:t>10. publish privacy-preserving transparency reports;</w:t>
      </w:r>
    </w:p>
    <w:p>
      <w:pPr>
        <w:pStyle w:val="LegalNumber"/>
      </w:pPr>
      <w:r>
        <w:rPr>
          <w:rFonts w:ascii="Times New Roman" w:hAnsi="Times New Roman"/>
          <w:b w:val="0"/>
          <w:color w:val="111827"/>
          <w:sz w:val="22"/>
        </w:rPr>
        <w:t>11. support worker-controlled cooperatives;</w:t>
      </w:r>
    </w:p>
    <w:p>
      <w:pPr>
        <w:pStyle w:val="LegalNumber"/>
      </w:pPr>
      <w:r>
        <w:rPr>
          <w:rFonts w:ascii="Times New Roman" w:hAnsi="Times New Roman"/>
          <w:b w:val="0"/>
          <w:color w:val="111827"/>
          <w:sz w:val="22"/>
        </w:rPr>
        <w:t>12. maintain model contracts, safety plans, notices, and policies;</w:t>
      </w:r>
    </w:p>
    <w:p>
      <w:pPr>
        <w:pStyle w:val="LegalNumber"/>
      </w:pPr>
      <w:r>
        <w:rPr>
          <w:rFonts w:ascii="Times New Roman" w:hAnsi="Times New Roman"/>
          <w:b w:val="0"/>
          <w:color w:val="111827"/>
          <w:sz w:val="22"/>
        </w:rPr>
        <w:t>13. fund public-health and survivor-service grants;</w:t>
      </w:r>
    </w:p>
    <w:p>
      <w:pPr>
        <w:pStyle w:val="LegalNumber"/>
      </w:pPr>
      <w:r>
        <w:rPr>
          <w:rFonts w:ascii="Times New Roman" w:hAnsi="Times New Roman"/>
          <w:b w:val="0"/>
          <w:color w:val="111827"/>
          <w:sz w:val="22"/>
        </w:rPr>
        <w:t>14. issue advisory opinions;</w:t>
      </w:r>
    </w:p>
    <w:p>
      <w:pPr>
        <w:pStyle w:val="LegalNumber"/>
      </w:pPr>
      <w:r>
        <w:rPr>
          <w:rFonts w:ascii="Times New Roman" w:hAnsi="Times New Roman"/>
          <w:b w:val="0"/>
          <w:color w:val="111827"/>
          <w:sz w:val="22"/>
        </w:rPr>
        <w:t>15. conduct community-impact review;</w:t>
      </w:r>
    </w:p>
    <w:p>
      <w:pPr>
        <w:pStyle w:val="LegalNumber"/>
      </w:pPr>
      <w:r>
        <w:rPr>
          <w:rFonts w:ascii="Times New Roman" w:hAnsi="Times New Roman"/>
          <w:b w:val="0"/>
          <w:color w:val="111827"/>
          <w:sz w:val="22"/>
        </w:rPr>
        <w:t>16. maintain data-protection standards;</w:t>
      </w:r>
    </w:p>
    <w:p>
      <w:pPr>
        <w:pStyle w:val="LegalNumber"/>
      </w:pPr>
      <w:r>
        <w:rPr>
          <w:rFonts w:ascii="Times New Roman" w:hAnsi="Times New Roman"/>
          <w:b w:val="0"/>
          <w:color w:val="111827"/>
          <w:sz w:val="22"/>
        </w:rPr>
        <w:t>17. recommend legislative updates.</w:t>
      </w:r>
    </w:p>
    <w:p>
      <w:pPr>
        <w:spacing w:after="80"/>
      </w:pPr>
    </w:p>
    <w:p>
      <w:pPr>
        <w:pStyle w:val="SectionHeading"/>
      </w:pPr>
      <w:r>
        <w:rPr>
          <w:rFonts w:ascii="Arial" w:hAnsi="Arial"/>
          <w:b/>
          <w:color w:val="0B2545"/>
          <w:sz w:val="21"/>
        </w:rPr>
        <w:t>SECTION 1203. Advisory boards.</w:t>
      </w:r>
    </w:p>
    <w:p>
      <w:pPr>
        <w:pStyle w:val="LegalNumber"/>
      </w:pPr>
      <w:r>
        <w:rPr>
          <w:rFonts w:ascii="Times New Roman" w:hAnsi="Times New Roman"/>
          <w:b w:val="0"/>
          <w:color w:val="111827"/>
          <w:sz w:val="22"/>
        </w:rPr>
        <w:t>1. The Commission shall establish:</w:t>
      </w:r>
    </w:p>
    <w:p>
      <w:pPr>
        <w:pStyle w:val="LegalNumber2"/>
      </w:pPr>
      <w:r>
        <w:rPr>
          <w:rFonts w:ascii="Times New Roman" w:hAnsi="Times New Roman"/>
          <w:b w:val="0"/>
          <w:color w:val="111827"/>
          <w:sz w:val="22"/>
        </w:rPr>
        <w:t>1. Worker Rights Advisory Board;</w:t>
      </w:r>
    </w:p>
    <w:p>
      <w:pPr>
        <w:pStyle w:val="LegalNumber2"/>
      </w:pPr>
      <w:r>
        <w:rPr>
          <w:rFonts w:ascii="Times New Roman" w:hAnsi="Times New Roman"/>
          <w:b w:val="0"/>
          <w:color w:val="111827"/>
          <w:sz w:val="22"/>
        </w:rPr>
        <w:t>2. Survivor and Anti-Trafficking Advisory Board;</w:t>
      </w:r>
    </w:p>
    <w:p>
      <w:pPr>
        <w:pStyle w:val="LegalNumber2"/>
      </w:pPr>
      <w:r>
        <w:rPr>
          <w:rFonts w:ascii="Times New Roman" w:hAnsi="Times New Roman"/>
          <w:b w:val="0"/>
          <w:color w:val="111827"/>
          <w:sz w:val="22"/>
        </w:rPr>
        <w:t>3. Public Health and Safety Advisory Board;</w:t>
      </w:r>
    </w:p>
    <w:p>
      <w:pPr>
        <w:pStyle w:val="LegalNumber2"/>
      </w:pPr>
      <w:r>
        <w:rPr>
          <w:rFonts w:ascii="Times New Roman" w:hAnsi="Times New Roman"/>
          <w:b w:val="0"/>
          <w:color w:val="111827"/>
          <w:sz w:val="22"/>
        </w:rPr>
        <w:t>4. Local Government and Community Standards Advisory Board;</w:t>
      </w:r>
    </w:p>
    <w:p>
      <w:pPr>
        <w:pStyle w:val="LegalNumber2"/>
      </w:pPr>
      <w:r>
        <w:rPr>
          <w:rFonts w:ascii="Times New Roman" w:hAnsi="Times New Roman"/>
          <w:b w:val="0"/>
          <w:color w:val="111827"/>
          <w:sz w:val="22"/>
        </w:rPr>
        <w:t>5. Digital Platforms and Privacy Advisory Board.</w:t>
      </w:r>
    </w:p>
    <w:p>
      <w:pPr>
        <w:pStyle w:val="LegalNumber"/>
      </w:pPr>
      <w:r>
        <w:rPr>
          <w:rFonts w:ascii="Times New Roman" w:hAnsi="Times New Roman"/>
          <w:b w:val="0"/>
          <w:color w:val="111827"/>
          <w:sz w:val="22"/>
        </w:rPr>
        <w:t>2. Advisory boards shall include affected workers, survivors, advocates, public-health providers, local officials, civil-rights experts, disability-rights experts, immigrant-rights experts, law enforcement victim specialists, and privacy experts.</w:t>
      </w:r>
    </w:p>
    <w:p>
      <w:pPr>
        <w:pStyle w:val="LegalNumber"/>
      </w:pPr>
      <w:r>
        <w:rPr>
          <w:rFonts w:ascii="Times New Roman" w:hAnsi="Times New Roman"/>
          <w:b w:val="0"/>
          <w:color w:val="111827"/>
          <w:sz w:val="22"/>
        </w:rPr>
        <w:t>3. Advisory boards shall meet at least quarterly and provide public recommendations with confidential appendices where necessary.</w:t>
      </w:r>
    </w:p>
    <w:p>
      <w:pPr>
        <w:spacing w:after="80"/>
      </w:pPr>
    </w:p>
    <w:p>
      <w:pPr>
        <w:pStyle w:val="SectionHeading"/>
      </w:pPr>
      <w:r>
        <w:rPr>
          <w:rFonts w:ascii="Arial" w:hAnsi="Arial"/>
          <w:b/>
          <w:color w:val="0B2545"/>
          <w:sz w:val="21"/>
        </w:rPr>
        <w:t>SECTION 1204. Rulemaking.</w:t>
      </w:r>
    </w:p>
    <w:p>
      <w:pPr>
        <w:pStyle w:val="LegalNumber"/>
      </w:pPr>
      <w:r>
        <w:rPr>
          <w:rFonts w:ascii="Times New Roman" w:hAnsi="Times New Roman"/>
          <w:b w:val="0"/>
          <w:color w:val="111827"/>
          <w:sz w:val="22"/>
        </w:rPr>
        <w:t>1. Within 180 days after enactment, the Commission shall issue proposed rules on licensing, worker certification, privacy, advertising, safety, health standards, inspections, platform obligations, complaint procedures, due process, and local zoning certification.</w:t>
      </w:r>
    </w:p>
    <w:p>
      <w:pPr>
        <w:pStyle w:val="LegalNumber"/>
      </w:pPr>
      <w:r>
        <w:rPr>
          <w:rFonts w:ascii="Times New Roman" w:hAnsi="Times New Roman"/>
          <w:b w:val="0"/>
          <w:color w:val="111827"/>
          <w:sz w:val="22"/>
        </w:rPr>
        <w:t>2. Final rules shall be issued within 365 days after enactment.</w:t>
      </w:r>
    </w:p>
    <w:p>
      <w:pPr>
        <w:pStyle w:val="LegalNumber"/>
      </w:pPr>
      <w:r>
        <w:rPr>
          <w:rFonts w:ascii="Times New Roman" w:hAnsi="Times New Roman"/>
          <w:b w:val="0"/>
          <w:color w:val="111827"/>
          <w:sz w:val="22"/>
        </w:rPr>
        <w:t>3. Rules shall be developed through public notice, worker and survivor consultation, language-access measures, small-business consultation, and privacy-impact assessment.</w:t>
      </w:r>
    </w:p>
    <w:p>
      <w:pPr>
        <w:spacing w:after="80"/>
      </w:pPr>
    </w:p>
    <w:p>
      <w:pPr>
        <w:pStyle w:val="SectionHeading"/>
      </w:pPr>
      <w:r>
        <w:rPr>
          <w:rFonts w:ascii="Arial" w:hAnsi="Arial"/>
          <w:b/>
          <w:color w:val="0B2545"/>
          <w:sz w:val="21"/>
        </w:rPr>
        <w:t>SECTION 1205. Annual report.</w:t>
      </w:r>
    </w:p>
    <w:p>
      <w:pPr>
        <w:pStyle w:val="LegalBody"/>
      </w:pPr>
      <w:r>
        <w:rPr>
          <w:rFonts w:ascii="Times New Roman" w:hAnsi="Times New Roman"/>
          <w:b w:val="0"/>
          <w:color w:val="111827"/>
          <w:sz w:val="22"/>
        </w:rPr>
        <w:t>By March 1 of each year, the Commission shall publish an annual report containing anonymized aggregate information on:</w:t>
      </w:r>
    </w:p>
    <w:p>
      <w:pPr>
        <w:pStyle w:val="LegalNumber"/>
      </w:pPr>
      <w:r>
        <w:rPr>
          <w:rFonts w:ascii="Times New Roman" w:hAnsi="Times New Roman"/>
          <w:b w:val="0"/>
          <w:color w:val="111827"/>
          <w:sz w:val="22"/>
        </w:rPr>
        <w:t>1. certifications and licenses issued;</w:t>
      </w:r>
    </w:p>
    <w:p>
      <w:pPr>
        <w:pStyle w:val="LegalNumber"/>
      </w:pPr>
      <w:r>
        <w:rPr>
          <w:rFonts w:ascii="Times New Roman" w:hAnsi="Times New Roman"/>
          <w:b w:val="0"/>
          <w:color w:val="111827"/>
          <w:sz w:val="22"/>
        </w:rPr>
        <w:t>2. denials, suspensions, revocations, and appeals;</w:t>
      </w:r>
    </w:p>
    <w:p>
      <w:pPr>
        <w:pStyle w:val="LegalNumber"/>
      </w:pPr>
      <w:r>
        <w:rPr>
          <w:rFonts w:ascii="Times New Roman" w:hAnsi="Times New Roman"/>
          <w:b w:val="0"/>
          <w:color w:val="111827"/>
          <w:sz w:val="22"/>
        </w:rPr>
        <w:t>3. complaints by type;</w:t>
      </w:r>
    </w:p>
    <w:p>
      <w:pPr>
        <w:pStyle w:val="LegalNumber"/>
      </w:pPr>
      <w:r>
        <w:rPr>
          <w:rFonts w:ascii="Times New Roman" w:hAnsi="Times New Roman"/>
          <w:b w:val="0"/>
          <w:color w:val="111827"/>
          <w:sz w:val="22"/>
        </w:rPr>
        <w:t>4. enforcement actions;</w:t>
      </w:r>
    </w:p>
    <w:p>
      <w:pPr>
        <w:pStyle w:val="LegalNumber"/>
      </w:pPr>
      <w:r>
        <w:rPr>
          <w:rFonts w:ascii="Times New Roman" w:hAnsi="Times New Roman"/>
          <w:b w:val="0"/>
          <w:color w:val="111827"/>
          <w:sz w:val="22"/>
        </w:rPr>
        <w:t>5. trafficking indicators and referrals;</w:t>
      </w:r>
    </w:p>
    <w:p>
      <w:pPr>
        <w:pStyle w:val="LegalNumber"/>
      </w:pPr>
      <w:r>
        <w:rPr>
          <w:rFonts w:ascii="Times New Roman" w:hAnsi="Times New Roman"/>
          <w:b w:val="0"/>
          <w:color w:val="111827"/>
          <w:sz w:val="22"/>
        </w:rPr>
        <w:t>6. worker safety incidents;</w:t>
      </w:r>
    </w:p>
    <w:p>
      <w:pPr>
        <w:pStyle w:val="LegalNumber"/>
      </w:pPr>
      <w:r>
        <w:rPr>
          <w:rFonts w:ascii="Times New Roman" w:hAnsi="Times New Roman"/>
          <w:b w:val="0"/>
          <w:color w:val="111827"/>
          <w:sz w:val="22"/>
        </w:rPr>
        <w:t>7. harassment and discrimination complaints;</w:t>
      </w:r>
    </w:p>
    <w:p>
      <w:pPr>
        <w:pStyle w:val="LegalNumber"/>
      </w:pPr>
      <w:r>
        <w:rPr>
          <w:rFonts w:ascii="Times New Roman" w:hAnsi="Times New Roman"/>
          <w:b w:val="0"/>
          <w:color w:val="111827"/>
          <w:sz w:val="22"/>
        </w:rPr>
        <w:t>8. nonconsensual content reports and takedown compliance;</w:t>
      </w:r>
    </w:p>
    <w:p>
      <w:pPr>
        <w:pStyle w:val="LegalNumber"/>
      </w:pPr>
      <w:r>
        <w:rPr>
          <w:rFonts w:ascii="Times New Roman" w:hAnsi="Times New Roman"/>
          <w:b w:val="0"/>
          <w:color w:val="111827"/>
          <w:sz w:val="22"/>
        </w:rPr>
        <w:t>9. public-health service utilization;</w:t>
      </w:r>
    </w:p>
    <w:p>
      <w:pPr>
        <w:pStyle w:val="LegalNumber"/>
      </w:pPr>
      <w:r>
        <w:rPr>
          <w:rFonts w:ascii="Times New Roman" w:hAnsi="Times New Roman"/>
          <w:b w:val="0"/>
          <w:color w:val="111827"/>
          <w:sz w:val="22"/>
        </w:rPr>
        <w:t>10. survivor services delivered;</w:t>
      </w:r>
    </w:p>
    <w:p>
      <w:pPr>
        <w:pStyle w:val="LegalNumber"/>
      </w:pPr>
      <w:r>
        <w:rPr>
          <w:rFonts w:ascii="Times New Roman" w:hAnsi="Times New Roman"/>
          <w:b w:val="0"/>
          <w:color w:val="111827"/>
          <w:sz w:val="22"/>
        </w:rPr>
        <w:t>11. revenue and expenditures;</w:t>
      </w:r>
    </w:p>
    <w:p>
      <w:pPr>
        <w:pStyle w:val="LegalNumber"/>
      </w:pPr>
      <w:r>
        <w:rPr>
          <w:rFonts w:ascii="Times New Roman" w:hAnsi="Times New Roman"/>
          <w:b w:val="0"/>
          <w:color w:val="111827"/>
          <w:sz w:val="22"/>
        </w:rPr>
        <w:t>12. zoning and market concentration;</w:t>
      </w:r>
    </w:p>
    <w:p>
      <w:pPr>
        <w:pStyle w:val="LegalNumber"/>
      </w:pPr>
      <w:r>
        <w:rPr>
          <w:rFonts w:ascii="Times New Roman" w:hAnsi="Times New Roman"/>
          <w:b w:val="0"/>
          <w:color w:val="111827"/>
          <w:sz w:val="22"/>
        </w:rPr>
        <w:t>13. local community impacts;</w:t>
      </w:r>
    </w:p>
    <w:p>
      <w:pPr>
        <w:pStyle w:val="LegalNumber"/>
      </w:pPr>
      <w:r>
        <w:rPr>
          <w:rFonts w:ascii="Times New Roman" w:hAnsi="Times New Roman"/>
          <w:b w:val="0"/>
          <w:color w:val="111827"/>
          <w:sz w:val="22"/>
        </w:rPr>
        <w:t>14. data breaches;</w:t>
      </w:r>
    </w:p>
    <w:p>
      <w:pPr>
        <w:pStyle w:val="LegalNumber"/>
      </w:pPr>
      <w:r>
        <w:rPr>
          <w:rFonts w:ascii="Times New Roman" w:hAnsi="Times New Roman"/>
          <w:b w:val="0"/>
          <w:color w:val="111827"/>
          <w:sz w:val="22"/>
        </w:rPr>
        <w:t>15. training completion;</w:t>
      </w:r>
    </w:p>
    <w:p>
      <w:pPr>
        <w:pStyle w:val="LegalNumber"/>
      </w:pPr>
      <w:r>
        <w:rPr>
          <w:rFonts w:ascii="Times New Roman" w:hAnsi="Times New Roman"/>
          <w:b w:val="0"/>
          <w:color w:val="111827"/>
          <w:sz w:val="22"/>
        </w:rPr>
        <w:t>16. recommendations.</w:t>
      </w:r>
    </w:p>
    <w:p>
      <w:pPr>
        <w:pStyle w:val="LegalBody"/>
      </w:pPr>
      <w:r>
        <w:rPr>
          <w:rFonts w:ascii="Times New Roman" w:hAnsi="Times New Roman"/>
          <w:b w:val="0"/>
          <w:color w:val="111827"/>
          <w:sz w:val="22"/>
        </w:rPr>
        <w:t>The report shall not disclose personally identifying information.</w:t>
      </w:r>
    </w:p>
    <w:p>
      <w:pPr>
        <w:spacing w:after="80"/>
      </w:pPr>
    </w:p>
    <w:p>
      <w:pPr>
        <w:pStyle w:val="TitleHeading"/>
      </w:pPr>
      <w:r>
        <w:rPr>
          <w:rFonts w:ascii="Arial" w:hAnsi="Arial"/>
          <w:b/>
          <w:color w:val="0B2545"/>
          <w:sz w:val="22"/>
        </w:rPr>
        <w:t>TITLE XIII. LOCAL CONTROL AND COMMUNITY STANDARDS</w:t>
      </w:r>
    </w:p>
    <w:p>
      <w:pPr>
        <w:pStyle w:val="SectionHeading"/>
      </w:pPr>
      <w:r>
        <w:rPr>
          <w:rFonts w:ascii="Arial" w:hAnsi="Arial"/>
          <w:b/>
          <w:color w:val="0B2545"/>
          <w:sz w:val="21"/>
        </w:rPr>
        <w:t>SECTION 1301. Local zoning authority.</w:t>
      </w:r>
    </w:p>
    <w:p>
      <w:pPr>
        <w:pStyle w:val="LegalNumber"/>
      </w:pPr>
      <w:r>
        <w:rPr>
          <w:rFonts w:ascii="Times New Roman" w:hAnsi="Times New Roman"/>
          <w:b w:val="0"/>
          <w:color w:val="111827"/>
          <w:sz w:val="22"/>
        </w:rPr>
        <w:t>1. Local governments may adopt reasonable time, place, manner, zoning, spacing, signage, hours, nuisance, sanitation, traffic, parking, lighting, and public-safety regulations for adult intimate establishments.</w:t>
      </w:r>
    </w:p>
    <w:p>
      <w:pPr>
        <w:pStyle w:val="LegalNumber"/>
      </w:pPr>
      <w:r>
        <w:rPr>
          <w:rFonts w:ascii="Times New Roman" w:hAnsi="Times New Roman"/>
          <w:b w:val="0"/>
          <w:color w:val="111827"/>
          <w:sz w:val="22"/>
        </w:rPr>
        <w:t>2. Local regulations shall be:</w:t>
      </w:r>
    </w:p>
    <w:p>
      <w:pPr>
        <w:pStyle w:val="LegalNumber2"/>
      </w:pPr>
      <w:r>
        <w:rPr>
          <w:rFonts w:ascii="Times New Roman" w:hAnsi="Times New Roman"/>
          <w:b w:val="0"/>
          <w:color w:val="111827"/>
          <w:sz w:val="22"/>
        </w:rPr>
        <w:t>1. content-neutral to the maximum extent practicable;</w:t>
      </w:r>
    </w:p>
    <w:p>
      <w:pPr>
        <w:pStyle w:val="LegalNumber2"/>
      </w:pPr>
      <w:r>
        <w:rPr>
          <w:rFonts w:ascii="Times New Roman" w:hAnsi="Times New Roman"/>
          <w:b w:val="0"/>
          <w:color w:val="111827"/>
          <w:sz w:val="22"/>
        </w:rPr>
        <w:t>2. based on documented secondary effects, public safety, health, traffic, density, or land-use concerns;</w:t>
      </w:r>
    </w:p>
    <w:p>
      <w:pPr>
        <w:pStyle w:val="LegalNumber2"/>
      </w:pPr>
      <w:r>
        <w:rPr>
          <w:rFonts w:ascii="Times New Roman" w:hAnsi="Times New Roman"/>
          <w:b w:val="0"/>
          <w:color w:val="111827"/>
          <w:sz w:val="22"/>
        </w:rPr>
        <w:t>3. objective and administrable;</w:t>
      </w:r>
    </w:p>
    <w:p>
      <w:pPr>
        <w:pStyle w:val="LegalNumber2"/>
      </w:pPr>
      <w:r>
        <w:rPr>
          <w:rFonts w:ascii="Times New Roman" w:hAnsi="Times New Roman"/>
          <w:b w:val="0"/>
          <w:color w:val="111827"/>
          <w:sz w:val="22"/>
        </w:rPr>
        <w:t>4. not arbitrary or pretextual;</w:t>
      </w:r>
    </w:p>
    <w:p>
      <w:pPr>
        <w:pStyle w:val="LegalNumber2"/>
      </w:pPr>
      <w:r>
        <w:rPr>
          <w:rFonts w:ascii="Times New Roman" w:hAnsi="Times New Roman"/>
          <w:b w:val="0"/>
          <w:color w:val="111827"/>
          <w:sz w:val="22"/>
        </w:rPr>
        <w:t>5. no broader than necessary;</w:t>
      </w:r>
    </w:p>
    <w:p>
      <w:pPr>
        <w:pStyle w:val="LegalNumber2"/>
      </w:pPr>
      <w:r>
        <w:rPr>
          <w:rFonts w:ascii="Times New Roman" w:hAnsi="Times New Roman"/>
          <w:b w:val="0"/>
          <w:color w:val="111827"/>
          <w:sz w:val="22"/>
        </w:rPr>
        <w:t>6. applied equally to similarly situated businesses;</w:t>
      </w:r>
    </w:p>
    <w:p>
      <w:pPr>
        <w:pStyle w:val="LegalNumber2"/>
      </w:pPr>
      <w:r>
        <w:rPr>
          <w:rFonts w:ascii="Times New Roman" w:hAnsi="Times New Roman"/>
          <w:b w:val="0"/>
          <w:color w:val="111827"/>
          <w:sz w:val="22"/>
        </w:rPr>
        <w:t>7. consistent with worker safety, privacy, and access to lawful regulated spaces.</w:t>
      </w:r>
    </w:p>
    <w:p>
      <w:pPr>
        <w:pStyle w:val="LegalNumber"/>
      </w:pPr>
      <w:r>
        <w:rPr>
          <w:rFonts w:ascii="Times New Roman" w:hAnsi="Times New Roman"/>
          <w:b w:val="0"/>
          <w:color w:val="111827"/>
          <w:sz w:val="22"/>
        </w:rPr>
        <w:t>3. Local governments shall not:</w:t>
      </w:r>
    </w:p>
    <w:p>
      <w:pPr>
        <w:pStyle w:val="LegalNumber2"/>
      </w:pPr>
      <w:r>
        <w:rPr>
          <w:rFonts w:ascii="Times New Roman" w:hAnsi="Times New Roman"/>
          <w:b w:val="0"/>
          <w:color w:val="111827"/>
          <w:sz w:val="22"/>
        </w:rPr>
        <w:t>1. ban lawful adult intimate work;</w:t>
      </w:r>
    </w:p>
    <w:p>
      <w:pPr>
        <w:pStyle w:val="LegalNumber2"/>
      </w:pPr>
      <w:r>
        <w:rPr>
          <w:rFonts w:ascii="Times New Roman" w:hAnsi="Times New Roman"/>
          <w:b w:val="0"/>
          <w:color w:val="111827"/>
          <w:sz w:val="22"/>
        </w:rPr>
        <w:t>2. impose moratoria exceeding 180 days;</w:t>
      </w:r>
    </w:p>
    <w:p>
      <w:pPr>
        <w:pStyle w:val="LegalNumber2"/>
      </w:pPr>
      <w:r>
        <w:rPr>
          <w:rFonts w:ascii="Times New Roman" w:hAnsi="Times New Roman"/>
          <w:b w:val="0"/>
          <w:color w:val="111827"/>
          <w:sz w:val="22"/>
        </w:rPr>
        <w:t>3. zone establishments only into unavailable, unsafe, inaccessible, or commercially infeasible areas;</w:t>
      </w:r>
    </w:p>
    <w:p>
      <w:pPr>
        <w:pStyle w:val="LegalNumber2"/>
      </w:pPr>
      <w:r>
        <w:rPr>
          <w:rFonts w:ascii="Times New Roman" w:hAnsi="Times New Roman"/>
          <w:b w:val="0"/>
          <w:color w:val="111827"/>
          <w:sz w:val="22"/>
        </w:rPr>
        <w:t>4. require public disclosure of worker identities;</w:t>
      </w:r>
    </w:p>
    <w:p>
      <w:pPr>
        <w:pStyle w:val="LegalNumber2"/>
      </w:pPr>
      <w:r>
        <w:rPr>
          <w:rFonts w:ascii="Times New Roman" w:hAnsi="Times New Roman"/>
          <w:b w:val="0"/>
          <w:color w:val="111827"/>
          <w:sz w:val="22"/>
        </w:rPr>
        <w:t>5. require neighborhood consent as a condition of licensure;</w:t>
      </w:r>
    </w:p>
    <w:p>
      <w:pPr>
        <w:pStyle w:val="LegalNumber2"/>
      </w:pPr>
      <w:r>
        <w:rPr>
          <w:rFonts w:ascii="Times New Roman" w:hAnsi="Times New Roman"/>
          <w:b w:val="0"/>
          <w:color w:val="111827"/>
          <w:sz w:val="22"/>
        </w:rPr>
        <w:t>6. impose excessive fees;</w:t>
      </w:r>
    </w:p>
    <w:p>
      <w:pPr>
        <w:pStyle w:val="LegalNumber2"/>
      </w:pPr>
      <w:r>
        <w:rPr>
          <w:rFonts w:ascii="Times New Roman" w:hAnsi="Times New Roman"/>
          <w:b w:val="0"/>
          <w:color w:val="111827"/>
          <w:sz w:val="22"/>
        </w:rPr>
        <w:t>7. prohibit independent or cooperative models;</w:t>
      </w:r>
    </w:p>
    <w:p>
      <w:pPr>
        <w:pStyle w:val="LegalNumber2"/>
      </w:pPr>
      <w:r>
        <w:rPr>
          <w:rFonts w:ascii="Times New Roman" w:hAnsi="Times New Roman"/>
          <w:b w:val="0"/>
          <w:color w:val="111827"/>
          <w:sz w:val="22"/>
        </w:rPr>
        <w:t>8. use nuisance law to punish lawful adult intimate work absent actual nuisance;</w:t>
      </w:r>
    </w:p>
    <w:p>
      <w:pPr>
        <w:pStyle w:val="LegalNumber2"/>
      </w:pPr>
      <w:r>
        <w:rPr>
          <w:rFonts w:ascii="Times New Roman" w:hAnsi="Times New Roman"/>
          <w:b w:val="0"/>
          <w:color w:val="111827"/>
          <w:sz w:val="22"/>
        </w:rPr>
        <w:t>9. prohibit safety advertising, rights notices, or reporting information.</w:t>
      </w:r>
    </w:p>
    <w:p>
      <w:pPr>
        <w:spacing w:after="80"/>
      </w:pPr>
    </w:p>
    <w:p>
      <w:pPr>
        <w:pStyle w:val="SectionHeading"/>
      </w:pPr>
      <w:r>
        <w:rPr>
          <w:rFonts w:ascii="Arial" w:hAnsi="Arial"/>
          <w:b/>
          <w:color w:val="0B2545"/>
          <w:sz w:val="21"/>
        </w:rPr>
        <w:t>SECTION 1302. Default spacing standards.</w:t>
      </w:r>
    </w:p>
    <w:p>
      <w:pPr>
        <w:pStyle w:val="LegalBody"/>
      </w:pPr>
      <w:r>
        <w:rPr>
          <w:rFonts w:ascii="Times New Roman" w:hAnsi="Times New Roman"/>
          <w:b w:val="0"/>
          <w:color w:val="111827"/>
          <w:sz w:val="22"/>
        </w:rPr>
        <w:t>Unless a local government adopts alternative standards approved by the Commission, the following default standards apply:</w:t>
      </w:r>
    </w:p>
    <w:p>
      <w:pPr>
        <w:pStyle w:val="LegalNumber"/>
      </w:pPr>
      <w:r>
        <w:rPr>
          <w:rFonts w:ascii="Times New Roman" w:hAnsi="Times New Roman"/>
          <w:b w:val="0"/>
          <w:color w:val="111827"/>
          <w:sz w:val="22"/>
        </w:rPr>
        <w:t>1. An adult intimate establishment shall not be located within 1,000 feet of a K-12 school, licensed childcare center, playground, or youth center.</w:t>
      </w:r>
    </w:p>
    <w:p>
      <w:pPr>
        <w:pStyle w:val="LegalNumber"/>
      </w:pPr>
      <w:r>
        <w:rPr>
          <w:rFonts w:ascii="Times New Roman" w:hAnsi="Times New Roman"/>
          <w:b w:val="0"/>
          <w:color w:val="111827"/>
          <w:sz w:val="22"/>
        </w:rPr>
        <w:t>2. An adult intimate establishment shall not be located within 500 feet of a residential zoning district, unless separated by a major roadway, industrial district, or other buffer approved by the local government.</w:t>
      </w:r>
    </w:p>
    <w:p>
      <w:pPr>
        <w:pStyle w:val="LegalNumber"/>
      </w:pPr>
      <w:r>
        <w:rPr>
          <w:rFonts w:ascii="Times New Roman" w:hAnsi="Times New Roman"/>
          <w:b w:val="0"/>
          <w:color w:val="111827"/>
          <w:sz w:val="22"/>
        </w:rPr>
        <w:t>3. An adult intimate establishment shall not be located within 750 feet of another adult intimate establishment, unless the local government creates an adult business district with enhanced safety, transit, lighting, health, and nuisance protections.</w:t>
      </w:r>
    </w:p>
    <w:p>
      <w:pPr>
        <w:pStyle w:val="LegalNumber"/>
      </w:pPr>
      <w:r>
        <w:rPr>
          <w:rFonts w:ascii="Times New Roman" w:hAnsi="Times New Roman"/>
          <w:b w:val="0"/>
          <w:color w:val="111827"/>
          <w:sz w:val="22"/>
        </w:rPr>
        <w:t>4. Distance shall be measured by ordinary pedestrian route.</w:t>
      </w:r>
    </w:p>
    <w:p>
      <w:pPr>
        <w:pStyle w:val="LegalNumber"/>
      </w:pPr>
      <w:r>
        <w:rPr>
          <w:rFonts w:ascii="Times New Roman" w:hAnsi="Times New Roman"/>
          <w:b w:val="0"/>
          <w:color w:val="111827"/>
          <w:sz w:val="22"/>
        </w:rPr>
        <w:t>5. A local government may reduce or increase spacing only upon written findings that the adjustment protects public safety and leaves reasonable alternative sites.</w:t>
      </w:r>
    </w:p>
    <w:p>
      <w:pPr>
        <w:spacing w:after="80"/>
      </w:pPr>
    </w:p>
    <w:p>
      <w:pPr>
        <w:pStyle w:val="SectionHeading"/>
      </w:pPr>
      <w:r>
        <w:rPr>
          <w:rFonts w:ascii="Arial" w:hAnsi="Arial"/>
          <w:b/>
          <w:color w:val="0B2545"/>
          <w:sz w:val="21"/>
        </w:rPr>
        <w:t>SECTION 1303. Density and community-impact controls.</w:t>
      </w:r>
    </w:p>
    <w:p>
      <w:pPr>
        <w:pStyle w:val="LegalNumber"/>
      </w:pPr>
      <w:r>
        <w:rPr>
          <w:rFonts w:ascii="Times New Roman" w:hAnsi="Times New Roman"/>
          <w:b w:val="0"/>
          <w:color w:val="111827"/>
          <w:sz w:val="22"/>
        </w:rPr>
        <w:t>1. Local governments may use conditional-use permits, objective density standards, and community-impact review to prevent oversaturation.</w:t>
      </w:r>
    </w:p>
    <w:p>
      <w:pPr>
        <w:pStyle w:val="LegalNumber"/>
      </w:pPr>
      <w:r>
        <w:rPr>
          <w:rFonts w:ascii="Times New Roman" w:hAnsi="Times New Roman"/>
          <w:b w:val="0"/>
          <w:color w:val="111827"/>
          <w:sz w:val="22"/>
        </w:rPr>
        <w:t>2. A density rule is invalid if it leaves no reasonable alternative sites, creates unsafe isolation, prevents worker access to regulated premises, or operates as a de facto ban.</w:t>
      </w:r>
    </w:p>
    <w:p>
      <w:pPr>
        <w:pStyle w:val="LegalNumber"/>
      </w:pPr>
      <w:r>
        <w:rPr>
          <w:rFonts w:ascii="Times New Roman" w:hAnsi="Times New Roman"/>
          <w:b w:val="0"/>
          <w:color w:val="111827"/>
          <w:sz w:val="22"/>
        </w:rPr>
        <w:t>3. The Commission shall review local adult intimate work zoning every three years and may invalidate or condition a local ordinance that conflicts with this Act.</w:t>
      </w:r>
    </w:p>
    <w:p>
      <w:pPr>
        <w:pStyle w:val="LegalNumber"/>
      </w:pPr>
      <w:r>
        <w:rPr>
          <w:rFonts w:ascii="Times New Roman" w:hAnsi="Times New Roman"/>
          <w:b w:val="0"/>
          <w:color w:val="111827"/>
          <w:sz w:val="22"/>
        </w:rPr>
        <w:t>4. Local governments receiving Fund grants shall report community impacts, enforcement actions, complaints, zoning outcomes, and worker-safety effects.</w:t>
      </w:r>
    </w:p>
    <w:p>
      <w:pPr>
        <w:spacing w:after="80"/>
      </w:pPr>
    </w:p>
    <w:p>
      <w:pPr>
        <w:pStyle w:val="SectionHeading"/>
      </w:pPr>
      <w:r>
        <w:rPr>
          <w:rFonts w:ascii="Arial" w:hAnsi="Arial"/>
          <w:b/>
          <w:color w:val="0B2545"/>
          <w:sz w:val="21"/>
        </w:rPr>
        <w:t>SECTION 1304. Home-based and independent work.</w:t>
      </w:r>
    </w:p>
    <w:p>
      <w:pPr>
        <w:pStyle w:val="LegalNumber"/>
      </w:pPr>
      <w:r>
        <w:rPr>
          <w:rFonts w:ascii="Times New Roman" w:hAnsi="Times New Roman"/>
          <w:b w:val="0"/>
          <w:color w:val="111827"/>
          <w:sz w:val="22"/>
        </w:rPr>
        <w:t>1. A certified worker may provide lawful adult intimate services independently from a private residence or rented space if:</w:t>
      </w:r>
    </w:p>
    <w:p>
      <w:pPr>
        <w:pStyle w:val="LegalNumber2"/>
      </w:pPr>
      <w:r>
        <w:rPr>
          <w:rFonts w:ascii="Times New Roman" w:hAnsi="Times New Roman"/>
          <w:b w:val="0"/>
          <w:color w:val="111827"/>
          <w:sz w:val="22"/>
        </w:rPr>
        <w:t>1. all participants are adults;</w:t>
      </w:r>
    </w:p>
    <w:p>
      <w:pPr>
        <w:pStyle w:val="LegalNumber2"/>
      </w:pPr>
      <w:r>
        <w:rPr>
          <w:rFonts w:ascii="Times New Roman" w:hAnsi="Times New Roman"/>
          <w:b w:val="0"/>
          <w:color w:val="111827"/>
          <w:sz w:val="22"/>
        </w:rPr>
        <w:t>2. the worker controls the premises or has lawful permission;</w:t>
      </w:r>
    </w:p>
    <w:p>
      <w:pPr>
        <w:pStyle w:val="LegalNumber2"/>
      </w:pPr>
      <w:r>
        <w:rPr>
          <w:rFonts w:ascii="Times New Roman" w:hAnsi="Times New Roman"/>
          <w:b w:val="0"/>
          <w:color w:val="111827"/>
          <w:sz w:val="22"/>
        </w:rPr>
        <w:t>3. no public-facing signage is used;</w:t>
      </w:r>
    </w:p>
    <w:p>
      <w:pPr>
        <w:pStyle w:val="LegalNumber2"/>
      </w:pPr>
      <w:r>
        <w:rPr>
          <w:rFonts w:ascii="Times New Roman" w:hAnsi="Times New Roman"/>
          <w:b w:val="0"/>
          <w:color w:val="111827"/>
          <w:sz w:val="22"/>
        </w:rPr>
        <w:t>4. no minors are present during services;</w:t>
      </w:r>
    </w:p>
    <w:p>
      <w:pPr>
        <w:pStyle w:val="LegalNumber2"/>
      </w:pPr>
      <w:r>
        <w:rPr>
          <w:rFonts w:ascii="Times New Roman" w:hAnsi="Times New Roman"/>
          <w:b w:val="0"/>
          <w:color w:val="111827"/>
          <w:sz w:val="22"/>
        </w:rPr>
        <w:t>5. safety protocols are followed;</w:t>
      </w:r>
    </w:p>
    <w:p>
      <w:pPr>
        <w:pStyle w:val="LegalNumber2"/>
      </w:pPr>
      <w:r>
        <w:rPr>
          <w:rFonts w:ascii="Times New Roman" w:hAnsi="Times New Roman"/>
          <w:b w:val="0"/>
          <w:color w:val="111827"/>
          <w:sz w:val="22"/>
        </w:rPr>
        <w:t>6. local occupancy, fire, building, and nuisance rules are obeyed;</w:t>
      </w:r>
    </w:p>
    <w:p>
      <w:pPr>
        <w:pStyle w:val="LegalNumber2"/>
      </w:pPr>
      <w:r>
        <w:rPr>
          <w:rFonts w:ascii="Times New Roman" w:hAnsi="Times New Roman"/>
          <w:b w:val="0"/>
          <w:color w:val="111827"/>
          <w:sz w:val="22"/>
        </w:rPr>
        <w:t>7. no operator controls the worker without a license.</w:t>
      </w:r>
    </w:p>
    <w:p>
      <w:pPr>
        <w:pStyle w:val="LegalNumber"/>
      </w:pPr>
      <w:r>
        <w:rPr>
          <w:rFonts w:ascii="Times New Roman" w:hAnsi="Times New Roman"/>
          <w:b w:val="0"/>
          <w:color w:val="111827"/>
          <w:sz w:val="22"/>
        </w:rPr>
        <w:t>2. Local governments may regulate home-based work through generally applicable home-occupation, nuisance, fire, occupancy, and parking rules, but shall not require public disclosure of worker identity or address.</w:t>
      </w:r>
    </w:p>
    <w:p>
      <w:pPr>
        <w:spacing w:after="80"/>
      </w:pPr>
    </w:p>
    <w:p>
      <w:pPr>
        <w:pStyle w:val="TitleHeading"/>
      </w:pPr>
      <w:r>
        <w:rPr>
          <w:rFonts w:ascii="Arial" w:hAnsi="Arial"/>
          <w:b/>
          <w:color w:val="0B2545"/>
          <w:sz w:val="22"/>
        </w:rPr>
        <w:t>TITLE XIV. EDUCATION AND PUBLIC AWARENESS</w:t>
      </w:r>
    </w:p>
    <w:p>
      <w:pPr>
        <w:pStyle w:val="SectionHeading"/>
      </w:pPr>
      <w:r>
        <w:rPr>
          <w:rFonts w:ascii="Arial" w:hAnsi="Arial"/>
          <w:b/>
          <w:color w:val="0B2545"/>
          <w:sz w:val="21"/>
        </w:rPr>
        <w:t>SECTION 1401. Public education.</w:t>
      </w:r>
    </w:p>
    <w:p>
      <w:pPr>
        <w:pStyle w:val="LegalNumber"/>
      </w:pPr>
      <w:r>
        <w:rPr>
          <w:rFonts w:ascii="Times New Roman" w:hAnsi="Times New Roman"/>
          <w:b w:val="0"/>
          <w:color w:val="111827"/>
          <w:sz w:val="22"/>
        </w:rPr>
        <w:t>1. The Commission shall conduct public education on:</w:t>
      </w:r>
    </w:p>
    <w:p>
      <w:pPr>
        <w:pStyle w:val="LegalNumber2"/>
      </w:pPr>
      <w:r>
        <w:rPr>
          <w:rFonts w:ascii="Times New Roman" w:hAnsi="Times New Roman"/>
          <w:b w:val="0"/>
          <w:color w:val="111827"/>
          <w:sz w:val="22"/>
        </w:rPr>
        <w:t>1. affirmative consent;</w:t>
      </w:r>
    </w:p>
    <w:p>
      <w:pPr>
        <w:pStyle w:val="LegalNumber2"/>
      </w:pPr>
      <w:r>
        <w:rPr>
          <w:rFonts w:ascii="Times New Roman" w:hAnsi="Times New Roman"/>
          <w:b w:val="0"/>
          <w:color w:val="111827"/>
          <w:sz w:val="22"/>
        </w:rPr>
        <w:t>2. worker rights;</w:t>
      </w:r>
    </w:p>
    <w:p>
      <w:pPr>
        <w:pStyle w:val="LegalNumber2"/>
      </w:pPr>
      <w:r>
        <w:rPr>
          <w:rFonts w:ascii="Times New Roman" w:hAnsi="Times New Roman"/>
          <w:b w:val="0"/>
          <w:color w:val="111827"/>
          <w:sz w:val="22"/>
        </w:rPr>
        <w:t>3. client responsibilities;</w:t>
      </w:r>
    </w:p>
    <w:p>
      <w:pPr>
        <w:pStyle w:val="LegalNumber2"/>
      </w:pPr>
      <w:r>
        <w:rPr>
          <w:rFonts w:ascii="Times New Roman" w:hAnsi="Times New Roman"/>
          <w:b w:val="0"/>
          <w:color w:val="111827"/>
          <w:sz w:val="22"/>
        </w:rPr>
        <w:t>4. anti-harassment standards;</w:t>
      </w:r>
    </w:p>
    <w:p>
      <w:pPr>
        <w:pStyle w:val="LegalNumber2"/>
      </w:pPr>
      <w:r>
        <w:rPr>
          <w:rFonts w:ascii="Times New Roman" w:hAnsi="Times New Roman"/>
          <w:b w:val="0"/>
          <w:color w:val="111827"/>
          <w:sz w:val="22"/>
        </w:rPr>
        <w:t>5. anti-discrimination standards;</w:t>
      </w:r>
    </w:p>
    <w:p>
      <w:pPr>
        <w:pStyle w:val="LegalNumber2"/>
      </w:pPr>
      <w:r>
        <w:rPr>
          <w:rFonts w:ascii="Times New Roman" w:hAnsi="Times New Roman"/>
          <w:b w:val="0"/>
          <w:color w:val="111827"/>
          <w:sz w:val="22"/>
        </w:rPr>
        <w:t>6. trafficking indicators;</w:t>
      </w:r>
    </w:p>
    <w:p>
      <w:pPr>
        <w:pStyle w:val="LegalNumber2"/>
      </w:pPr>
      <w:r>
        <w:rPr>
          <w:rFonts w:ascii="Times New Roman" w:hAnsi="Times New Roman"/>
          <w:b w:val="0"/>
          <w:color w:val="111827"/>
          <w:sz w:val="22"/>
        </w:rPr>
        <w:t>7. reporting options;</w:t>
      </w:r>
    </w:p>
    <w:p>
      <w:pPr>
        <w:pStyle w:val="LegalNumber2"/>
      </w:pPr>
      <w:r>
        <w:rPr>
          <w:rFonts w:ascii="Times New Roman" w:hAnsi="Times New Roman"/>
          <w:b w:val="0"/>
          <w:color w:val="111827"/>
          <w:sz w:val="22"/>
        </w:rPr>
        <w:t>8. legal consequences;</w:t>
      </w:r>
    </w:p>
    <w:p>
      <w:pPr>
        <w:pStyle w:val="LegalNumber2"/>
      </w:pPr>
      <w:r>
        <w:rPr>
          <w:rFonts w:ascii="Times New Roman" w:hAnsi="Times New Roman"/>
          <w:b w:val="0"/>
          <w:color w:val="111827"/>
          <w:sz w:val="22"/>
        </w:rPr>
        <w:t>9. nonconsensual recording and distribution;</w:t>
      </w:r>
    </w:p>
    <w:p>
      <w:pPr>
        <w:pStyle w:val="LegalNumber2"/>
      </w:pPr>
      <w:r>
        <w:rPr>
          <w:rFonts w:ascii="Times New Roman" w:hAnsi="Times New Roman"/>
          <w:b w:val="0"/>
          <w:color w:val="111827"/>
          <w:sz w:val="22"/>
        </w:rPr>
        <w:t>10. privacy rights;</w:t>
      </w:r>
    </w:p>
    <w:p>
      <w:pPr>
        <w:pStyle w:val="LegalNumber2"/>
      </w:pPr>
      <w:r>
        <w:rPr>
          <w:rFonts w:ascii="Times New Roman" w:hAnsi="Times New Roman"/>
          <w:b w:val="0"/>
          <w:color w:val="111827"/>
          <w:sz w:val="22"/>
        </w:rPr>
        <w:t>11. health services;</w:t>
      </w:r>
    </w:p>
    <w:p>
      <w:pPr>
        <w:pStyle w:val="LegalNumber2"/>
      </w:pPr>
      <w:r>
        <w:rPr>
          <w:rFonts w:ascii="Times New Roman" w:hAnsi="Times New Roman"/>
          <w:b w:val="0"/>
          <w:color w:val="111827"/>
          <w:sz w:val="22"/>
        </w:rPr>
        <w:t>12. local zoning and community standards.</w:t>
      </w:r>
    </w:p>
    <w:p>
      <w:pPr>
        <w:pStyle w:val="LegalNumber"/>
      </w:pPr>
      <w:r>
        <w:rPr>
          <w:rFonts w:ascii="Times New Roman" w:hAnsi="Times New Roman"/>
          <w:b w:val="0"/>
          <w:color w:val="111827"/>
          <w:sz w:val="22"/>
        </w:rPr>
        <w:t>2. Public materials shall be accurate, nonstigmatizing, multilingual, accessible to persons with disabilities, and designed with worker and survivor input.</w:t>
      </w:r>
    </w:p>
    <w:p>
      <w:pPr>
        <w:spacing w:after="80"/>
      </w:pPr>
    </w:p>
    <w:p>
      <w:pPr>
        <w:pStyle w:val="SectionHeading"/>
      </w:pPr>
      <w:r>
        <w:rPr>
          <w:rFonts w:ascii="Arial" w:hAnsi="Arial"/>
          <w:b/>
          <w:color w:val="0B2545"/>
          <w:sz w:val="21"/>
        </w:rPr>
        <w:t>SECTION 1402. Professional training.</w:t>
      </w:r>
    </w:p>
    <w:p>
      <w:pPr>
        <w:pStyle w:val="LegalNumber"/>
      </w:pPr>
      <w:r>
        <w:rPr>
          <w:rFonts w:ascii="Times New Roman" w:hAnsi="Times New Roman"/>
          <w:b w:val="0"/>
          <w:color w:val="111827"/>
          <w:sz w:val="22"/>
        </w:rPr>
        <w:t>1. Regulators, inspectors, law enforcement officers, prosecutors, judges, court staff, healthcare providers, victim advocates, labor investigators, civil-rights investigators, tax auditors, and local zoning officials shall receive training relevant to their role.</w:t>
      </w:r>
    </w:p>
    <w:p>
      <w:pPr>
        <w:pStyle w:val="LegalNumber"/>
      </w:pPr>
      <w:r>
        <w:rPr>
          <w:rFonts w:ascii="Times New Roman" w:hAnsi="Times New Roman"/>
          <w:b w:val="0"/>
          <w:color w:val="111827"/>
          <w:sz w:val="22"/>
        </w:rPr>
        <w:t>2. Training for law enforcement shall emphasize:</w:t>
      </w:r>
    </w:p>
    <w:p>
      <w:pPr>
        <w:pStyle w:val="LegalNumber2"/>
      </w:pPr>
      <w:r>
        <w:rPr>
          <w:rFonts w:ascii="Times New Roman" w:hAnsi="Times New Roman"/>
          <w:b w:val="0"/>
          <w:color w:val="111827"/>
          <w:sz w:val="22"/>
        </w:rPr>
        <w:t>1. distinguishing consensual adult intimate work from trafficking and coercion;</w:t>
      </w:r>
    </w:p>
    <w:p>
      <w:pPr>
        <w:pStyle w:val="LegalNumber2"/>
      </w:pPr>
      <w:r>
        <w:rPr>
          <w:rFonts w:ascii="Times New Roman" w:hAnsi="Times New Roman"/>
          <w:b w:val="0"/>
          <w:color w:val="111827"/>
          <w:sz w:val="22"/>
        </w:rPr>
        <w:t>2. victim-centered and trauma-informed response;</w:t>
      </w:r>
    </w:p>
    <w:p>
      <w:pPr>
        <w:pStyle w:val="LegalNumber2"/>
      </w:pPr>
      <w:r>
        <w:rPr>
          <w:rFonts w:ascii="Times New Roman" w:hAnsi="Times New Roman"/>
          <w:b w:val="0"/>
          <w:color w:val="111827"/>
          <w:sz w:val="22"/>
        </w:rPr>
        <w:t>3. nonarrest safe harbor;</w:t>
      </w:r>
    </w:p>
    <w:p>
      <w:pPr>
        <w:pStyle w:val="LegalNumber2"/>
      </w:pPr>
      <w:r>
        <w:rPr>
          <w:rFonts w:ascii="Times New Roman" w:hAnsi="Times New Roman"/>
          <w:b w:val="0"/>
          <w:color w:val="111827"/>
          <w:sz w:val="22"/>
        </w:rPr>
        <w:t>4. confidentiality;</w:t>
      </w:r>
    </w:p>
    <w:p>
      <w:pPr>
        <w:pStyle w:val="LegalNumber2"/>
      </w:pPr>
      <w:r>
        <w:rPr>
          <w:rFonts w:ascii="Times New Roman" w:hAnsi="Times New Roman"/>
          <w:b w:val="0"/>
          <w:color w:val="111827"/>
          <w:sz w:val="22"/>
        </w:rPr>
        <w:t>5. evidence preservation;</w:t>
      </w:r>
    </w:p>
    <w:p>
      <w:pPr>
        <w:pStyle w:val="LegalNumber2"/>
      </w:pPr>
      <w:r>
        <w:rPr>
          <w:rFonts w:ascii="Times New Roman" w:hAnsi="Times New Roman"/>
          <w:b w:val="0"/>
          <w:color w:val="111827"/>
          <w:sz w:val="22"/>
        </w:rPr>
        <w:t>6. avoiding use of health supplies as evidence of crime;</w:t>
      </w:r>
    </w:p>
    <w:p>
      <w:pPr>
        <w:pStyle w:val="LegalNumber2"/>
      </w:pPr>
      <w:r>
        <w:rPr>
          <w:rFonts w:ascii="Times New Roman" w:hAnsi="Times New Roman"/>
          <w:b w:val="0"/>
          <w:color w:val="111827"/>
          <w:sz w:val="22"/>
        </w:rPr>
        <w:t>7. immigration-sensitive reporting;</w:t>
      </w:r>
    </w:p>
    <w:p>
      <w:pPr>
        <w:pStyle w:val="LegalNumber2"/>
      </w:pPr>
      <w:r>
        <w:rPr>
          <w:rFonts w:ascii="Times New Roman" w:hAnsi="Times New Roman"/>
          <w:b w:val="0"/>
          <w:color w:val="111827"/>
          <w:sz w:val="22"/>
        </w:rPr>
        <w:t>8. digital evidence;</w:t>
      </w:r>
    </w:p>
    <w:p>
      <w:pPr>
        <w:pStyle w:val="LegalNumber2"/>
      </w:pPr>
      <w:r>
        <w:rPr>
          <w:rFonts w:ascii="Times New Roman" w:hAnsi="Times New Roman"/>
          <w:b w:val="0"/>
          <w:color w:val="111827"/>
          <w:sz w:val="22"/>
        </w:rPr>
        <w:t>9. due process;</w:t>
      </w:r>
    </w:p>
    <w:p>
      <w:pPr>
        <w:pStyle w:val="LegalNumber2"/>
      </w:pPr>
      <w:r>
        <w:rPr>
          <w:rFonts w:ascii="Times New Roman" w:hAnsi="Times New Roman"/>
          <w:b w:val="0"/>
          <w:color w:val="111827"/>
          <w:sz w:val="22"/>
        </w:rPr>
        <w:t>10. cultural competency.</w:t>
      </w:r>
    </w:p>
    <w:p>
      <w:pPr>
        <w:spacing w:after="80"/>
      </w:pPr>
    </w:p>
    <w:p>
      <w:pPr>
        <w:pStyle w:val="TitleHeading"/>
      </w:pPr>
      <w:r>
        <w:rPr>
          <w:rFonts w:ascii="Arial" w:hAnsi="Arial"/>
          <w:b/>
          <w:color w:val="0B2545"/>
          <w:sz w:val="22"/>
        </w:rPr>
        <w:t>TITLE XV. IMPLEMENTATION, TRANSITION, REVIEW, AND CONFORMING LAW</w:t>
      </w:r>
    </w:p>
    <w:p>
      <w:pPr>
        <w:pStyle w:val="SectionHeading"/>
      </w:pPr>
      <w:r>
        <w:rPr>
          <w:rFonts w:ascii="Arial" w:hAnsi="Arial"/>
          <w:b/>
          <w:color w:val="0B2545"/>
          <w:sz w:val="21"/>
        </w:rPr>
        <w:t>SECTION 1501. Implementation schedule.</w:t>
      </w:r>
    </w:p>
    <w:p>
      <w:pPr>
        <w:pStyle w:val="LegalNumber"/>
      </w:pPr>
      <w:r>
        <w:rPr>
          <w:rFonts w:ascii="Times New Roman" w:hAnsi="Times New Roman"/>
          <w:b w:val="0"/>
          <w:color w:val="111827"/>
          <w:sz w:val="22"/>
        </w:rPr>
        <w:t>1. Within 30 days after enactment, the Governor shall appoint an interim implementation director.</w:t>
      </w:r>
    </w:p>
    <w:p>
      <w:pPr>
        <w:pStyle w:val="LegalNumber"/>
      </w:pPr>
      <w:r>
        <w:rPr>
          <w:rFonts w:ascii="Times New Roman" w:hAnsi="Times New Roman"/>
          <w:b w:val="0"/>
          <w:color w:val="111827"/>
          <w:sz w:val="22"/>
        </w:rPr>
        <w:t>2. Within 90 days after enactment:</w:t>
      </w:r>
    </w:p>
    <w:p>
      <w:pPr>
        <w:pStyle w:val="LegalNumber2"/>
      </w:pPr>
      <w:r>
        <w:rPr>
          <w:rFonts w:ascii="Times New Roman" w:hAnsi="Times New Roman"/>
          <w:b w:val="0"/>
          <w:color w:val="111827"/>
          <w:sz w:val="22"/>
        </w:rPr>
        <w:t>1. Commission appointments shall begin;</w:t>
      </w:r>
    </w:p>
    <w:p>
      <w:pPr>
        <w:pStyle w:val="LegalNumber2"/>
      </w:pPr>
      <w:r>
        <w:rPr>
          <w:rFonts w:ascii="Times New Roman" w:hAnsi="Times New Roman"/>
          <w:b w:val="0"/>
          <w:color w:val="111827"/>
          <w:sz w:val="22"/>
        </w:rPr>
        <w:t>2. transition guidance shall be published;</w:t>
      </w:r>
    </w:p>
    <w:p>
      <w:pPr>
        <w:pStyle w:val="LegalNumber2"/>
      </w:pPr>
      <w:r>
        <w:rPr>
          <w:rFonts w:ascii="Times New Roman" w:hAnsi="Times New Roman"/>
          <w:b w:val="0"/>
          <w:color w:val="111827"/>
          <w:sz w:val="22"/>
        </w:rPr>
        <w:t>3. nonprosecution safe-harbor guidance shall be issued;</w:t>
      </w:r>
    </w:p>
    <w:p>
      <w:pPr>
        <w:pStyle w:val="LegalNumber2"/>
      </w:pPr>
      <w:r>
        <w:rPr>
          <w:rFonts w:ascii="Times New Roman" w:hAnsi="Times New Roman"/>
          <w:b w:val="0"/>
          <w:color w:val="111827"/>
          <w:sz w:val="22"/>
        </w:rPr>
        <w:t>4. survivor-service grants shall begin;</w:t>
      </w:r>
    </w:p>
    <w:p>
      <w:pPr>
        <w:pStyle w:val="LegalNumber2"/>
      </w:pPr>
      <w:r>
        <w:rPr>
          <w:rFonts w:ascii="Times New Roman" w:hAnsi="Times New Roman"/>
          <w:b w:val="0"/>
          <w:color w:val="111827"/>
          <w:sz w:val="22"/>
        </w:rPr>
        <w:t>5. expungement forms shall be published.</w:t>
      </w:r>
    </w:p>
    <w:p>
      <w:pPr>
        <w:pStyle w:val="LegalNumber"/>
      </w:pPr>
      <w:r>
        <w:rPr>
          <w:rFonts w:ascii="Times New Roman" w:hAnsi="Times New Roman"/>
          <w:b w:val="0"/>
          <w:color w:val="111827"/>
          <w:sz w:val="22"/>
        </w:rPr>
        <w:t>3. Within 180 days after enactment:</w:t>
      </w:r>
    </w:p>
    <w:p>
      <w:pPr>
        <w:pStyle w:val="LegalNumber2"/>
      </w:pPr>
      <w:r>
        <w:rPr>
          <w:rFonts w:ascii="Times New Roman" w:hAnsi="Times New Roman"/>
          <w:b w:val="0"/>
          <w:color w:val="111827"/>
          <w:sz w:val="22"/>
        </w:rPr>
        <w:t>1. proposed rules shall be issued;</w:t>
      </w:r>
    </w:p>
    <w:p>
      <w:pPr>
        <w:pStyle w:val="LegalNumber2"/>
      </w:pPr>
      <w:r>
        <w:rPr>
          <w:rFonts w:ascii="Times New Roman" w:hAnsi="Times New Roman"/>
          <w:b w:val="0"/>
          <w:color w:val="111827"/>
          <w:sz w:val="22"/>
        </w:rPr>
        <w:t>2. model safety plans shall be published;</w:t>
      </w:r>
    </w:p>
    <w:p>
      <w:pPr>
        <w:pStyle w:val="LegalNumber2"/>
      </w:pPr>
      <w:r>
        <w:rPr>
          <w:rFonts w:ascii="Times New Roman" w:hAnsi="Times New Roman"/>
          <w:b w:val="0"/>
          <w:color w:val="111827"/>
          <w:sz w:val="22"/>
        </w:rPr>
        <w:t>3. worker training shall be available;</w:t>
      </w:r>
    </w:p>
    <w:p>
      <w:pPr>
        <w:pStyle w:val="LegalNumber2"/>
      </w:pPr>
      <w:r>
        <w:rPr>
          <w:rFonts w:ascii="Times New Roman" w:hAnsi="Times New Roman"/>
          <w:b w:val="0"/>
          <w:color w:val="111827"/>
          <w:sz w:val="22"/>
        </w:rPr>
        <w:t>4. public education shall begin;</w:t>
      </w:r>
    </w:p>
    <w:p>
      <w:pPr>
        <w:pStyle w:val="LegalNumber2"/>
      </w:pPr>
      <w:r>
        <w:rPr>
          <w:rFonts w:ascii="Times New Roman" w:hAnsi="Times New Roman"/>
          <w:b w:val="0"/>
          <w:color w:val="111827"/>
          <w:sz w:val="22"/>
        </w:rPr>
        <w:t>5. local zoning model ordinances shall be issued.</w:t>
      </w:r>
    </w:p>
    <w:p>
      <w:pPr>
        <w:pStyle w:val="LegalNumber"/>
      </w:pPr>
      <w:r>
        <w:rPr>
          <w:rFonts w:ascii="Times New Roman" w:hAnsi="Times New Roman"/>
          <w:b w:val="0"/>
          <w:color w:val="111827"/>
          <w:sz w:val="22"/>
        </w:rPr>
        <w:t>4. Within 365 days after enactment:</w:t>
      </w:r>
    </w:p>
    <w:p>
      <w:pPr>
        <w:pStyle w:val="LegalNumber2"/>
      </w:pPr>
      <w:r>
        <w:rPr>
          <w:rFonts w:ascii="Times New Roman" w:hAnsi="Times New Roman"/>
          <w:b w:val="0"/>
          <w:color w:val="111827"/>
          <w:sz w:val="22"/>
        </w:rPr>
        <w:t>1. final rules shall be issued;</w:t>
      </w:r>
    </w:p>
    <w:p>
      <w:pPr>
        <w:pStyle w:val="LegalNumber2"/>
      </w:pPr>
      <w:r>
        <w:rPr>
          <w:rFonts w:ascii="Times New Roman" w:hAnsi="Times New Roman"/>
          <w:b w:val="0"/>
          <w:color w:val="111827"/>
          <w:sz w:val="22"/>
        </w:rPr>
        <w:t>2. worker certification shall open;</w:t>
      </w:r>
    </w:p>
    <w:p>
      <w:pPr>
        <w:pStyle w:val="LegalNumber2"/>
      </w:pPr>
      <w:r>
        <w:rPr>
          <w:rFonts w:ascii="Times New Roman" w:hAnsi="Times New Roman"/>
          <w:b w:val="0"/>
          <w:color w:val="111827"/>
          <w:sz w:val="22"/>
        </w:rPr>
        <w:t>3. operator licensing shall open;</w:t>
      </w:r>
    </w:p>
    <w:p>
      <w:pPr>
        <w:pStyle w:val="LegalNumber2"/>
      </w:pPr>
      <w:r>
        <w:rPr>
          <w:rFonts w:ascii="Times New Roman" w:hAnsi="Times New Roman"/>
          <w:b w:val="0"/>
          <w:color w:val="111827"/>
          <w:sz w:val="22"/>
        </w:rPr>
        <w:t>4. platform certification shall open;</w:t>
      </w:r>
    </w:p>
    <w:p>
      <w:pPr>
        <w:pStyle w:val="LegalNumber2"/>
      </w:pPr>
      <w:r>
        <w:rPr>
          <w:rFonts w:ascii="Times New Roman" w:hAnsi="Times New Roman"/>
          <w:b w:val="0"/>
          <w:color w:val="111827"/>
          <w:sz w:val="22"/>
        </w:rPr>
        <w:t>5. establishment permitting shall open.</w:t>
      </w:r>
    </w:p>
    <w:p>
      <w:pPr>
        <w:pStyle w:val="LegalNumber"/>
      </w:pPr>
      <w:r>
        <w:rPr>
          <w:rFonts w:ascii="Times New Roman" w:hAnsi="Times New Roman"/>
          <w:b w:val="0"/>
          <w:color w:val="111827"/>
          <w:sz w:val="22"/>
        </w:rPr>
        <w:t>5. Eighteen months after worker certification opens:</w:t>
      </w:r>
    </w:p>
    <w:p>
      <w:pPr>
        <w:pStyle w:val="LegalNumber2"/>
      </w:pPr>
      <w:r>
        <w:rPr>
          <w:rFonts w:ascii="Times New Roman" w:hAnsi="Times New Roman"/>
          <w:b w:val="0"/>
          <w:color w:val="111827"/>
          <w:sz w:val="22"/>
        </w:rPr>
        <w:t>1. full licensing enforcement may begin;</w:t>
      </w:r>
    </w:p>
    <w:p>
      <w:pPr>
        <w:pStyle w:val="LegalNumber2"/>
      </w:pPr>
      <w:r>
        <w:rPr>
          <w:rFonts w:ascii="Times New Roman" w:hAnsi="Times New Roman"/>
          <w:b w:val="0"/>
          <w:color w:val="111827"/>
          <w:sz w:val="22"/>
        </w:rPr>
        <w:t>2. unlicensed business enforcement may begin;</w:t>
      </w:r>
    </w:p>
    <w:p>
      <w:pPr>
        <w:pStyle w:val="LegalNumber2"/>
      </w:pPr>
      <w:r>
        <w:rPr>
          <w:rFonts w:ascii="Times New Roman" w:hAnsi="Times New Roman"/>
          <w:b w:val="0"/>
          <w:color w:val="111827"/>
          <w:sz w:val="22"/>
        </w:rPr>
        <w:t>3. worker safe-harbor civil assistance remains available.</w:t>
      </w:r>
    </w:p>
    <w:p>
      <w:pPr>
        <w:pStyle w:val="LegalNumber"/>
      </w:pPr>
      <w:r>
        <w:rPr>
          <w:rFonts w:ascii="Times New Roman" w:hAnsi="Times New Roman"/>
          <w:b w:val="0"/>
          <w:color w:val="111827"/>
          <w:sz w:val="22"/>
        </w:rPr>
        <w:t>6. Twenty-four months after enactment:</w:t>
      </w:r>
    </w:p>
    <w:p>
      <w:pPr>
        <w:pStyle w:val="LegalNumber2"/>
      </w:pPr>
      <w:r>
        <w:rPr>
          <w:rFonts w:ascii="Times New Roman" w:hAnsi="Times New Roman"/>
          <w:b w:val="0"/>
          <w:color w:val="111827"/>
          <w:sz w:val="22"/>
        </w:rPr>
        <w:t>1. excise tax collection shall begin;</w:t>
      </w:r>
    </w:p>
    <w:p>
      <w:pPr>
        <w:pStyle w:val="LegalNumber2"/>
      </w:pPr>
      <w:r>
        <w:rPr>
          <w:rFonts w:ascii="Times New Roman" w:hAnsi="Times New Roman"/>
          <w:b w:val="0"/>
          <w:color w:val="111827"/>
          <w:sz w:val="22"/>
        </w:rPr>
        <w:t>2. annual reporting shall begin;</w:t>
      </w:r>
    </w:p>
    <w:p>
      <w:pPr>
        <w:pStyle w:val="LegalNumber2"/>
      </w:pPr>
      <w:r>
        <w:rPr>
          <w:rFonts w:ascii="Times New Roman" w:hAnsi="Times New Roman"/>
          <w:b w:val="0"/>
          <w:color w:val="111827"/>
          <w:sz w:val="22"/>
        </w:rPr>
        <w:t>3. local zoning compliance review shall begin.</w:t>
      </w:r>
    </w:p>
    <w:p>
      <w:pPr>
        <w:spacing w:after="80"/>
      </w:pPr>
    </w:p>
    <w:p>
      <w:pPr>
        <w:pStyle w:val="SectionHeading"/>
      </w:pPr>
      <w:r>
        <w:rPr>
          <w:rFonts w:ascii="Arial" w:hAnsi="Arial"/>
          <w:b/>
          <w:color w:val="0B2545"/>
          <w:sz w:val="21"/>
        </w:rPr>
        <w:t>SECTION 1502. Transition protection for current workers.</w:t>
      </w:r>
    </w:p>
    <w:p>
      <w:pPr>
        <w:pStyle w:val="LegalNumber"/>
      </w:pPr>
      <w:r>
        <w:rPr>
          <w:rFonts w:ascii="Times New Roman" w:hAnsi="Times New Roman"/>
          <w:b w:val="0"/>
          <w:color w:val="111827"/>
          <w:sz w:val="22"/>
        </w:rPr>
        <w:t>1. Current adult workers may enter the regulated system without disclosing prior unlawful conduct except as necessary for certification.</w:t>
      </w:r>
    </w:p>
    <w:p>
      <w:pPr>
        <w:pStyle w:val="LegalNumber"/>
      </w:pPr>
      <w:r>
        <w:rPr>
          <w:rFonts w:ascii="Times New Roman" w:hAnsi="Times New Roman"/>
          <w:b w:val="0"/>
          <w:color w:val="111827"/>
          <w:sz w:val="22"/>
        </w:rPr>
        <w:t>2. Information provided for transition, certification, healthcare, legal aid, expungement, or survivor services shall not be used for prosecution of prior adult consensual conduct made lawful by this Act.</w:t>
      </w:r>
    </w:p>
    <w:p>
      <w:pPr>
        <w:pStyle w:val="LegalNumber"/>
      </w:pPr>
      <w:r>
        <w:rPr>
          <w:rFonts w:ascii="Times New Roman" w:hAnsi="Times New Roman"/>
          <w:b w:val="0"/>
          <w:color w:val="111827"/>
          <w:sz w:val="22"/>
        </w:rPr>
        <w:t>3. The Commission shall fund peer navigators to assist current workers with certification, taxes, health access, safety planning, platform transition, cooperative formation, and legal remedies.</w:t>
      </w:r>
    </w:p>
    <w:p>
      <w:pPr>
        <w:spacing w:after="80"/>
      </w:pPr>
    </w:p>
    <w:p>
      <w:pPr>
        <w:pStyle w:val="SectionHeading"/>
      </w:pPr>
      <w:r>
        <w:rPr>
          <w:rFonts w:ascii="Arial" w:hAnsi="Arial"/>
          <w:b/>
          <w:color w:val="0B2545"/>
          <w:sz w:val="21"/>
        </w:rPr>
        <w:t>SECTION 1503. Conforming criminal-law rule.</w:t>
      </w:r>
    </w:p>
    <w:p>
      <w:pPr>
        <w:pStyle w:val="LegalNumber"/>
      </w:pPr>
      <w:r>
        <w:rPr>
          <w:rFonts w:ascii="Times New Roman" w:hAnsi="Times New Roman"/>
          <w:b w:val="0"/>
          <w:color w:val="111827"/>
          <w:sz w:val="22"/>
        </w:rPr>
        <w:t>1. Any state or local law criminalizing prostitution, solicitation, assignation, loitering for prostitution, keeping a bawdy house, maintaining a house of prostitution, living from earnings, promoting prostitution, or similar offenses shall not apply to lawful adult intimate work under this Act.</w:t>
      </w:r>
    </w:p>
    <w:p>
      <w:pPr>
        <w:pStyle w:val="LegalNumber"/>
      </w:pPr>
      <w:r>
        <w:rPr>
          <w:rFonts w:ascii="Times New Roman" w:hAnsi="Times New Roman"/>
          <w:b w:val="0"/>
          <w:color w:val="111827"/>
          <w:sz w:val="22"/>
        </w:rPr>
        <w:t>2. Such laws remain enforceable against trafficking, coercion, exploitation of minors, unlicensed commercial operation after transition, nonconsensual conduct, public nuisance, harassment, stalking, assault, fraud, money laundering, and other conduct prohibited by this Act.</w:t>
      </w:r>
    </w:p>
    <w:p>
      <w:pPr>
        <w:spacing w:after="80"/>
      </w:pPr>
    </w:p>
    <w:p>
      <w:pPr>
        <w:pStyle w:val="SectionHeading"/>
      </w:pPr>
      <w:r>
        <w:rPr>
          <w:rFonts w:ascii="Arial" w:hAnsi="Arial"/>
          <w:b/>
          <w:color w:val="0B2545"/>
          <w:sz w:val="21"/>
        </w:rPr>
        <w:t>SECTION 1504. Independent evaluation.</w:t>
      </w:r>
    </w:p>
    <w:p>
      <w:pPr>
        <w:pStyle w:val="LegalNumber"/>
      </w:pPr>
      <w:r>
        <w:rPr>
          <w:rFonts w:ascii="Times New Roman" w:hAnsi="Times New Roman"/>
          <w:b w:val="0"/>
          <w:color w:val="111827"/>
          <w:sz w:val="22"/>
        </w:rPr>
        <w:t>1. The Legislature shall commission independent evaluations at years 3, 5, and 10.</w:t>
      </w:r>
    </w:p>
    <w:p>
      <w:pPr>
        <w:pStyle w:val="LegalNumber"/>
      </w:pPr>
      <w:r>
        <w:rPr>
          <w:rFonts w:ascii="Times New Roman" w:hAnsi="Times New Roman"/>
          <w:b w:val="0"/>
          <w:color w:val="111827"/>
          <w:sz w:val="22"/>
        </w:rPr>
        <w:t>2. Evaluations shall assess:</w:t>
      </w:r>
    </w:p>
    <w:p>
      <w:pPr>
        <w:pStyle w:val="LegalNumber2"/>
      </w:pPr>
      <w:r>
        <w:rPr>
          <w:rFonts w:ascii="Times New Roman" w:hAnsi="Times New Roman"/>
          <w:b w:val="0"/>
          <w:color w:val="111827"/>
          <w:sz w:val="22"/>
        </w:rPr>
        <w:t>1. worker safety;</w:t>
      </w:r>
    </w:p>
    <w:p>
      <w:pPr>
        <w:pStyle w:val="LegalNumber2"/>
      </w:pPr>
      <w:r>
        <w:rPr>
          <w:rFonts w:ascii="Times New Roman" w:hAnsi="Times New Roman"/>
          <w:b w:val="0"/>
          <w:color w:val="111827"/>
          <w:sz w:val="22"/>
        </w:rPr>
        <w:t>2. trafficking detection and prevention;</w:t>
      </w:r>
    </w:p>
    <w:p>
      <w:pPr>
        <w:pStyle w:val="LegalNumber2"/>
      </w:pPr>
      <w:r>
        <w:rPr>
          <w:rFonts w:ascii="Times New Roman" w:hAnsi="Times New Roman"/>
          <w:b w:val="0"/>
          <w:color w:val="111827"/>
          <w:sz w:val="22"/>
        </w:rPr>
        <w:t>3. survivor access to services;</w:t>
      </w:r>
    </w:p>
    <w:p>
      <w:pPr>
        <w:pStyle w:val="LegalNumber2"/>
      </w:pPr>
      <w:r>
        <w:rPr>
          <w:rFonts w:ascii="Times New Roman" w:hAnsi="Times New Roman"/>
          <w:b w:val="0"/>
          <w:color w:val="111827"/>
          <w:sz w:val="22"/>
        </w:rPr>
        <w:t>4. health outcomes;</w:t>
      </w:r>
    </w:p>
    <w:p>
      <w:pPr>
        <w:pStyle w:val="LegalNumber2"/>
      </w:pPr>
      <w:r>
        <w:rPr>
          <w:rFonts w:ascii="Times New Roman" w:hAnsi="Times New Roman"/>
          <w:b w:val="0"/>
          <w:color w:val="111827"/>
          <w:sz w:val="22"/>
        </w:rPr>
        <w:t>5. market size and concentration;</w:t>
      </w:r>
    </w:p>
    <w:p>
      <w:pPr>
        <w:pStyle w:val="LegalNumber2"/>
      </w:pPr>
      <w:r>
        <w:rPr>
          <w:rFonts w:ascii="Times New Roman" w:hAnsi="Times New Roman"/>
          <w:b w:val="0"/>
          <w:color w:val="111827"/>
          <w:sz w:val="22"/>
        </w:rPr>
        <w:t>6. local community impacts;</w:t>
      </w:r>
    </w:p>
    <w:p>
      <w:pPr>
        <w:pStyle w:val="LegalNumber2"/>
      </w:pPr>
      <w:r>
        <w:rPr>
          <w:rFonts w:ascii="Times New Roman" w:hAnsi="Times New Roman"/>
          <w:b w:val="0"/>
          <w:color w:val="111827"/>
          <w:sz w:val="22"/>
        </w:rPr>
        <w:t>7. zoning effects;</w:t>
      </w:r>
    </w:p>
    <w:p>
      <w:pPr>
        <w:pStyle w:val="LegalNumber2"/>
      </w:pPr>
      <w:r>
        <w:rPr>
          <w:rFonts w:ascii="Times New Roman" w:hAnsi="Times New Roman"/>
          <w:b w:val="0"/>
          <w:color w:val="111827"/>
          <w:sz w:val="22"/>
        </w:rPr>
        <w:t>8. privacy and data security;</w:t>
      </w:r>
    </w:p>
    <w:p>
      <w:pPr>
        <w:pStyle w:val="LegalNumber2"/>
      </w:pPr>
      <w:r>
        <w:rPr>
          <w:rFonts w:ascii="Times New Roman" w:hAnsi="Times New Roman"/>
          <w:b w:val="0"/>
          <w:color w:val="111827"/>
          <w:sz w:val="22"/>
        </w:rPr>
        <w:t>9. complaints and enforcement;</w:t>
      </w:r>
    </w:p>
    <w:p>
      <w:pPr>
        <w:pStyle w:val="LegalNumber2"/>
      </w:pPr>
      <w:r>
        <w:rPr>
          <w:rFonts w:ascii="Times New Roman" w:hAnsi="Times New Roman"/>
          <w:b w:val="0"/>
          <w:color w:val="111827"/>
          <w:sz w:val="22"/>
        </w:rPr>
        <w:t>10. litigation;</w:t>
      </w:r>
    </w:p>
    <w:p>
      <w:pPr>
        <w:pStyle w:val="LegalNumber2"/>
      </w:pPr>
      <w:r>
        <w:rPr>
          <w:rFonts w:ascii="Times New Roman" w:hAnsi="Times New Roman"/>
          <w:b w:val="0"/>
          <w:color w:val="111827"/>
          <w:sz w:val="22"/>
        </w:rPr>
        <w:t>11. fiscal performance;</w:t>
      </w:r>
    </w:p>
    <w:p>
      <w:pPr>
        <w:pStyle w:val="LegalNumber2"/>
      </w:pPr>
      <w:r>
        <w:rPr>
          <w:rFonts w:ascii="Times New Roman" w:hAnsi="Times New Roman"/>
          <w:b w:val="0"/>
          <w:color w:val="111827"/>
          <w:sz w:val="22"/>
        </w:rPr>
        <w:t>12. effects on unregulated markets;</w:t>
      </w:r>
    </w:p>
    <w:p>
      <w:pPr>
        <w:pStyle w:val="LegalNumber2"/>
      </w:pPr>
      <w:r>
        <w:rPr>
          <w:rFonts w:ascii="Times New Roman" w:hAnsi="Times New Roman"/>
          <w:b w:val="0"/>
          <w:color w:val="111827"/>
          <w:sz w:val="22"/>
        </w:rPr>
        <w:t>13. discrimination and harassment;</w:t>
      </w:r>
    </w:p>
    <w:p>
      <w:pPr>
        <w:pStyle w:val="LegalNumber2"/>
      </w:pPr>
      <w:r>
        <w:rPr>
          <w:rFonts w:ascii="Times New Roman" w:hAnsi="Times New Roman"/>
          <w:b w:val="0"/>
          <w:color w:val="111827"/>
          <w:sz w:val="22"/>
        </w:rPr>
        <w:t>14. platform compliance;</w:t>
      </w:r>
    </w:p>
    <w:p>
      <w:pPr>
        <w:pStyle w:val="LegalNumber2"/>
      </w:pPr>
      <w:r>
        <w:rPr>
          <w:rFonts w:ascii="Times New Roman" w:hAnsi="Times New Roman"/>
          <w:b w:val="0"/>
          <w:color w:val="111827"/>
          <w:sz w:val="22"/>
        </w:rPr>
        <w:t>15. worker-controlled cooperative development.</w:t>
      </w:r>
    </w:p>
    <w:p>
      <w:pPr>
        <w:pStyle w:val="LegalNumber"/>
      </w:pPr>
      <w:r>
        <w:rPr>
          <w:rFonts w:ascii="Times New Roman" w:hAnsi="Times New Roman"/>
          <w:b w:val="0"/>
          <w:color w:val="111827"/>
          <w:sz w:val="22"/>
        </w:rPr>
        <w:t>3. Evaluators shall use privacy-preserving methods and shall not collect personally identifying information unless necessary, consensual, and protected.</w:t>
      </w:r>
    </w:p>
    <w:p>
      <w:pPr>
        <w:spacing w:after="80"/>
      </w:pPr>
    </w:p>
    <w:p>
      <w:pPr>
        <w:pStyle w:val="SectionHeading"/>
      </w:pPr>
      <w:r>
        <w:rPr>
          <w:rFonts w:ascii="Arial" w:hAnsi="Arial"/>
          <w:b/>
          <w:color w:val="0B2545"/>
          <w:sz w:val="21"/>
        </w:rPr>
        <w:t>SECTION 1505. Severability.</w:t>
      </w:r>
    </w:p>
    <w:p>
      <w:pPr>
        <w:pStyle w:val="LegalBody"/>
      </w:pPr>
      <w:r>
        <w:rPr>
          <w:rFonts w:ascii="Times New Roman" w:hAnsi="Times New Roman"/>
          <w:b w:val="0"/>
          <w:color w:val="111827"/>
          <w:sz w:val="22"/>
        </w:rPr>
        <w:t>If any provision of this Act or its application to any person or circumstance is held invalid, the invalidity shall not affect other provisions or applications that can be given effect without the invalid provision or application. The provisions of this Act are severable.</w:t>
      </w:r>
    </w:p>
    <w:p>
      <w:pPr>
        <w:spacing w:after="80"/>
      </w:pPr>
    </w:p>
    <w:p>
      <w:pPr>
        <w:pStyle w:val="SectionHeading"/>
      </w:pPr>
      <w:r>
        <w:rPr>
          <w:rFonts w:ascii="Arial" w:hAnsi="Arial"/>
          <w:b/>
          <w:color w:val="0B2545"/>
          <w:sz w:val="21"/>
        </w:rPr>
        <w:t>SECTION 1506. Effective date.</w:t>
      </w:r>
    </w:p>
    <w:p>
      <w:pPr>
        <w:pStyle w:val="LegalBody"/>
      </w:pPr>
      <w:r>
        <w:rPr>
          <w:rFonts w:ascii="Times New Roman" w:hAnsi="Times New Roman"/>
          <w:b w:val="0"/>
          <w:color w:val="111827"/>
          <w:sz w:val="22"/>
        </w:rPr>
        <w:t>This Act takes effect 180 days after enactment, except that Sections 1 through 5, 104, 701, 1201, 1204, 1501, 1502, 1503, 1505, and this section take effect immediately.</w:t>
      </w:r>
    </w:p>
    <w:p>
      <w:pPr>
        <w:spacing w:after="80"/>
      </w:pPr>
    </w:p>
    <w:p>
      <w:pPr>
        <w:pStyle w:val="LegalBody"/>
      </w:pPr>
      <w:r>
        <w:rPr>
          <w:rFonts w:ascii="Times New Roman" w:hAnsi="Times New Roman"/>
          <w:b w:val="0"/>
          <w:color w:val="111827"/>
          <w:sz w:val="22"/>
        </w:rPr>
        <w:t>Section commentary</w:t>
      </w:r>
    </w:p>
    <w:p>
      <w:pPr>
        <w:pStyle w:val="LegalBody"/>
      </w:pPr>
      <w:r>
        <w:rPr>
          <w:rFonts w:ascii="Times New Roman" w:hAnsi="Times New Roman"/>
          <w:b w:val="0"/>
          <w:color w:val="111827"/>
          <w:sz w:val="22"/>
        </w:rPr>
        <w:t>Core architecture. The bill legalizes consensual adult intimate work but makes legalization conditional on consent, worker autonomy, confidential worker certification, licensed operators, regulated premises, privacy-protective platform rules, and strong civil/criminal remedies.</w:t>
      </w:r>
    </w:p>
    <w:p>
      <w:pPr>
        <w:pStyle w:val="LegalBody"/>
      </w:pPr>
      <w:r>
        <w:rPr>
          <w:rFonts w:ascii="Times New Roman" w:hAnsi="Times New Roman"/>
          <w:b w:val="0"/>
          <w:color w:val="111827"/>
          <w:sz w:val="22"/>
        </w:rPr>
        <w:t>Why confidential worker certification instead of public registration. A public registry would invite outing, stalking, housing discrimination, employment discrimination, immigration threats, child-custody misuse, and blackmail. The Act verifies adulthood and training while shielding identity. The worker is not criminalized for certification lapses; businesses face stronger regulation.</w:t>
      </w:r>
    </w:p>
    <w:p>
      <w:pPr>
        <w:pStyle w:val="LegalBody"/>
      </w:pPr>
      <w:r>
        <w:rPr>
          <w:rFonts w:ascii="Times New Roman" w:hAnsi="Times New Roman"/>
          <w:b w:val="0"/>
          <w:color w:val="111827"/>
          <w:sz w:val="22"/>
        </w:rPr>
        <w:t>Why operators face the heaviest regulation. Coercion, trafficking, unsafe premises, hidden ownership, wage theft, exploitative contracts, and money laundering are most likely to arise through managers, agencies, establishments, financiers, and platforms. The bill therefore imposes background checks, beneficial ownership disclosure, safety plans, financial records, anti-money-laundering controls, insurance, inspections, and license discipline on operators.</w:t>
      </w:r>
    </w:p>
    <w:p>
      <w:pPr>
        <w:pStyle w:val="LegalBody"/>
      </w:pPr>
      <w:r>
        <w:rPr>
          <w:rFonts w:ascii="Times New Roman" w:hAnsi="Times New Roman"/>
          <w:b w:val="0"/>
          <w:color w:val="111827"/>
          <w:sz w:val="22"/>
        </w:rPr>
        <w:t>Consent provisions. The Act makes consent granular: consent to one act is not consent to another; consent to work is not consent to a client; consent to recording is not consent to distribution; and payment never purchases irrevocable access. This is the bill’s beating heart.</w:t>
      </w:r>
    </w:p>
    <w:p>
      <w:pPr>
        <w:pStyle w:val="LegalBody"/>
      </w:pPr>
      <w:r>
        <w:rPr>
          <w:rFonts w:ascii="Times New Roman" w:hAnsi="Times New Roman"/>
          <w:b w:val="0"/>
          <w:color w:val="111827"/>
          <w:sz w:val="22"/>
        </w:rPr>
        <w:t>Labor provisions. The bill blocks the classic coercion toolkit: noncompetes, debt bondage, quotas, document confiscation, forced alcohol consumption, punitive fees, room-fee traps, mandatory acts, and retaliation. It also allows cooperatives and collective representation.</w:t>
      </w:r>
    </w:p>
    <w:p>
      <w:pPr>
        <w:pStyle w:val="LegalBody"/>
      </w:pPr>
      <w:r>
        <w:rPr>
          <w:rFonts w:ascii="Times New Roman" w:hAnsi="Times New Roman"/>
          <w:b w:val="0"/>
          <w:color w:val="111827"/>
          <w:sz w:val="22"/>
        </w:rPr>
        <w:t>Health provisions. The bill rejects punitive mandatory testing as a licensing gate and instead funds voluntary confidential healthcare, prevention, trauma care, mental health care, and peer outreach. Establishments must provide sanitation, safety supplies, panic systems, and health notices.</w:t>
      </w:r>
    </w:p>
    <w:p>
      <w:pPr>
        <w:pStyle w:val="LegalBody"/>
      </w:pPr>
      <w:r>
        <w:rPr>
          <w:rFonts w:ascii="Times New Roman" w:hAnsi="Times New Roman"/>
          <w:b w:val="0"/>
          <w:color w:val="111827"/>
          <w:sz w:val="22"/>
        </w:rPr>
        <w:t>Victim and survivor provisions. Survivors can report confidentially, receive services without leaving the industry or cooperating with police, obtain emergency protective orders, preserve evidence, seek takedowns, pursue civil remedies, and avoid prosecution for conduct caused by exploitation.</w:t>
      </w:r>
    </w:p>
    <w:p>
      <w:pPr>
        <w:pStyle w:val="LegalBody"/>
      </w:pPr>
      <w:r>
        <w:rPr>
          <w:rFonts w:ascii="Times New Roman" w:hAnsi="Times New Roman"/>
          <w:b w:val="0"/>
          <w:color w:val="111827"/>
          <w:sz w:val="22"/>
        </w:rPr>
        <w:t>Due process. The Act includes notice, response, evidence access, appeal, confidentiality, standards of proof, limits on anonymous claims for final adverse action, and penalties for knowingly false malicious claims. It expressly says that unproven claims are not automatically false.</w:t>
      </w:r>
    </w:p>
    <w:p>
      <w:pPr>
        <w:pStyle w:val="LegalBody"/>
      </w:pPr>
      <w:r>
        <w:rPr>
          <w:rFonts w:ascii="Times New Roman" w:hAnsi="Times New Roman"/>
          <w:b w:val="0"/>
          <w:color w:val="111827"/>
          <w:sz w:val="22"/>
        </w:rPr>
        <w:t>Digital and advertising rules. The Act permits adult advertising but narrows where and how it may appear. Public-facing ads cannot show explicit conduct, target minors, use childlike imagery, or disclose private identity. Online explicit ads require age-gating and consent verification. Platforms have takedown, verification, privacy, reporting, and transparency obligations.</w:t>
      </w:r>
    </w:p>
    <w:p>
      <w:pPr>
        <w:pStyle w:val="LegalBody"/>
      </w:pPr>
      <w:r>
        <w:rPr>
          <w:rFonts w:ascii="Times New Roman" w:hAnsi="Times New Roman"/>
          <w:b w:val="0"/>
          <w:color w:val="111827"/>
          <w:sz w:val="22"/>
        </w:rPr>
        <w:t>Local control. Local governments may regulate spacing, signage, hours, parking, nuisance, and density, but cannot turn regulation into a ban. The Act uses default spacing rules and Commission review to prevent both oversaturation and prohibition-by-zoning.</w:t>
      </w:r>
    </w:p>
    <w:p>
      <w:pPr>
        <w:spacing w:after="80"/>
      </w:pPr>
    </w:p>
    <w:p>
      <w:pPr>
        <w:pStyle w:val="LegalBody"/>
      </w:pPr>
      <w:r>
        <w:rPr>
          <w:rFonts w:ascii="Times New Roman" w:hAnsi="Times New Roman"/>
          <w:b w:val="0"/>
          <w:color w:val="111827"/>
          <w:sz w:val="22"/>
        </w:rPr>
        <w:t>Constitutional and legal-risk analysis</w:t>
      </w:r>
    </w:p>
    <w:p>
      <w:pPr>
        <w:pStyle w:val="LegalBody"/>
      </w:pPr>
      <w:r>
        <w:rPr>
          <w:rFonts w:ascii="Times New Roman" w:hAnsi="Times New Roman"/>
          <w:b w:val="0"/>
          <w:color w:val="111827"/>
          <w:sz w:val="22"/>
        </w:rPr>
        <w:t>State authority. A state has broad police-power authority over health, safety, labor standards, occupational licensing, taxation, land use, consumer protection, privacy, and criminal law. The strongest state-interest pillars are preventing trafficking, sexual violence, exploitation of minors, coercion, nonconsensual content, harassment, unsafe premises, and money laundering.</w:t>
      </w:r>
    </w:p>
    <w:p>
      <w:pPr>
        <w:pStyle w:val="LegalBody"/>
      </w:pPr>
      <w:r>
        <w:rPr>
          <w:rFonts w:ascii="Times New Roman" w:hAnsi="Times New Roman"/>
          <w:b w:val="0"/>
          <w:color w:val="111827"/>
          <w:sz w:val="22"/>
        </w:rPr>
        <w:t>Federal trafficking law. State legalization cannot displace federal trafficking law. The draft preserves and parallels federal concepts of force, fraud, coercion, minors, advertising, patronizing, and financial benefit in trafficking ventures.</w:t>
      </w:r>
    </w:p>
    <w:p>
      <w:pPr>
        <w:pStyle w:val="LegalBody"/>
      </w:pPr>
      <w:r>
        <w:rPr>
          <w:rFonts w:ascii="Times New Roman" w:hAnsi="Times New Roman"/>
          <w:b w:val="0"/>
          <w:color w:val="111827"/>
          <w:sz w:val="22"/>
        </w:rPr>
        <w:t>Section 230. The highest digital-litigation risk is imposing state liability on platforms for third-party content. The draft limits platform duties to certification, age and consent verification, notice-and-action procedures, own-business practices, actual-knowledge responses, transparency, and privacy duties, and expressly saves federal preemption.</w:t>
      </w:r>
    </w:p>
    <w:p>
      <w:pPr>
        <w:pStyle w:val="LegalBody"/>
      </w:pPr>
      <w:r>
        <w:rPr>
          <w:rFonts w:ascii="Times New Roman" w:hAnsi="Times New Roman"/>
          <w:b w:val="0"/>
          <w:color w:val="111827"/>
          <w:sz w:val="22"/>
        </w:rPr>
        <w:t>First Amendment, advertising, and signage. Adult intimate-work advertising, adult entertainment, and adult content implicate protected expression and commercial speech. The draft avoids a blanket advertising ban, uses objective public-facing limits, permits truthful lawful advertising in adult channels, and ties restrictions to minors, deception, consent, privacy, trafficking prevention, and secondary effects. Commercial-speech restrictions should be tested under Central Hudson, while public signage and zoning rules should avoid content discrimination and excessive breadth.</w:t>
      </w:r>
    </w:p>
    <w:p>
      <w:pPr>
        <w:pStyle w:val="LegalBody"/>
      </w:pPr>
      <w:r>
        <w:rPr>
          <w:rFonts w:ascii="Times New Roman" w:hAnsi="Times New Roman"/>
          <w:b w:val="0"/>
          <w:color w:val="111827"/>
          <w:sz w:val="22"/>
        </w:rPr>
        <w:t>Adult websites and age verification. Free Speech Coalition v. Paxton strengthens the state’s ability to require age verification for commercial websites distributing material obscene to minors, but privacy remains a litigation and policy risk. The draft therefore requires privacy-preserving age verification, data minimization, deletion, no sale of data, breach notice, and limited retention.</w:t>
      </w:r>
    </w:p>
    <w:p>
      <w:pPr>
        <w:pStyle w:val="LegalBody"/>
      </w:pPr>
      <w:r>
        <w:rPr>
          <w:rFonts w:ascii="Times New Roman" w:hAnsi="Times New Roman"/>
          <w:b w:val="0"/>
          <w:color w:val="111827"/>
          <w:sz w:val="22"/>
        </w:rPr>
        <w:t>Equal protection and civil rights. The Act is facially inclusive and prohibits discrimination based on sex, sexual orientation, gender identity, gender expression, race, disability, age, immigration status, body size, health status, and lawful adult intimate work. The state may provide protections broader than federal law, although specific gender-identity applications can become politically and legally contested depending on jurisdiction.</w:t>
      </w:r>
    </w:p>
    <w:p>
      <w:pPr>
        <w:pStyle w:val="LegalBody"/>
      </w:pPr>
      <w:r>
        <w:rPr>
          <w:rFonts w:ascii="Times New Roman" w:hAnsi="Times New Roman"/>
          <w:b w:val="0"/>
          <w:color w:val="111827"/>
          <w:sz w:val="22"/>
        </w:rPr>
        <w:t>Fourth Amendment and privacy. Inspection provisions limit entry into private rooms, ban intimate-area surveillance, require lawful process for sensitive records, and keep certification records confidential. Those limits reduce search, seizure, and privacy challenges.</w:t>
      </w:r>
    </w:p>
    <w:p>
      <w:pPr>
        <w:pStyle w:val="LegalBody"/>
      </w:pPr>
      <w:r>
        <w:rPr>
          <w:rFonts w:ascii="Times New Roman" w:hAnsi="Times New Roman"/>
          <w:b w:val="0"/>
          <w:color w:val="111827"/>
          <w:sz w:val="22"/>
        </w:rPr>
        <w:t>Due process. License denial, suspension, revocation, and discipline include notice, hearing, written findings, appeal, and judicial review. Emergency suspensions are limited to imminent serious risk and require rapid hearings.</w:t>
      </w:r>
    </w:p>
    <w:p>
      <w:pPr>
        <w:pStyle w:val="LegalBody"/>
      </w:pPr>
      <w:r>
        <w:rPr>
          <w:rFonts w:ascii="Times New Roman" w:hAnsi="Times New Roman"/>
          <w:b w:val="0"/>
          <w:color w:val="111827"/>
          <w:sz w:val="22"/>
        </w:rPr>
        <w:t>Dormant Commerce Clause. Platform and content provisions should apply to businesses doing business in the state, users located in the state, content produced in the state, or transactions directed to the state. Enforcement should avoid extraterritorial control of wholly out-of-state transactions.</w:t>
      </w:r>
    </w:p>
    <w:p>
      <w:pPr>
        <w:spacing w:after="80"/>
      </w:pPr>
    </w:p>
    <w:p>
      <w:r>
        <w:br w:type="page"/>
      </w:r>
    </w:p>
    <w:p>
      <w:pPr>
        <w:pStyle w:val="AppendixHeading"/>
      </w:pPr>
      <w:r>
        <w:rPr>
          <w:rFonts w:ascii="Arial" w:hAnsi="Arial"/>
          <w:b/>
          <w:color w:val="0B2545"/>
          <w:sz w:val="30"/>
        </w:rPr>
        <w:t>Appendix A. Fiscal note, model estimate</w:t>
      </w:r>
    </w:p>
    <w:p>
      <w:pPr>
        <w:pStyle w:val="LegalBody"/>
      </w:pPr>
      <w:r>
        <w:rPr>
          <w:rFonts w:ascii="Times New Roman" w:hAnsi="Times New Roman"/>
          <w:b w:val="0"/>
          <w:color w:val="111827"/>
          <w:sz w:val="22"/>
        </w:rPr>
        <w:t>Assumption: mid-sized state, 5 million residents, 2,500 to 6,000 workers transitioning over five years, 100 to 300 licensed businesses, and significant online-platform compliance activity.</w:t>
      </w:r>
    </w:p>
    <w:p>
      <w:pPr>
        <w:pStyle w:val="LegalBody"/>
      </w:pPr>
      <w:r>
        <w:rPr>
          <w:rFonts w:ascii="Times New Roman" w:hAnsi="Times New Roman"/>
          <w:b w:val="0"/>
          <w:color w:val="111827"/>
          <w:sz w:val="22"/>
        </w:rPr>
        <w:t>Year 1 startup costs: $12 million to $25 million. Major cost centers: Commission setup, rulemaking, IT systems, confidential licensing database, legal forms, survivor-services launch, training curriculum, local government technical assistance, public education, and initial grants.</w:t>
      </w:r>
    </w:p>
    <w:p>
      <w:pPr>
        <w:pStyle w:val="LegalBody"/>
      </w:pPr>
      <w:r>
        <w:rPr>
          <w:rFonts w:ascii="Times New Roman" w:hAnsi="Times New Roman"/>
          <w:b w:val="0"/>
          <w:color w:val="111827"/>
          <w:sz w:val="22"/>
        </w:rPr>
        <w:t>Annual operating costs after full rollout: $25 million to $60 million. Major cost centers: inspections, licensing staff, privacy/security staff, public-health grants, survivor services, legal aid, platform compliance, data auditing, enforcement, worker navigators, and annual reporting.</w:t>
      </w:r>
    </w:p>
    <w:p>
      <w:pPr>
        <w:pStyle w:val="LegalBody"/>
      </w:pPr>
      <w:r>
        <w:rPr>
          <w:rFonts w:ascii="Times New Roman" w:hAnsi="Times New Roman"/>
          <w:b w:val="0"/>
          <w:color w:val="111827"/>
          <w:sz w:val="22"/>
        </w:rPr>
        <w:t>Annual revenue after full rollout: $20 million to $75 million, depending on market size, licensing uptake, platform coverage, and gross receipts. The 4 percent business excise tax is intentionally moderate to avoid recreating underground markets. Worker earnings are not subject to the special excise tax.</w:t>
      </w:r>
    </w:p>
    <w:p>
      <w:pPr>
        <w:pStyle w:val="LegalBody"/>
      </w:pPr>
      <w:r>
        <w:rPr>
          <w:rFonts w:ascii="Times New Roman" w:hAnsi="Times New Roman"/>
          <w:b w:val="0"/>
          <w:color w:val="111827"/>
          <w:sz w:val="22"/>
        </w:rPr>
        <w:t>Best case: high licensing uptake, low litigation, strong cooperative formation, improved reporting, lower violent victimization, and sufficient revenue to fund services.</w:t>
      </w:r>
    </w:p>
    <w:p>
      <w:pPr>
        <w:pStyle w:val="LegalBody"/>
      </w:pPr>
      <w:r>
        <w:rPr>
          <w:rFonts w:ascii="Times New Roman" w:hAnsi="Times New Roman"/>
          <w:b w:val="0"/>
          <w:color w:val="111827"/>
          <w:sz w:val="22"/>
        </w:rPr>
        <w:t>Base case: licensing uptake takes three years, some local zoning litigation, stable revenue, increased reporting of violence and trafficking during early years due to improved trust.</w:t>
      </w:r>
    </w:p>
    <w:p>
      <w:pPr>
        <w:pStyle w:val="LegalBody"/>
      </w:pPr>
      <w:r>
        <w:rPr>
          <w:rFonts w:ascii="Times New Roman" w:hAnsi="Times New Roman"/>
          <w:b w:val="0"/>
          <w:color w:val="111827"/>
          <w:sz w:val="22"/>
        </w:rPr>
        <w:t>Worst case: excessive local resistance, privacy breach, platform noncompliance, underfunded services, or over-policing of workers pushes activity back underground. The Act’s worker safe harbor, fee caps, privacy rules, and anti-ban local-control provisions are designed to blunt that risk.</w:t>
      </w:r>
    </w:p>
    <w:p>
      <w:pPr>
        <w:spacing w:after="80"/>
      </w:pPr>
    </w:p>
    <w:p>
      <w:r>
        <w:br w:type="page"/>
      </w:r>
    </w:p>
    <w:p>
      <w:pPr>
        <w:pStyle w:val="AppendixHeading"/>
      </w:pPr>
      <w:r>
        <w:rPr>
          <w:rFonts w:ascii="Arial" w:hAnsi="Arial"/>
          <w:b/>
          <w:color w:val="0B2545"/>
          <w:sz w:val="30"/>
        </w:rPr>
        <w:t>Appendix B. Implementation roadmap</w:t>
      </w:r>
    </w:p>
    <w:p>
      <w:pPr>
        <w:pStyle w:val="RoadmapHeading"/>
      </w:pPr>
      <w:r>
        <w:rPr>
          <w:rFonts w:ascii="Arial" w:hAnsi="Arial"/>
          <w:b/>
          <w:color w:val="0B2545"/>
          <w:sz w:val="22"/>
        </w:rPr>
        <w:t>0 to 90 days</w:t>
      </w:r>
    </w:p>
    <w:p>
      <w:pPr>
        <w:pStyle w:val="ListBullet"/>
      </w:pPr>
      <w:r>
        <w:rPr>
          <w:rFonts w:ascii="Times New Roman" w:hAnsi="Times New Roman"/>
          <w:color w:val="111827"/>
          <w:sz w:val="22"/>
        </w:rPr>
        <w:t>Appoint implementation director.</w:t>
      </w:r>
    </w:p>
    <w:p>
      <w:pPr>
        <w:pStyle w:val="ListBullet"/>
      </w:pPr>
      <w:r>
        <w:rPr>
          <w:rFonts w:ascii="Times New Roman" w:hAnsi="Times New Roman"/>
          <w:color w:val="111827"/>
          <w:sz w:val="22"/>
        </w:rPr>
        <w:t>Begin Commission appointments.</w:t>
      </w:r>
    </w:p>
    <w:p>
      <w:pPr>
        <w:pStyle w:val="ListBullet"/>
      </w:pPr>
      <w:r>
        <w:rPr>
          <w:rFonts w:ascii="Times New Roman" w:hAnsi="Times New Roman"/>
          <w:color w:val="111827"/>
          <w:sz w:val="22"/>
        </w:rPr>
        <w:t>Issue law enforcement nonprosecution guidance.</w:t>
      </w:r>
    </w:p>
    <w:p>
      <w:pPr>
        <w:pStyle w:val="ListBullet"/>
      </w:pPr>
      <w:r>
        <w:rPr>
          <w:rFonts w:ascii="Times New Roman" w:hAnsi="Times New Roman"/>
          <w:color w:val="111827"/>
          <w:sz w:val="22"/>
        </w:rPr>
        <w:t>Publish expungement and vacatur forms.</w:t>
      </w:r>
    </w:p>
    <w:p>
      <w:pPr>
        <w:pStyle w:val="ListBullet"/>
      </w:pPr>
      <w:r>
        <w:rPr>
          <w:rFonts w:ascii="Times New Roman" w:hAnsi="Times New Roman"/>
          <w:color w:val="111827"/>
          <w:sz w:val="22"/>
        </w:rPr>
        <w:t>Fund emergency survivor-service grants.</w:t>
      </w:r>
    </w:p>
    <w:p>
      <w:pPr>
        <w:pStyle w:val="ListBullet"/>
      </w:pPr>
      <w:r>
        <w:rPr>
          <w:rFonts w:ascii="Times New Roman" w:hAnsi="Times New Roman"/>
          <w:color w:val="111827"/>
          <w:sz w:val="22"/>
        </w:rPr>
        <w:t>Begin stakeholder listening sessions.</w:t>
      </w:r>
    </w:p>
    <w:p>
      <w:pPr>
        <w:pStyle w:val="RoadmapHeading"/>
      </w:pPr>
      <w:r>
        <w:rPr>
          <w:rFonts w:ascii="Arial" w:hAnsi="Arial"/>
          <w:b/>
          <w:color w:val="0B2545"/>
          <w:sz w:val="22"/>
        </w:rPr>
        <w:t>3 to 6 months</w:t>
      </w:r>
    </w:p>
    <w:p>
      <w:pPr>
        <w:pStyle w:val="ListBullet"/>
      </w:pPr>
      <w:r>
        <w:rPr>
          <w:rFonts w:ascii="Times New Roman" w:hAnsi="Times New Roman"/>
          <w:color w:val="111827"/>
          <w:sz w:val="22"/>
        </w:rPr>
        <w:t>Draft model rules.</w:t>
      </w:r>
    </w:p>
    <w:p>
      <w:pPr>
        <w:pStyle w:val="ListBullet"/>
      </w:pPr>
      <w:r>
        <w:rPr>
          <w:rFonts w:ascii="Times New Roman" w:hAnsi="Times New Roman"/>
          <w:color w:val="111827"/>
          <w:sz w:val="22"/>
        </w:rPr>
        <w:t>Build confidential certification system.</w:t>
      </w:r>
    </w:p>
    <w:p>
      <w:pPr>
        <w:pStyle w:val="ListBullet"/>
      </w:pPr>
      <w:r>
        <w:rPr>
          <w:rFonts w:ascii="Times New Roman" w:hAnsi="Times New Roman"/>
          <w:color w:val="111827"/>
          <w:sz w:val="22"/>
        </w:rPr>
        <w:t>Draft model local zoning ordinance.</w:t>
      </w:r>
    </w:p>
    <w:p>
      <w:pPr>
        <w:pStyle w:val="ListBullet"/>
      </w:pPr>
      <w:r>
        <w:rPr>
          <w:rFonts w:ascii="Times New Roman" w:hAnsi="Times New Roman"/>
          <w:color w:val="111827"/>
          <w:sz w:val="22"/>
        </w:rPr>
        <w:t>Create worker training and operator training.</w:t>
      </w:r>
    </w:p>
    <w:p>
      <w:pPr>
        <w:pStyle w:val="ListBullet"/>
      </w:pPr>
      <w:r>
        <w:rPr>
          <w:rFonts w:ascii="Times New Roman" w:hAnsi="Times New Roman"/>
          <w:color w:val="111827"/>
          <w:sz w:val="22"/>
        </w:rPr>
        <w:t>Launch public education on consent, reporting, and transition.</w:t>
      </w:r>
    </w:p>
    <w:p>
      <w:pPr>
        <w:pStyle w:val="ListBullet"/>
      </w:pPr>
      <w:r>
        <w:rPr>
          <w:rFonts w:ascii="Times New Roman" w:hAnsi="Times New Roman"/>
          <w:color w:val="111827"/>
          <w:sz w:val="22"/>
        </w:rPr>
        <w:t>Establish data privacy architecture.</w:t>
      </w:r>
    </w:p>
    <w:p>
      <w:pPr>
        <w:pStyle w:val="RoadmapHeading"/>
      </w:pPr>
      <w:r>
        <w:rPr>
          <w:rFonts w:ascii="Arial" w:hAnsi="Arial"/>
          <w:b/>
          <w:color w:val="0B2545"/>
          <w:sz w:val="22"/>
        </w:rPr>
        <w:t>6 to 12 months</w:t>
      </w:r>
    </w:p>
    <w:p>
      <w:pPr>
        <w:pStyle w:val="ListBullet"/>
      </w:pPr>
      <w:r>
        <w:rPr>
          <w:rFonts w:ascii="Times New Roman" w:hAnsi="Times New Roman"/>
          <w:color w:val="111827"/>
          <w:sz w:val="22"/>
        </w:rPr>
        <w:t>Finalize rules.</w:t>
      </w:r>
    </w:p>
    <w:p>
      <w:pPr>
        <w:pStyle w:val="ListBullet"/>
      </w:pPr>
      <w:r>
        <w:rPr>
          <w:rFonts w:ascii="Times New Roman" w:hAnsi="Times New Roman"/>
          <w:color w:val="111827"/>
          <w:sz w:val="22"/>
        </w:rPr>
        <w:t>Open worker certification.</w:t>
      </w:r>
    </w:p>
    <w:p>
      <w:pPr>
        <w:pStyle w:val="ListBullet"/>
      </w:pPr>
      <w:r>
        <w:rPr>
          <w:rFonts w:ascii="Times New Roman" w:hAnsi="Times New Roman"/>
          <w:color w:val="111827"/>
          <w:sz w:val="22"/>
        </w:rPr>
        <w:t>Open operator licensing.</w:t>
      </w:r>
    </w:p>
    <w:p>
      <w:pPr>
        <w:pStyle w:val="ListBullet"/>
      </w:pPr>
      <w:r>
        <w:rPr>
          <w:rFonts w:ascii="Times New Roman" w:hAnsi="Times New Roman"/>
          <w:color w:val="111827"/>
          <w:sz w:val="22"/>
        </w:rPr>
        <w:t>Open platform certification.</w:t>
      </w:r>
    </w:p>
    <w:p>
      <w:pPr>
        <w:pStyle w:val="ListBullet"/>
      </w:pPr>
      <w:r>
        <w:rPr>
          <w:rFonts w:ascii="Times New Roman" w:hAnsi="Times New Roman"/>
          <w:color w:val="111827"/>
          <w:sz w:val="22"/>
        </w:rPr>
        <w:t>Begin cooperative technical assistance.</w:t>
      </w:r>
    </w:p>
    <w:p>
      <w:pPr>
        <w:pStyle w:val="ListBullet"/>
      </w:pPr>
      <w:r>
        <w:rPr>
          <w:rFonts w:ascii="Times New Roman" w:hAnsi="Times New Roman"/>
          <w:color w:val="111827"/>
          <w:sz w:val="22"/>
        </w:rPr>
        <w:t>Start pilot inspections focused on compliance assistance.</w:t>
      </w:r>
    </w:p>
    <w:p>
      <w:pPr>
        <w:pStyle w:val="RoadmapHeading"/>
      </w:pPr>
      <w:r>
        <w:rPr>
          <w:rFonts w:ascii="Arial" w:hAnsi="Arial"/>
          <w:b/>
          <w:color w:val="0B2545"/>
          <w:sz w:val="22"/>
        </w:rPr>
        <w:t>Year 2</w:t>
      </w:r>
    </w:p>
    <w:p>
      <w:pPr>
        <w:pStyle w:val="ListBullet"/>
      </w:pPr>
      <w:r>
        <w:rPr>
          <w:rFonts w:ascii="Times New Roman" w:hAnsi="Times New Roman"/>
          <w:color w:val="111827"/>
          <w:sz w:val="22"/>
        </w:rPr>
        <w:t>Begin full business licensing enforcement.</w:t>
      </w:r>
    </w:p>
    <w:p>
      <w:pPr>
        <w:pStyle w:val="ListBullet"/>
      </w:pPr>
      <w:r>
        <w:rPr>
          <w:rFonts w:ascii="Times New Roman" w:hAnsi="Times New Roman"/>
          <w:color w:val="111827"/>
          <w:sz w:val="22"/>
        </w:rPr>
        <w:t>Begin excise tax collection.</w:t>
      </w:r>
    </w:p>
    <w:p>
      <w:pPr>
        <w:pStyle w:val="ListBullet"/>
      </w:pPr>
      <w:r>
        <w:rPr>
          <w:rFonts w:ascii="Times New Roman" w:hAnsi="Times New Roman"/>
          <w:color w:val="111827"/>
          <w:sz w:val="22"/>
        </w:rPr>
        <w:t>Launch annual reporting.</w:t>
      </w:r>
    </w:p>
    <w:p>
      <w:pPr>
        <w:pStyle w:val="ListBullet"/>
      </w:pPr>
      <w:r>
        <w:rPr>
          <w:rFonts w:ascii="Times New Roman" w:hAnsi="Times New Roman"/>
          <w:color w:val="111827"/>
          <w:sz w:val="22"/>
        </w:rPr>
        <w:t>Conduct local zoning review.</w:t>
      </w:r>
    </w:p>
    <w:p>
      <w:pPr>
        <w:pStyle w:val="ListBullet"/>
      </w:pPr>
      <w:r>
        <w:rPr>
          <w:rFonts w:ascii="Times New Roman" w:hAnsi="Times New Roman"/>
          <w:color w:val="111827"/>
          <w:sz w:val="22"/>
        </w:rPr>
        <w:t>Expand health and survivor-service networks.</w:t>
      </w:r>
    </w:p>
    <w:p>
      <w:pPr>
        <w:pStyle w:val="ListBullet"/>
      </w:pPr>
      <w:r>
        <w:rPr>
          <w:rFonts w:ascii="Times New Roman" w:hAnsi="Times New Roman"/>
          <w:color w:val="111827"/>
          <w:sz w:val="22"/>
        </w:rPr>
        <w:t>Audit platforms for takedown and age-verification compliance.</w:t>
      </w:r>
    </w:p>
    <w:p>
      <w:pPr>
        <w:pStyle w:val="RoadmapHeading"/>
      </w:pPr>
      <w:r>
        <w:rPr>
          <w:rFonts w:ascii="Arial" w:hAnsi="Arial"/>
          <w:b/>
          <w:color w:val="0B2545"/>
          <w:sz w:val="22"/>
        </w:rPr>
        <w:t>Years 3 to 5</w:t>
      </w:r>
    </w:p>
    <w:p>
      <w:pPr>
        <w:pStyle w:val="ListBullet"/>
      </w:pPr>
      <w:r>
        <w:rPr>
          <w:rFonts w:ascii="Times New Roman" w:hAnsi="Times New Roman"/>
          <w:color w:val="111827"/>
          <w:sz w:val="22"/>
        </w:rPr>
        <w:t>Independent evaluation.</w:t>
      </w:r>
    </w:p>
    <w:p>
      <w:pPr>
        <w:pStyle w:val="ListBullet"/>
      </w:pPr>
      <w:r>
        <w:rPr>
          <w:rFonts w:ascii="Times New Roman" w:hAnsi="Times New Roman"/>
          <w:color w:val="111827"/>
          <w:sz w:val="22"/>
        </w:rPr>
        <w:t>Adjust fees, taxes, zoning, and safety standards.</w:t>
      </w:r>
    </w:p>
    <w:p>
      <w:pPr>
        <w:pStyle w:val="ListBullet"/>
      </w:pPr>
      <w:r>
        <w:rPr>
          <w:rFonts w:ascii="Times New Roman" w:hAnsi="Times New Roman"/>
          <w:color w:val="111827"/>
          <w:sz w:val="22"/>
        </w:rPr>
        <w:t>Expand cooperative grants.</w:t>
      </w:r>
    </w:p>
    <w:p>
      <w:pPr>
        <w:pStyle w:val="ListBullet"/>
      </w:pPr>
      <w:r>
        <w:rPr>
          <w:rFonts w:ascii="Times New Roman" w:hAnsi="Times New Roman"/>
          <w:color w:val="111827"/>
          <w:sz w:val="22"/>
        </w:rPr>
        <w:t>Review whether unregulated market activity is shrinking.</w:t>
      </w:r>
    </w:p>
    <w:p>
      <w:pPr>
        <w:pStyle w:val="ListBullet"/>
      </w:pPr>
      <w:r>
        <w:rPr>
          <w:rFonts w:ascii="Times New Roman" w:hAnsi="Times New Roman"/>
          <w:color w:val="111827"/>
          <w:sz w:val="22"/>
        </w:rPr>
        <w:t>Improve digital privacy standards.</w:t>
      </w:r>
    </w:p>
    <w:p>
      <w:pPr>
        <w:pStyle w:val="ListBullet"/>
      </w:pPr>
      <w:r>
        <w:rPr>
          <w:rFonts w:ascii="Times New Roman" w:hAnsi="Times New Roman"/>
          <w:color w:val="111827"/>
          <w:sz w:val="22"/>
        </w:rPr>
        <w:t>Update anti-trafficking protocols.</w:t>
      </w:r>
    </w:p>
    <w:p>
      <w:pPr>
        <w:pStyle w:val="RoadmapHeading"/>
      </w:pPr>
      <w:r>
        <w:rPr>
          <w:rFonts w:ascii="Arial" w:hAnsi="Arial"/>
          <w:b/>
          <w:color w:val="0B2545"/>
          <w:sz w:val="22"/>
        </w:rPr>
        <w:t>Long-term</w:t>
      </w:r>
    </w:p>
    <w:p>
      <w:pPr>
        <w:pStyle w:val="ListBullet"/>
      </w:pPr>
      <w:r>
        <w:rPr>
          <w:rFonts w:ascii="Times New Roman" w:hAnsi="Times New Roman"/>
          <w:color w:val="111827"/>
          <w:sz w:val="22"/>
        </w:rPr>
        <w:t>Mandatory legislative review at years 5 and 10.</w:t>
      </w:r>
    </w:p>
    <w:p>
      <w:pPr>
        <w:pStyle w:val="ListBullet"/>
      </w:pPr>
      <w:r>
        <w:rPr>
          <w:rFonts w:ascii="Times New Roman" w:hAnsi="Times New Roman"/>
          <w:color w:val="111827"/>
          <w:sz w:val="22"/>
        </w:rPr>
        <w:t>Sunset only specific rules that prove ineffective, not the worker rights, consent, anti-trafficking, privacy, or survivor-service core.</w:t>
      </w:r>
    </w:p>
    <w:p>
      <w:pPr>
        <w:spacing w:after="80"/>
      </w:pPr>
    </w:p>
    <w:p>
      <w:r>
        <w:br w:type="page"/>
      </w:r>
    </w:p>
    <w:p>
      <w:pPr>
        <w:pStyle w:val="AppendixHeading"/>
      </w:pPr>
      <w:r>
        <w:rPr>
          <w:rFonts w:ascii="Arial" w:hAnsi="Arial"/>
          <w:b/>
          <w:color w:val="0B2545"/>
          <w:sz w:val="30"/>
        </w:rPr>
        <w:t>Appendix C. Plain-language summary</w:t>
      </w:r>
    </w:p>
    <w:p>
      <w:pPr>
        <w:pStyle w:val="LegalBody"/>
      </w:pPr>
      <w:r>
        <w:rPr>
          <w:rFonts w:ascii="Times New Roman" w:hAnsi="Times New Roman"/>
          <w:b w:val="0"/>
          <w:color w:val="111827"/>
          <w:sz w:val="22"/>
        </w:rPr>
        <w:t>The SEXY Act says: consenting adults may participate in adult intimate work, but coercion, trafficking, minors, assault, harassment, retaliation, unsafe businesses, abusive contracts, and nonconsensual content are illegal and heavily punished.</w:t>
      </w:r>
    </w:p>
    <w:p>
      <w:pPr>
        <w:pStyle w:val="LegalBody"/>
      </w:pPr>
      <w:r>
        <w:rPr>
          <w:rFonts w:ascii="Times New Roman" w:hAnsi="Times New Roman"/>
          <w:b w:val="0"/>
          <w:color w:val="111827"/>
          <w:sz w:val="22"/>
        </w:rPr>
        <w:t>Workers get control over clients, services, hours, health decisions, recording, distribution, and whether to stop at any moment. Businesses must be licensed, transparent, safe, inspected, insured, and accountable. Platforms must verify age and consent, protect data, remove nonconsensual content, and report serious abuse. Local governments can regulate location and nuisance, but cannot ban the entire lawful market by stealth zoning.</w:t>
      </w:r>
    </w:p>
    <w:p>
      <w:pPr>
        <w:pStyle w:val="LegalBody"/>
      </w:pPr>
      <w:r>
        <w:rPr>
          <w:rFonts w:ascii="Times New Roman" w:hAnsi="Times New Roman"/>
          <w:b w:val="0"/>
          <w:color w:val="111827"/>
          <w:sz w:val="22"/>
        </w:rPr>
        <w:t>The Act funds healthcare, legal aid, survivor support, emergency housing, inspections, public education, anti-trafficking enforcement, and worker cooperatives through business fees and a moderate excise tax.</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Arial" w:hAnsi="Arial"/>
        <w:color w:val="585858"/>
        <w:sz w:val="17"/>
      </w:rPr>
      <w:t xml:space="preserve">Page </w:t>
    </w:r>
    <w:r>
      <w:rPr>
        <w:rFonts w:ascii="Arial" w:hAnsi="Arial"/>
        <w:color w:val="585858"/>
        <w:sz w:val="17"/>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dxa" w:w="9360"/>
      <w:jc w:val="center"/>
      <w:tblLayout w:type="fixed"/>
      <w:tblLook w:firstColumn="1" w:firstRow="1" w:lastColumn="0" w:lastRow="0" w:noHBand="0" w:noVBand="1" w:val="04A0"/>
    </w:tblPr>
    <w:tblGrid>
      <w:gridCol w:w="4680"/>
      <w:gridCol w:w="4680"/>
    </w:tblGrid>
    <w:tr>
      <w:tc>
        <w:tcPr>
          <w:tcW w:type="dxa" w:w="4680"/>
          <w:vAlign w:val="center"/>
          <w:tcBorders>
            <w:top w:val="single" w:sz="0" w:space="0" w:color="FFFFFF"/>
            <w:left w:val="single" w:sz="0" w:space="0" w:color="FFFFFF"/>
            <w:bottom w:val="single" w:sz="0" w:space="0" w:color="FFFFFF"/>
            <w:right w:val="single" w:sz="0" w:space="0" w:color="FFFFFF"/>
          </w:tcBorders>
        </w:tcPr>
        <w:p>
          <w:pPr>
            <w:spacing w:after="0"/>
          </w:pPr>
          <w:r>
            <w:rPr>
              <w:rFonts w:ascii="Arial" w:hAnsi="Arial"/>
              <w:b/>
              <w:color w:val="585858"/>
              <w:sz w:val="17"/>
            </w:rPr>
            <w:t>SEXY Act</w:t>
          </w:r>
        </w:p>
      </w:tc>
      <w:tc>
        <w:tcPr>
          <w:tcW w:type="dxa" w:w="4680"/>
          <w:vAlign w:val="center"/>
          <w:tcBorders>
            <w:top w:val="single" w:sz="0" w:space="0" w:color="FFFFFF"/>
            <w:left w:val="single" w:sz="0" w:space="0" w:color="FFFFFF"/>
            <w:bottom w:val="single" w:sz="0" w:space="0" w:color="FFFFFF"/>
            <w:right w:val="single" w:sz="0" w:space="0" w:color="FFFFFF"/>
          </w:tcBorders>
        </w:tcPr>
        <w:p>
          <w:pPr>
            <w:spacing w:after="0"/>
            <w:jc w:val="right"/>
          </w:pPr>
          <w:r>
            <w:rPr>
              <w:rFonts w:ascii="Arial" w:hAnsi="Arial"/>
              <w:color w:val="585858"/>
              <w:sz w:val="17"/>
            </w:rPr>
            <w:t>Legislative Submission Draft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59" w:lineRule="auto"/>
    </w:pPr>
    <w:rPr>
      <w:rFonts w:ascii="Times New Roman" w:hAnsi="Times New Roman"/>
      <w:color w:val="11182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9" w:lineRule="auto"/>
      <w:ind w:left="475" w:hanging="259"/>
      <w:contextualSpacing/>
    </w:pPr>
    <w:rPr>
      <w:rFonts w:ascii="Times New Roman" w:hAnsi="Times New Roman"/>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Kicker">
    <w:name w:val="Cover Kicker"/>
    <w:pPr>
      <w:spacing w:after="200"/>
      <w:jc w:val="center"/>
    </w:pPr>
    <w:rPr>
      <w:rFonts w:ascii="Arial" w:hAnsi="Arial"/>
      <w:b/>
      <w:color w:val="0B2545"/>
      <w:sz w:val="18"/>
    </w:rPr>
  </w:style>
  <w:style w:type="paragraph" w:customStyle="1" w:styleId="LegislativeTitle">
    <w:name w:val="Legislative Title"/>
    <w:pPr>
      <w:spacing w:before="0" w:after="80"/>
      <w:jc w:val="center"/>
    </w:pPr>
    <w:rPr>
      <w:rFonts w:ascii="Times New Roman" w:hAnsi="Times New Roman"/>
      <w:b/>
      <w:color w:val="0B2545"/>
      <w:sz w:val="54"/>
    </w:rPr>
  </w:style>
  <w:style w:type="paragraph" w:customStyle="1" w:styleId="LegislativeSubtitle">
    <w:name w:val="Legislative Subtitle"/>
    <w:pPr>
      <w:spacing w:after="400"/>
      <w:jc w:val="center"/>
    </w:pPr>
    <w:rPr>
      <w:rFonts w:ascii="Times New Roman" w:hAnsi="Times New Roman"/>
      <w:i/>
      <w:color w:val="585858"/>
      <w:sz w:val="28"/>
    </w:rPr>
  </w:style>
  <w:style w:type="paragraph" w:customStyle="1" w:styleId="ActDescription">
    <w:name w:val="Act Description"/>
    <w:pPr>
      <w:spacing w:line="276" w:lineRule="auto" w:after="160"/>
      <w:jc w:val="both"/>
    </w:pPr>
    <w:rPr>
      <w:rFonts w:ascii="Times New Roman" w:hAnsi="Times New Roman"/>
      <w:color w:val="111827"/>
      <w:sz w:val="22"/>
    </w:rPr>
  </w:style>
  <w:style w:type="paragraph" w:customStyle="1" w:styleId="TitleHeading">
    <w:name w:val="Title Heading"/>
    <w:pPr>
      <w:keepNext/>
      <w:spacing w:before="280" w:after="140"/>
      <w:jc w:val="center"/>
    </w:pPr>
    <w:rPr>
      <w:rFonts w:ascii="Arial" w:hAnsi="Arial"/>
      <w:b/>
      <w:color w:val="0B2545"/>
      <w:sz w:val="22"/>
    </w:rPr>
  </w:style>
  <w:style w:type="paragraph" w:customStyle="1" w:styleId="SectionHeading">
    <w:name w:val="Section Heading"/>
    <w:pPr>
      <w:keepNext/>
      <w:spacing w:before="220" w:after="100"/>
    </w:pPr>
    <w:rPr>
      <w:rFonts w:ascii="Arial" w:hAnsi="Arial"/>
      <w:b/>
      <w:color w:val="0B2545"/>
      <w:sz w:val="21"/>
    </w:rPr>
  </w:style>
  <w:style w:type="paragraph" w:customStyle="1" w:styleId="LegalBody">
    <w:name w:val="Legal Body"/>
    <w:pPr>
      <w:spacing w:line="259" w:lineRule="auto" w:after="100"/>
      <w:jc w:val="both"/>
    </w:pPr>
    <w:rPr>
      <w:rFonts w:ascii="Times New Roman" w:hAnsi="Times New Roman"/>
      <w:color w:val="111827"/>
      <w:sz w:val="22"/>
    </w:rPr>
  </w:style>
  <w:style w:type="paragraph" w:customStyle="1" w:styleId="LegalNumber">
    <w:name w:val="Legal Number"/>
    <w:pPr>
      <w:spacing w:line="259" w:lineRule="auto" w:after="80"/>
      <w:ind w:left="475" w:hanging="360"/>
    </w:pPr>
    <w:rPr>
      <w:rFonts w:ascii="Times New Roman" w:hAnsi="Times New Roman"/>
      <w:color w:val="111827"/>
      <w:sz w:val="22"/>
    </w:rPr>
  </w:style>
  <w:style w:type="paragraph" w:customStyle="1" w:styleId="LegalNumber2">
    <w:name w:val="Legal Number 2"/>
    <w:pPr>
      <w:spacing w:line="259" w:lineRule="auto" w:after="80"/>
      <w:ind w:left="922" w:hanging="360"/>
    </w:pPr>
    <w:rPr>
      <w:rFonts w:ascii="Times New Roman" w:hAnsi="Times New Roman"/>
      <w:color w:val="111827"/>
      <w:sz w:val="22"/>
    </w:rPr>
  </w:style>
  <w:style w:type="paragraph" w:customStyle="1" w:styleId="AppendixHeading">
    <w:name w:val="Appendix Heading"/>
    <w:pPr>
      <w:keepNext/>
      <w:spacing w:before="0" w:after="200"/>
    </w:pPr>
    <w:rPr>
      <w:rFonts w:ascii="Arial" w:hAnsi="Arial"/>
      <w:b/>
      <w:color w:val="0B2545"/>
      <w:sz w:val="30"/>
    </w:rPr>
  </w:style>
  <w:style w:type="paragraph" w:customStyle="1" w:styleId="RoadmapHeading">
    <w:name w:val="Roadmap Heading"/>
    <w:pPr>
      <w:keepNext/>
      <w:spacing w:before="140" w:after="60"/>
    </w:pPr>
    <w:rPr>
      <w:rFonts w:ascii="Arial" w:hAnsi="Arial"/>
      <w:b/>
      <w:color w:val="0B2545"/>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SEXY Act - Legislative Submission Draft</dc:title>
  <dc:subject>Safety, Equity, eXpression, and Yearning Act</dc:subject>
  <dc:creator>python-docx</dc:creator>
  <cp:keywords/>
  <dc:description>Prepared from attached source text with substantive language preserved.</dc:description>
  <cp:lastModifiedBy/>
  <cp:revision>1</cp:revision>
  <dcterms:created xsi:type="dcterms:W3CDTF">2013-12-23T23:15:00Z</dcterms:created>
  <dcterms:modified xsi:type="dcterms:W3CDTF">2013-12-23T23:15:00Z</dcterms:modified>
  <cp:category/>
</cp:coreProperties>
</file>