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verKicker"/>
      </w:pPr>
      <w:r>
        <w:rPr>
          <w:rFonts w:ascii="Calibri" w:hAnsi="Calibri"/>
          <w:b/>
          <w:color w:val="0B2545"/>
          <w:sz w:val="18"/>
        </w:rPr>
        <w:t>LEGISLATIVE SUBMISSION PACKET</w:t>
      </w:r>
    </w:p>
    <w:p>
      <w:pPr>
        <w:pStyle w:val="CoverTitle"/>
      </w:pPr>
      <w:r>
        <w:rPr>
          <w:rFonts w:ascii="Times New Roman" w:hAnsi="Times New Roman"/>
          <w:b/>
          <w:color w:val="0B2545"/>
          <w:sz w:val="52"/>
        </w:rPr>
        <w:t>Information Hygiene and Digital Accountability Act of 2026</w:t>
      </w:r>
    </w:p>
    <w:p>
      <w:pPr>
        <w:pStyle w:val="CoverSubtitle"/>
      </w:pPr>
      <w:r>
        <w:rPr>
          <w:rFonts w:ascii="Calibri" w:hAnsi="Calibri"/>
          <w:i/>
          <w:color w:val="5C6370"/>
          <w:sz w:val="24"/>
        </w:rPr>
        <w:t>Digital Attention Platform Accountability, Provenance, Media Literacy, and Public-Interest Journalism Framework</w:t>
      </w:r>
    </w:p>
    <w:tbl>
      <w:tblPr>
        <w:tblW w:type="dxa" w:w="9360"/>
        <w:jc w:val="left"/>
        <w:tblLayout w:type="fixed"/>
        <w:tblLook w:firstColumn="1" w:firstRow="1" w:lastColumn="0" w:lastRow="0" w:noHBand="0" w:noVBand="1" w:val="04A0"/>
        <w:tblInd w:w="120" w:type="dxa"/>
        <w:tblCellMar>
          <w:top w:w="160" w:type="dxa"/>
          <w:start w:w="180" w:type="dxa"/>
          <w:bottom w:w="160" w:type="dxa"/>
          <w:end w:w="180" w:type="dxa"/>
        </w:tblCellMar>
      </w:tblPr>
      <w:tblGrid>
        <w:gridCol w:w="9360"/>
      </w:tblGrid>
      <w:tr>
        <w:tc>
          <w:tcPr>
            <w:tcW w:type="dxa" w:w="9360"/>
            <w:shd w:fill="F4F6F9"/>
            <w:tcBorders>
              <w:top w:val="single" w:sz="6" w:space="0" w:color="CBD5E1"/>
              <w:left w:val="single" w:sz="6" w:space="0" w:color="CBD5E1"/>
              <w:bottom w:val="single" w:sz="6" w:space="0" w:color="CBD5E1"/>
              <w:right w:val="single" w:sz="6" w:space="0" w:color="CBD5E1"/>
            </w:tcBorders>
          </w:tcPr>
          <w:p>
            <w:pPr>
              <w:pStyle w:val="Lead"/>
              <w:spacing w:after="0"/>
            </w:pPr>
            <w:r>
              <w:rPr>
                <w:rFonts w:ascii="Calibri" w:hAnsi="Calibri"/>
                <w:color w:val="1F2937"/>
                <w:sz w:val="21"/>
              </w:rPr>
              <w:t>A federal framework for large digital attention platforms, synthetic media systems, monetization integrity, research access, media literacy, public-interest journalism, and digital information resilience, designed around speech-safe transparency and consumer-protection duties.</w:t>
            </w:r>
          </w:p>
        </w:tc>
      </w:tr>
    </w:tbl>
    <w:p/>
    <w:tbl>
      <w:tblPr>
        <w:tblW w:type="dxa" w:w="9360"/>
        <w:jc w:val="left"/>
        <w:tblLayout w:type="fixed"/>
        <w:tblLook w:firstColumn="1" w:firstRow="1" w:lastColumn="0" w:lastRow="0" w:noHBand="0" w:noVBand="1" w:val="04A0"/>
        <w:tblInd w:w="120" w:type="dxa"/>
        <w:tblCellMar>
          <w:top w:w="80" w:type="dxa"/>
          <w:start w:w="120" w:type="dxa"/>
          <w:bottom w:w="80" w:type="dxa"/>
          <w:end w:w="120" w:type="dxa"/>
        </w:tblCellMar>
      </w:tblPr>
      <w:tblGrid>
        <w:gridCol w:w="2300"/>
        <w:gridCol w:w="7060"/>
      </w:tblGrid>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Bill</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Information Hygiene and Digital Accountability Act of 2026</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Draft sponsor</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[Insert sponsor]</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Congress</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[Insert Congress]</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Committee referral</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[Insert committee referrals]</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Filing date</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[Insert filing date]</w:t>
            </w:r>
          </w:p>
        </w:tc>
      </w:tr>
      <w:tr>
        <w:tc>
          <w:tcPr>
            <w:tcW w:type="dxa" w:w="2300"/>
            <w:tcBorders>
              <w:top w:val="single" w:sz="6" w:space="0" w:color="CBD5E1"/>
              <w:left w:val="single" w:sz="6" w:space="0" w:color="CBD5E1"/>
              <w:bottom w:val="single" w:sz="6" w:space="0" w:color="CBD5E1"/>
              <w:right w:val="single" w:sz="6" w:space="0" w:color="CBD5E1"/>
            </w:tcBorders>
            <w:vAlign w:val="center"/>
            <w:shd w:fill="E8EEF5"/>
          </w:tcPr>
          <w:p>
            <w:pPr>
              <w:spacing w:after="0"/>
            </w:pPr>
            <w:r>
              <w:rPr>
                <w:rFonts w:ascii="Calibri" w:hAnsi="Calibri"/>
                <w:b/>
                <w:color w:val="0B2545"/>
                <w:sz w:val="19"/>
              </w:rPr>
              <w:t>Submission contents</w:t>
            </w:r>
          </w:p>
        </w:tc>
        <w:tc>
          <w:tcPr>
            <w:tcW w:type="dxa" w:w="7060"/>
            <w:tcBorders>
              <w:top w:val="single" w:sz="6" w:space="0" w:color="CBD5E1"/>
              <w:left w:val="single" w:sz="6" w:space="0" w:color="CBD5E1"/>
              <w:bottom w:val="single" w:sz="6" w:space="0" w:color="CBD5E1"/>
              <w:right w:val="single" w:sz="6" w:space="0" w:color="CBD5E1"/>
            </w:tcBorders>
            <w:vAlign w:val="center"/>
          </w:tcPr>
          <w:p>
            <w:pPr>
              <w:spacing w:after="0"/>
            </w:pPr>
            <w:r>
              <w:rPr>
                <w:rFonts w:ascii="Calibri" w:hAnsi="Calibri"/>
                <w:color w:val="1F2937"/>
                <w:sz w:val="20"/>
              </w:rPr>
              <w:t>Drafting overview; proposed legislation; section commentary; constitutional and litigation risk analysis; fiscal note; implementation roadmap; quality-check; sources.</w:t>
            </w:r>
          </w:p>
        </w:tc>
      </w:tr>
    </w:tbl>
    <w:p>
      <w:pPr>
        <w:pStyle w:val="Heading3Custom"/>
      </w:pPr>
      <w:r>
        <w:rPr>
          <w:rFonts w:ascii="Calibri" w:hAnsi="Calibri"/>
          <w:b/>
          <w:color w:val="1F4D78"/>
          <w:sz w:val="24"/>
        </w:rPr>
        <w:t>Legislative purpose</w:t>
      </w:r>
    </w:p>
    <w:p>
      <w:pPr>
        <w:pStyle w:val="SmallNote"/>
      </w:pPr>
      <w:r>
        <w:rPr>
          <w:rFonts w:ascii="Calibri" w:hAnsi="Calibri"/>
          <w:b w:val="0"/>
          <w:i/>
          <w:color w:val="5C6370"/>
          <w:sz w:val="19"/>
        </w:rPr>
        <w:t>To promote a healthier information ecosystem by requiring large digital attention platforms and synthetic media services to adopt transparency, provenance, user-control, monetization-integrity, research-access, and media-literacy safeguards; to support public-interest journalism through viewpoint-neutral grants; to protect the freedom of speech and of the press; and for other purposes.</w:t>
      </w:r>
    </w:p>
    <w:p>
      <w:pPr>
        <w:pBdr>
          <w:bottom w:val="single" w:sz="10" w:space="3" w:color="17324D"/>
        </w:pBdr>
      </w:pPr>
    </w:p>
    <w:p>
      <w:pPr>
        <w:pStyle w:val="SmallNote"/>
      </w:pPr>
      <w:r>
        <w:rPr>
          <w:rFonts w:ascii="Calibri" w:hAnsi="Calibri"/>
          <w:i/>
          <w:color w:val="5C6370"/>
          <w:sz w:val="19"/>
        </w:rPr>
        <w:t>Prepared as a congressional submission packet from the attached draft. Bracketed metadata fields remain for filing-specific completion.</w:t>
      </w:r>
    </w:p>
    <w:p>
      <w:r>
        <w:br w:type="page"/>
      </w:r>
    </w:p>
    <w:p>
      <w:pPr>
        <w:pStyle w:val="Heading1Custom"/>
      </w:pPr>
      <w:r>
        <w:rPr>
          <w:rFonts w:ascii="Calibri" w:hAnsi="Calibri"/>
          <w:b/>
          <w:color w:val="2E74B5"/>
          <w:sz w:val="32"/>
        </w:rPr>
        <w:t>Drafting Overview</w:t>
      </w:r>
    </w:p>
    <w:tbl>
      <w:tblPr>
        <w:tblW w:type="dxa" w:w="9360"/>
        <w:jc w:val="left"/>
        <w:tblLayout w:type="fixed"/>
        <w:tblLook w:firstColumn="1" w:firstRow="1" w:lastColumn="0" w:lastRow="0" w:noHBand="0" w:noVBand="1" w:val="04A0"/>
        <w:tblInd w:w="120" w:type="dxa"/>
        <w:tblCellMar>
          <w:top w:w="130" w:type="dxa"/>
          <w:start w:w="160" w:type="dxa"/>
          <w:bottom w:w="130" w:type="dxa"/>
          <w:end w:w="160" w:type="dxa"/>
        </w:tblCellMar>
      </w:tblPr>
      <w:tblGrid>
        <w:gridCol w:w="9360"/>
      </w:tblGrid>
      <w:tr>
        <w:tc>
          <w:tcPr>
            <w:tcW w:type="dxa" w:w="9360"/>
            <w:shd w:fill="F4F6F9"/>
            <w:tcBorders>
              <w:top w:val="single" w:sz="6" w:space="0" w:color="CBD5E1"/>
              <w:left w:val="single" w:sz="6" w:space="0" w:color="CBD5E1"/>
              <w:bottom w:val="single" w:sz="6" w:space="0" w:color="CBD5E1"/>
              <w:right w:val="single" w:sz="6" w:space="0" w:color="CBD5E1"/>
            </w:tcBorders>
          </w:tcPr>
          <w:p>
            <w:pPr>
              <w:spacing w:after="0"/>
            </w:pPr>
            <w:r>
              <w:rPr>
                <w:rFonts w:ascii="Calibri" w:hAnsi="Calibri"/>
                <w:b w:val="0"/>
                <w:color w:val="1F2937"/>
                <w:sz w:val="21"/>
              </w:rPr>
              <w:t xml:space="preserve">This bill is designed to be </w:t>
            </w:r>
            <w:r>
              <w:rPr>
                <w:rFonts w:ascii="Calibri" w:hAnsi="Calibri"/>
                <w:b/>
                <w:color w:val="1F2937"/>
                <w:sz w:val="21"/>
              </w:rPr>
              <w:t>business-hard and speech-safe</w:t>
            </w:r>
            <w:r>
              <w:rPr>
                <w:rFonts w:ascii="Calibri" w:hAnsi="Calibri"/>
                <w:b w:val="0"/>
                <w:color w:val="1F2937"/>
                <w:sz w:val="21"/>
              </w:rPr>
              <w:t xml:space="preserve">: big platforms would face audits, compliance officers, executive certifications, researcher-access duties, ad/monetization transparency, provenance duties, civil penalties, and a dedicated assessment. But the bill avoids the First Amendment trapdoor: it does </w:t>
            </w:r>
            <w:r>
              <w:rPr>
                <w:rFonts w:ascii="Calibri" w:hAnsi="Calibri"/>
                <w:b/>
                <w:color w:val="1F2937"/>
                <w:sz w:val="21"/>
              </w:rPr>
              <w:t>not</w:t>
            </w:r>
            <w:r>
              <w:rPr>
                <w:rFonts w:ascii="Calibri" w:hAnsi="Calibri"/>
                <w:b w:val="0"/>
                <w:color w:val="1F2937"/>
                <w:sz w:val="21"/>
              </w:rPr>
              <w:t xml:space="preserve"> empower the government to decide truth, ban “misinformation,” force viewpoint balance, or order platforms to suppress lawful speech.</w:t>
            </w:r>
          </w:p>
        </w:tc>
      </w:tr>
    </w:tbl>
    <w:p>
      <w:pPr>
        <w:spacing w:after="40"/>
      </w:pPr>
    </w:p>
    <w:p>
      <w:pPr>
        <w:pStyle w:val="Body"/>
      </w:pPr>
      <w:r>
        <w:rPr>
          <w:rFonts w:ascii="Calibri" w:hAnsi="Calibri"/>
          <w:b w:val="0"/>
          <w:color w:val="1F2937"/>
          <w:sz w:val="22"/>
        </w:rPr>
        <w:t xml:space="preserve">The constitutional spine matters because the Supreme Court has treated platform curation and ranking as protected editorial activity, especially for feeds like Facebook News Feed and YouTube’s homepage, and has warned that government may not alter private speakers’ editorial choices merely to create a preferred mix of speech. (Supreme Court [1]) The bill therefore regulates </w:t>
      </w:r>
      <w:r>
        <w:rPr>
          <w:rFonts w:ascii="Calibri" w:hAnsi="Calibri"/>
          <w:b/>
          <w:color w:val="1F2937"/>
          <w:sz w:val="22"/>
        </w:rPr>
        <w:t>commercial design systems, disclosures, provenance, monetization, auditing, and deceptive business practices</w:t>
      </w:r>
      <w:r>
        <w:rPr>
          <w:rFonts w:ascii="Calibri" w:hAnsi="Calibri"/>
          <w:b w:val="0"/>
          <w:color w:val="1F2937"/>
          <w:sz w:val="22"/>
        </w:rPr>
        <w:t>, which sit on firmer ground under consumer-protection and transparency law. The FTC already has broad authority over unfair or deceptive acts or practices and investigative/rulemaking tools, and NIST has current work on provenance, labeling, watermarking, detection, and synthetic-content risk reduction. (Federal Trade Commission [2])</w:t>
      </w:r>
    </w:p>
    <w:p>
      <w:pPr>
        <w:pStyle w:val="Heading2Custom"/>
      </w:pPr>
      <w:r>
        <w:rPr>
          <w:rFonts w:ascii="Calibri" w:hAnsi="Calibri"/>
          <w:b/>
          <w:color w:val="2E74B5"/>
          <w:sz w:val="26"/>
        </w:rPr>
        <w:t>Overview</w:t>
      </w:r>
    </w:p>
    <w:p>
      <w:pPr>
        <w:pStyle w:val="Body"/>
      </w:pPr>
      <w:r>
        <w:rPr>
          <w:rFonts w:ascii="Calibri" w:hAnsi="Calibri"/>
          <w:b w:val="0"/>
          <w:color w:val="1F2937"/>
          <w:sz w:val="22"/>
        </w:rPr>
        <w:t>This Act establishes a federal framework for large digital attention platforms, synthetic media systems, monetization programs, media literacy, public-interest journalism, and independent research access.</w:t>
      </w:r>
    </w:p>
    <w:p>
      <w:pPr>
        <w:pStyle w:val="Body"/>
      </w:pPr>
      <w:r>
        <w:rPr>
          <w:rFonts w:ascii="Calibri" w:hAnsi="Calibri"/>
          <w:b w:val="0"/>
          <w:color w:val="1F2937"/>
          <w:sz w:val="22"/>
        </w:rPr>
        <w:t xml:space="preserve">It is designed to make information hygiene a </w:t>
      </w:r>
      <w:r>
        <w:rPr>
          <w:rFonts w:ascii="Calibri" w:hAnsi="Calibri"/>
          <w:b/>
          <w:color w:val="1F2937"/>
          <w:sz w:val="22"/>
        </w:rPr>
        <w:t>boardroom-level compliance obligation</w:t>
      </w:r>
      <w:r>
        <w:rPr>
          <w:rFonts w:ascii="Calibri" w:hAnsi="Calibri"/>
          <w:b w:val="0"/>
          <w:color w:val="1F2937"/>
          <w:sz w:val="22"/>
        </w:rPr>
        <w:t xml:space="preserve"> for dominant platforms without creating a government speech police squad. It expressly avoids creating a government truth authority. The bill says: monetize attention if you want, but if your business model floods society with high-arousal manipulative content, you must document the machine, disclose the incentives, preserve provenance, give users friction and control, fund resilience, and answer to auditors.</w:t>
      </w:r>
    </w:p>
    <w:p>
      <w:r>
        <w:br w:type="page"/>
      </w:r>
    </w:p>
    <w:p>
      <w:pPr>
        <w:pStyle w:val="BillLabel"/>
      </w:pPr>
      <w:r>
        <w:rPr>
          <w:rFonts w:ascii="Times New Roman" w:hAnsi="Times New Roman"/>
          <w:b/>
          <w:color w:val="1F2937"/>
          <w:sz w:val="24"/>
        </w:rPr>
        <w:t>A BILL</w:t>
      </w:r>
    </w:p>
    <w:p>
      <w:pPr>
        <w:pStyle w:val="BillLongTitle"/>
      </w:pPr>
      <w:r>
        <w:rPr>
          <w:rFonts w:ascii="Times New Roman" w:hAnsi="Times New Roman"/>
          <w:b w:val="0"/>
          <w:color w:val="1F2937"/>
          <w:sz w:val="22"/>
        </w:rPr>
        <w:t>To promote a healthier information ecosystem by requiring large digital attention platforms and synthetic media services to adopt transparency, provenance, user-control, monetization-integrity, research-access, and media-literacy safeguards; to support public-interest journalism through viewpoint-neutral grants; to protect the freedom of speech and of the press; and for other purposes.</w:t>
      </w:r>
    </w:p>
    <w:p>
      <w:pPr>
        <w:pStyle w:val="SectionHeading"/>
      </w:pPr>
      <w:r>
        <w:rPr>
          <w:rFonts w:ascii="Calibri" w:hAnsi="Calibri"/>
          <w:b/>
          <w:color w:val="0B2545"/>
          <w:sz w:val="19"/>
        </w:rPr>
        <w:t>SECTION 1. SHORT TITLE.</w:t>
      </w:r>
    </w:p>
    <w:p>
      <w:pPr>
        <w:pStyle w:val="LegalBody"/>
      </w:pPr>
      <w:r>
        <w:rPr>
          <w:rFonts w:ascii="Times New Roman" w:hAnsi="Times New Roman"/>
          <w:b w:val="0"/>
          <w:color w:val="1F2937"/>
          <w:sz w:val="20"/>
        </w:rPr>
        <w:t xml:space="preserve">This Act may be cited as the </w:t>
      </w:r>
      <w:r>
        <w:rPr>
          <w:rFonts w:ascii="Times New Roman" w:hAnsi="Times New Roman"/>
          <w:b/>
          <w:color w:val="1F2937"/>
          <w:sz w:val="20"/>
        </w:rPr>
        <w:t>“Information Hygiene and Digital Accountability Act of 2026.”</w:t>
      </w:r>
    </w:p>
    <w:p>
      <w:pPr>
        <w:pStyle w:val="SectionHeading"/>
      </w:pPr>
      <w:r>
        <w:rPr>
          <w:rFonts w:ascii="Calibri" w:hAnsi="Calibri"/>
          <w:b/>
          <w:color w:val="0B2545"/>
          <w:sz w:val="19"/>
        </w:rPr>
        <w:t>SEC. 2. TABLE OF CONTENTS.</w:t>
      </w:r>
    </w:p>
    <w:p>
      <w:pPr>
        <w:pStyle w:val="TitleHeading"/>
      </w:pPr>
      <w:r>
        <w:rPr>
          <w:rFonts w:ascii="Calibri" w:hAnsi="Calibri"/>
          <w:b/>
          <w:color w:val="0B2545"/>
          <w:sz w:val="20"/>
        </w:rPr>
        <w:t>Title I. General Provisions and First Amendment Safeguards</w:t>
      </w:r>
    </w:p>
    <w:p>
      <w:pPr>
        <w:pStyle w:val="TOCEntry"/>
      </w:pPr>
      <w:r>
        <w:rPr>
          <w:rFonts w:ascii="Times New Roman" w:hAnsi="Times New Roman"/>
          <w:b w:val="0"/>
          <w:color w:val="1F2937"/>
          <w:sz w:val="20"/>
        </w:rPr>
        <w:t>Sec. 101. Findings.</w:t>
      </w:r>
    </w:p>
    <w:p>
      <w:pPr>
        <w:pStyle w:val="TOCEntry"/>
      </w:pPr>
      <w:r>
        <w:rPr>
          <w:rFonts w:ascii="Times New Roman" w:hAnsi="Times New Roman"/>
          <w:b w:val="0"/>
          <w:color w:val="1F2937"/>
          <w:sz w:val="20"/>
        </w:rPr>
        <w:t>Sec. 102. Purposes.</w:t>
      </w:r>
    </w:p>
    <w:p>
      <w:pPr>
        <w:pStyle w:val="TOCEntry"/>
      </w:pPr>
      <w:r>
        <w:rPr>
          <w:rFonts w:ascii="Times New Roman" w:hAnsi="Times New Roman"/>
          <w:b w:val="0"/>
          <w:color w:val="1F2937"/>
          <w:sz w:val="20"/>
        </w:rPr>
        <w:t>Sec. 103. Constitutional rule of construction.</w:t>
      </w:r>
    </w:p>
    <w:p>
      <w:pPr>
        <w:pStyle w:val="TOCEntry"/>
      </w:pPr>
      <w:r>
        <w:rPr>
          <w:rFonts w:ascii="Times New Roman" w:hAnsi="Times New Roman"/>
          <w:b w:val="0"/>
          <w:color w:val="1F2937"/>
          <w:sz w:val="20"/>
        </w:rPr>
        <w:t>Sec. 104. No government truth authority; no compelled viewpoint balance.</w:t>
      </w:r>
    </w:p>
    <w:p>
      <w:pPr>
        <w:pStyle w:val="TOCEntry"/>
      </w:pPr>
      <w:r>
        <w:rPr>
          <w:rFonts w:ascii="Times New Roman" w:hAnsi="Times New Roman"/>
          <w:b w:val="0"/>
          <w:color w:val="1F2937"/>
          <w:sz w:val="20"/>
        </w:rPr>
        <w:t>Sec. 105. Agency communications with platforms concerning speech.</w:t>
      </w:r>
    </w:p>
    <w:p>
      <w:pPr>
        <w:pStyle w:val="TitleHeading"/>
      </w:pPr>
      <w:r>
        <w:rPr>
          <w:rFonts w:ascii="Calibri" w:hAnsi="Calibri"/>
          <w:b/>
          <w:color w:val="0B2545"/>
          <w:sz w:val="20"/>
        </w:rPr>
        <w:t>Title II. Covered Digital Attention Platforms</w:t>
      </w:r>
    </w:p>
    <w:p>
      <w:pPr>
        <w:pStyle w:val="TOCEntry"/>
      </w:pPr>
      <w:r>
        <w:rPr>
          <w:rFonts w:ascii="Times New Roman" w:hAnsi="Times New Roman"/>
          <w:b w:val="0"/>
          <w:color w:val="1F2937"/>
          <w:sz w:val="20"/>
        </w:rPr>
        <w:t>Sec. 201. Definitions.</w:t>
      </w:r>
    </w:p>
    <w:p>
      <w:pPr>
        <w:pStyle w:val="TOCEntry"/>
      </w:pPr>
      <w:r>
        <w:rPr>
          <w:rFonts w:ascii="Times New Roman" w:hAnsi="Times New Roman"/>
          <w:b w:val="0"/>
          <w:color w:val="1F2937"/>
          <w:sz w:val="20"/>
        </w:rPr>
        <w:t>Sec. 202. Covered platform designation.</w:t>
      </w:r>
    </w:p>
    <w:p>
      <w:pPr>
        <w:pStyle w:val="TOCEntry"/>
      </w:pPr>
      <w:r>
        <w:rPr>
          <w:rFonts w:ascii="Times New Roman" w:hAnsi="Times New Roman"/>
          <w:b w:val="0"/>
          <w:color w:val="1F2937"/>
          <w:sz w:val="20"/>
        </w:rPr>
        <w:t>Sec. 203. Registration and compliance officer.</w:t>
      </w:r>
    </w:p>
    <w:p>
      <w:pPr>
        <w:pStyle w:val="TOCEntry"/>
      </w:pPr>
      <w:r>
        <w:rPr>
          <w:rFonts w:ascii="Times New Roman" w:hAnsi="Times New Roman"/>
          <w:b w:val="0"/>
          <w:color w:val="1F2937"/>
          <w:sz w:val="20"/>
        </w:rPr>
        <w:t>Sec. 204. Board-level accountability and executive certification.</w:t>
      </w:r>
    </w:p>
    <w:p>
      <w:pPr>
        <w:pStyle w:val="TOCEntry"/>
      </w:pPr>
      <w:r>
        <w:rPr>
          <w:rFonts w:ascii="Times New Roman" w:hAnsi="Times New Roman"/>
          <w:b w:val="0"/>
          <w:color w:val="1F2937"/>
          <w:sz w:val="20"/>
        </w:rPr>
        <w:t>Sec. 205. Small entity and limited-function exclusions.</w:t>
      </w:r>
    </w:p>
    <w:p>
      <w:pPr>
        <w:pStyle w:val="TitleHeading"/>
      </w:pPr>
      <w:r>
        <w:rPr>
          <w:rFonts w:ascii="Calibri" w:hAnsi="Calibri"/>
          <w:b/>
          <w:color w:val="0B2545"/>
          <w:sz w:val="20"/>
        </w:rPr>
        <w:t>Title III. Algorithmic Transparency and User Control</w:t>
      </w:r>
    </w:p>
    <w:p>
      <w:pPr>
        <w:pStyle w:val="TOCEntry"/>
      </w:pPr>
      <w:r>
        <w:rPr>
          <w:rFonts w:ascii="Times New Roman" w:hAnsi="Times New Roman"/>
          <w:b w:val="0"/>
          <w:color w:val="1F2937"/>
          <w:sz w:val="20"/>
        </w:rPr>
        <w:t>Sec. 301. Algorithmic system cards.</w:t>
      </w:r>
    </w:p>
    <w:p>
      <w:pPr>
        <w:pStyle w:val="TOCEntry"/>
      </w:pPr>
      <w:r>
        <w:rPr>
          <w:rFonts w:ascii="Times New Roman" w:hAnsi="Times New Roman"/>
          <w:b w:val="0"/>
          <w:color w:val="1F2937"/>
          <w:sz w:val="20"/>
        </w:rPr>
        <w:t>Sec. 302. Public transparency reports.</w:t>
      </w:r>
    </w:p>
    <w:p>
      <w:pPr>
        <w:pStyle w:val="TOCEntry"/>
      </w:pPr>
      <w:r>
        <w:rPr>
          <w:rFonts w:ascii="Times New Roman" w:hAnsi="Times New Roman"/>
          <w:b w:val="0"/>
          <w:color w:val="1F2937"/>
          <w:sz w:val="20"/>
        </w:rPr>
        <w:t>Sec. 303. User-accessible recommender explanations.</w:t>
      </w:r>
    </w:p>
    <w:p>
      <w:pPr>
        <w:pStyle w:val="TOCEntry"/>
      </w:pPr>
      <w:r>
        <w:rPr>
          <w:rFonts w:ascii="Times New Roman" w:hAnsi="Times New Roman"/>
          <w:b w:val="0"/>
          <w:color w:val="1F2937"/>
          <w:sz w:val="20"/>
        </w:rPr>
        <w:t>Sec. 304. User controls over personalization.</w:t>
      </w:r>
    </w:p>
    <w:p>
      <w:pPr>
        <w:pStyle w:val="TOCEntry"/>
      </w:pPr>
      <w:r>
        <w:rPr>
          <w:rFonts w:ascii="Times New Roman" w:hAnsi="Times New Roman"/>
          <w:b w:val="0"/>
          <w:color w:val="1F2937"/>
          <w:sz w:val="20"/>
        </w:rPr>
        <w:t>Sec. 305. Independent algorithmic accountability audits.</w:t>
      </w:r>
    </w:p>
    <w:p>
      <w:pPr>
        <w:pStyle w:val="TOCEntry"/>
      </w:pPr>
      <w:r>
        <w:rPr>
          <w:rFonts w:ascii="Times New Roman" w:hAnsi="Times New Roman"/>
          <w:b w:val="0"/>
          <w:color w:val="1F2937"/>
          <w:sz w:val="20"/>
        </w:rPr>
        <w:t>Sec. 306. Protection of trade secrets, security, and privacy.</w:t>
      </w:r>
    </w:p>
    <w:p>
      <w:pPr>
        <w:pStyle w:val="TitleHeading"/>
      </w:pPr>
      <w:r>
        <w:rPr>
          <w:rFonts w:ascii="Calibri" w:hAnsi="Calibri"/>
          <w:b/>
          <w:color w:val="0B2545"/>
          <w:sz w:val="20"/>
        </w:rPr>
        <w:t>Title IV. Sharing Friction and Viral Distribution Safeguards</w:t>
      </w:r>
    </w:p>
    <w:p>
      <w:pPr>
        <w:pStyle w:val="TOCEntry"/>
      </w:pPr>
      <w:r>
        <w:rPr>
          <w:rFonts w:ascii="Times New Roman" w:hAnsi="Times New Roman"/>
          <w:b w:val="0"/>
          <w:color w:val="1F2937"/>
          <w:sz w:val="20"/>
        </w:rPr>
        <w:t>Sec. 401. Content-neutral sharing friction.</w:t>
      </w:r>
    </w:p>
    <w:p>
      <w:pPr>
        <w:pStyle w:val="TOCEntry"/>
      </w:pPr>
      <w:r>
        <w:rPr>
          <w:rFonts w:ascii="Times New Roman" w:hAnsi="Times New Roman"/>
          <w:b w:val="0"/>
          <w:color w:val="1F2937"/>
          <w:sz w:val="20"/>
        </w:rPr>
        <w:t>Sec. 402. Read-before-share and view-before-share prompts.</w:t>
      </w:r>
    </w:p>
    <w:p>
      <w:pPr>
        <w:pStyle w:val="TOCEntry"/>
      </w:pPr>
      <w:r>
        <w:rPr>
          <w:rFonts w:ascii="Times New Roman" w:hAnsi="Times New Roman"/>
          <w:b w:val="0"/>
          <w:color w:val="1F2937"/>
          <w:sz w:val="20"/>
        </w:rPr>
        <w:t>Sec. 403. High-velocity redistribution safeguards.</w:t>
      </w:r>
    </w:p>
    <w:p>
      <w:pPr>
        <w:pStyle w:val="TOCEntry"/>
      </w:pPr>
      <w:r>
        <w:rPr>
          <w:rFonts w:ascii="Times New Roman" w:hAnsi="Times New Roman"/>
          <w:b w:val="0"/>
          <w:color w:val="1F2937"/>
          <w:sz w:val="20"/>
        </w:rPr>
        <w:t>Sec. 404. Bulk-forwarding and automation controls.</w:t>
      </w:r>
    </w:p>
    <w:p>
      <w:pPr>
        <w:pStyle w:val="TOCEntry"/>
      </w:pPr>
      <w:r>
        <w:rPr>
          <w:rFonts w:ascii="Times New Roman" w:hAnsi="Times New Roman"/>
          <w:b w:val="0"/>
          <w:color w:val="1F2937"/>
          <w:sz w:val="20"/>
        </w:rPr>
        <w:t>Sec. 405. Prohibition on suppressive implementation.</w:t>
      </w:r>
    </w:p>
    <w:p>
      <w:pPr>
        <w:pStyle w:val="TOCEntry"/>
      </w:pPr>
      <w:r>
        <w:rPr>
          <w:rFonts w:ascii="Times New Roman" w:hAnsi="Times New Roman"/>
          <w:b w:val="0"/>
          <w:color w:val="1F2937"/>
          <w:sz w:val="20"/>
        </w:rPr>
        <w:t>Sec. 406. User and researcher metrics.</w:t>
      </w:r>
    </w:p>
    <w:p>
      <w:pPr>
        <w:pStyle w:val="TitleHeading"/>
      </w:pPr>
      <w:r>
        <w:rPr>
          <w:rFonts w:ascii="Calibri" w:hAnsi="Calibri"/>
          <w:b/>
          <w:color w:val="0B2545"/>
          <w:sz w:val="20"/>
        </w:rPr>
        <w:t>Title V. Provenance and Synthetic Media Transparency</w:t>
      </w:r>
    </w:p>
    <w:p>
      <w:pPr>
        <w:pStyle w:val="TOCEntry"/>
      </w:pPr>
      <w:r>
        <w:rPr>
          <w:rFonts w:ascii="Times New Roman" w:hAnsi="Times New Roman"/>
          <w:b w:val="0"/>
          <w:color w:val="1F2937"/>
          <w:sz w:val="20"/>
        </w:rPr>
        <w:t>Sec. 501. National digital provenance standards.</w:t>
      </w:r>
    </w:p>
    <w:p>
      <w:pPr>
        <w:pStyle w:val="TOCEntry"/>
      </w:pPr>
      <w:r>
        <w:rPr>
          <w:rFonts w:ascii="Times New Roman" w:hAnsi="Times New Roman"/>
          <w:b w:val="0"/>
          <w:color w:val="1F2937"/>
          <w:sz w:val="20"/>
        </w:rPr>
        <w:t>Sec. 502. Preservation of provenance metadata.</w:t>
      </w:r>
    </w:p>
    <w:p>
      <w:pPr>
        <w:pStyle w:val="TOCEntry"/>
      </w:pPr>
      <w:r>
        <w:rPr>
          <w:rFonts w:ascii="Times New Roman" w:hAnsi="Times New Roman"/>
          <w:b w:val="0"/>
          <w:color w:val="1F2937"/>
          <w:sz w:val="20"/>
        </w:rPr>
        <w:t>Sec. 503. Synthetic media labeling in paid, monetized, and high-distribution contexts.</w:t>
      </w:r>
    </w:p>
    <w:p>
      <w:pPr>
        <w:pStyle w:val="TOCEntry"/>
      </w:pPr>
      <w:r>
        <w:rPr>
          <w:rFonts w:ascii="Times New Roman" w:hAnsi="Times New Roman"/>
          <w:b w:val="0"/>
          <w:color w:val="1F2937"/>
          <w:sz w:val="20"/>
        </w:rPr>
        <w:t>Sec. 504. Generative media service duties.</w:t>
      </w:r>
    </w:p>
    <w:p>
      <w:pPr>
        <w:pStyle w:val="TOCEntry"/>
      </w:pPr>
      <w:r>
        <w:rPr>
          <w:rFonts w:ascii="Times New Roman" w:hAnsi="Times New Roman"/>
          <w:b w:val="0"/>
          <w:color w:val="1F2937"/>
          <w:sz w:val="20"/>
        </w:rPr>
        <w:t>Sec. 505. Impersonation, material deception, and appeal process.</w:t>
      </w:r>
    </w:p>
    <w:p>
      <w:pPr>
        <w:pStyle w:val="TOCEntry"/>
      </w:pPr>
      <w:r>
        <w:rPr>
          <w:rFonts w:ascii="Times New Roman" w:hAnsi="Times New Roman"/>
          <w:b w:val="0"/>
          <w:color w:val="1F2937"/>
          <w:sz w:val="20"/>
        </w:rPr>
        <w:t>Sec. 506. No duty to judge truth or opinion.</w:t>
      </w:r>
    </w:p>
    <w:p>
      <w:pPr>
        <w:pStyle w:val="TitleHeading"/>
      </w:pPr>
      <w:r>
        <w:rPr>
          <w:rFonts w:ascii="Calibri" w:hAnsi="Calibri"/>
          <w:b/>
          <w:color w:val="0B2545"/>
          <w:sz w:val="20"/>
        </w:rPr>
        <w:t>Title VI. Format Labeling: News, Opinion, Satire, Advertising, and Synthetic Media</w:t>
      </w:r>
    </w:p>
    <w:p>
      <w:pPr>
        <w:pStyle w:val="TOCEntry"/>
      </w:pPr>
      <w:r>
        <w:rPr>
          <w:rFonts w:ascii="Times New Roman" w:hAnsi="Times New Roman"/>
          <w:b w:val="0"/>
          <w:color w:val="1F2937"/>
          <w:sz w:val="20"/>
        </w:rPr>
        <w:t>Sec. 601. Standard information-format taxonomy.</w:t>
      </w:r>
    </w:p>
    <w:p>
      <w:pPr>
        <w:pStyle w:val="TOCEntry"/>
      </w:pPr>
      <w:r>
        <w:rPr>
          <w:rFonts w:ascii="Times New Roman" w:hAnsi="Times New Roman"/>
          <w:b w:val="0"/>
          <w:color w:val="1F2937"/>
          <w:sz w:val="20"/>
        </w:rPr>
        <w:t>Sec. 602. Platform support for voluntary format labels.</w:t>
      </w:r>
    </w:p>
    <w:p>
      <w:pPr>
        <w:pStyle w:val="TOCEntry"/>
      </w:pPr>
      <w:r>
        <w:rPr>
          <w:rFonts w:ascii="Times New Roman" w:hAnsi="Times New Roman"/>
          <w:b w:val="0"/>
          <w:color w:val="1F2937"/>
          <w:sz w:val="20"/>
        </w:rPr>
        <w:t>Sec. 603. Mandatory labeling of paid and sponsored communications.</w:t>
      </w:r>
    </w:p>
    <w:p>
      <w:pPr>
        <w:pStyle w:val="TOCEntry"/>
      </w:pPr>
      <w:r>
        <w:rPr>
          <w:rFonts w:ascii="Times New Roman" w:hAnsi="Times New Roman"/>
          <w:b w:val="0"/>
          <w:color w:val="1F2937"/>
          <w:sz w:val="20"/>
        </w:rPr>
        <w:t>Sec. 604. Satire, parody, art, and political speech protection.</w:t>
      </w:r>
    </w:p>
    <w:p>
      <w:pPr>
        <w:pStyle w:val="TOCEntry"/>
      </w:pPr>
      <w:r>
        <w:rPr>
          <w:rFonts w:ascii="Times New Roman" w:hAnsi="Times New Roman"/>
          <w:b w:val="0"/>
          <w:color w:val="1F2937"/>
          <w:sz w:val="20"/>
        </w:rPr>
        <w:t>Sec. 605. Prohibition on government editorial licensing.</w:t>
      </w:r>
    </w:p>
    <w:p>
      <w:pPr>
        <w:pStyle w:val="TitleHeading"/>
      </w:pPr>
      <w:r>
        <w:rPr>
          <w:rFonts w:ascii="Calibri" w:hAnsi="Calibri"/>
          <w:b/>
          <w:color w:val="0B2545"/>
          <w:sz w:val="20"/>
        </w:rPr>
        <w:t>Title VII. Monetization Integrity and Deceptive Amplification</w:t>
      </w:r>
    </w:p>
    <w:p>
      <w:pPr>
        <w:pStyle w:val="TOCEntry"/>
      </w:pPr>
      <w:r>
        <w:rPr>
          <w:rFonts w:ascii="Times New Roman" w:hAnsi="Times New Roman"/>
          <w:b w:val="0"/>
          <w:color w:val="1F2937"/>
          <w:sz w:val="20"/>
        </w:rPr>
        <w:t>Sec. 701. Creator monetization integrity programs.</w:t>
      </w:r>
    </w:p>
    <w:p>
      <w:pPr>
        <w:pStyle w:val="TOCEntry"/>
      </w:pPr>
      <w:r>
        <w:rPr>
          <w:rFonts w:ascii="Times New Roman" w:hAnsi="Times New Roman"/>
          <w:b w:val="0"/>
          <w:color w:val="1F2937"/>
          <w:sz w:val="20"/>
        </w:rPr>
        <w:t>Sec. 702. Know-your-payee requirements for large payouts.</w:t>
      </w:r>
    </w:p>
    <w:p>
      <w:pPr>
        <w:pStyle w:val="TOCEntry"/>
      </w:pPr>
      <w:r>
        <w:rPr>
          <w:rFonts w:ascii="Times New Roman" w:hAnsi="Times New Roman"/>
          <w:b w:val="0"/>
          <w:color w:val="1F2937"/>
          <w:sz w:val="20"/>
        </w:rPr>
        <w:t>Sec. 703. Deceptive amplification and fake engagement.</w:t>
      </w:r>
    </w:p>
    <w:p>
      <w:pPr>
        <w:pStyle w:val="TOCEntry"/>
      </w:pPr>
      <w:r>
        <w:rPr>
          <w:rFonts w:ascii="Times New Roman" w:hAnsi="Times New Roman"/>
          <w:b w:val="0"/>
          <w:color w:val="1F2937"/>
          <w:sz w:val="20"/>
        </w:rPr>
        <w:t>Sec. 704. Monetization transparency for users and advertisers.</w:t>
      </w:r>
    </w:p>
    <w:p>
      <w:pPr>
        <w:pStyle w:val="TOCEntry"/>
      </w:pPr>
      <w:r>
        <w:rPr>
          <w:rFonts w:ascii="Times New Roman" w:hAnsi="Times New Roman"/>
          <w:b w:val="0"/>
          <w:color w:val="1F2937"/>
          <w:sz w:val="20"/>
        </w:rPr>
        <w:t>Sec. 705. Revenue-risk assessment for engagement-based payment systems.</w:t>
      </w:r>
    </w:p>
    <w:p>
      <w:pPr>
        <w:pStyle w:val="TOCEntry"/>
      </w:pPr>
      <w:r>
        <w:rPr>
          <w:rFonts w:ascii="Times New Roman" w:hAnsi="Times New Roman"/>
          <w:b w:val="0"/>
          <w:color w:val="1F2937"/>
          <w:sz w:val="20"/>
        </w:rPr>
        <w:t>Sec. 706. Corrective action plans and independent monitors.</w:t>
      </w:r>
    </w:p>
    <w:p>
      <w:pPr>
        <w:pStyle w:val="TitleHeading"/>
      </w:pPr>
      <w:r>
        <w:rPr>
          <w:rFonts w:ascii="Calibri" w:hAnsi="Calibri"/>
          <w:b/>
          <w:color w:val="0B2545"/>
          <w:sz w:val="20"/>
        </w:rPr>
        <w:t>Title VIII. Research Access, Data Governance, and Whistleblower Protection</w:t>
      </w:r>
    </w:p>
    <w:p>
      <w:pPr>
        <w:pStyle w:val="TOCEntry"/>
      </w:pPr>
      <w:r>
        <w:rPr>
          <w:rFonts w:ascii="Times New Roman" w:hAnsi="Times New Roman"/>
          <w:b w:val="0"/>
          <w:color w:val="1F2937"/>
          <w:sz w:val="20"/>
        </w:rPr>
        <w:t>Sec. 801. Vetted researcher access program.</w:t>
      </w:r>
    </w:p>
    <w:p>
      <w:pPr>
        <w:pStyle w:val="TOCEntry"/>
      </w:pPr>
      <w:r>
        <w:rPr>
          <w:rFonts w:ascii="Times New Roman" w:hAnsi="Times New Roman"/>
          <w:b w:val="0"/>
          <w:color w:val="1F2937"/>
          <w:sz w:val="20"/>
        </w:rPr>
        <w:t>Sec. 802. Secure data rooms and privacy safeguards.</w:t>
      </w:r>
    </w:p>
    <w:p>
      <w:pPr>
        <w:pStyle w:val="TOCEntry"/>
      </w:pPr>
      <w:r>
        <w:rPr>
          <w:rFonts w:ascii="Times New Roman" w:hAnsi="Times New Roman"/>
          <w:b w:val="0"/>
          <w:color w:val="1F2937"/>
          <w:sz w:val="20"/>
        </w:rPr>
        <w:t>Sec. 803. Public interest research priorities.</w:t>
      </w:r>
    </w:p>
    <w:p>
      <w:pPr>
        <w:pStyle w:val="TOCEntry"/>
      </w:pPr>
      <w:r>
        <w:rPr>
          <w:rFonts w:ascii="Times New Roman" w:hAnsi="Times New Roman"/>
          <w:b w:val="0"/>
          <w:color w:val="1F2937"/>
          <w:sz w:val="20"/>
        </w:rPr>
        <w:t>Sec. 804. Whistleblower protections.</w:t>
      </w:r>
    </w:p>
    <w:p>
      <w:pPr>
        <w:pStyle w:val="TOCEntry"/>
      </w:pPr>
      <w:r>
        <w:rPr>
          <w:rFonts w:ascii="Times New Roman" w:hAnsi="Times New Roman"/>
          <w:b w:val="0"/>
          <w:color w:val="1F2937"/>
          <w:sz w:val="20"/>
        </w:rPr>
        <w:t>Sec. 805. Annual public repository.</w:t>
      </w:r>
    </w:p>
    <w:p>
      <w:pPr>
        <w:pStyle w:val="TitleHeading"/>
      </w:pPr>
      <w:r>
        <w:rPr>
          <w:rFonts w:ascii="Calibri" w:hAnsi="Calibri"/>
          <w:b/>
          <w:color w:val="0B2545"/>
          <w:sz w:val="20"/>
        </w:rPr>
        <w:t>Title IX. Media Literacy and Civic Information Education</w:t>
      </w:r>
    </w:p>
    <w:p>
      <w:pPr>
        <w:pStyle w:val="TOCEntry"/>
      </w:pPr>
      <w:r>
        <w:rPr>
          <w:rFonts w:ascii="Times New Roman" w:hAnsi="Times New Roman"/>
          <w:b w:val="0"/>
          <w:color w:val="1F2937"/>
          <w:sz w:val="20"/>
        </w:rPr>
        <w:t>Sec. 901. National media-literacy grant program.</w:t>
      </w:r>
    </w:p>
    <w:p>
      <w:pPr>
        <w:pStyle w:val="TOCEntry"/>
      </w:pPr>
      <w:r>
        <w:rPr>
          <w:rFonts w:ascii="Times New Roman" w:hAnsi="Times New Roman"/>
          <w:b w:val="0"/>
          <w:color w:val="1F2937"/>
          <w:sz w:val="20"/>
        </w:rPr>
        <w:t>Sec. 902. Curriculum guardrails.</w:t>
      </w:r>
    </w:p>
    <w:p>
      <w:pPr>
        <w:pStyle w:val="TOCEntry"/>
      </w:pPr>
      <w:r>
        <w:rPr>
          <w:rFonts w:ascii="Times New Roman" w:hAnsi="Times New Roman"/>
          <w:b w:val="0"/>
          <w:color w:val="1F2937"/>
          <w:sz w:val="20"/>
        </w:rPr>
        <w:t>Sec. 903. Teacher, librarian, and community training.</w:t>
      </w:r>
    </w:p>
    <w:p>
      <w:pPr>
        <w:pStyle w:val="TOCEntry"/>
      </w:pPr>
      <w:r>
        <w:rPr>
          <w:rFonts w:ascii="Times New Roman" w:hAnsi="Times New Roman"/>
          <w:b w:val="0"/>
          <w:color w:val="1F2937"/>
          <w:sz w:val="20"/>
        </w:rPr>
        <w:t>Sec. 904. Adult and senior media-literacy programs.</w:t>
      </w:r>
    </w:p>
    <w:p>
      <w:pPr>
        <w:pStyle w:val="TOCEntry"/>
      </w:pPr>
      <w:r>
        <w:rPr>
          <w:rFonts w:ascii="Times New Roman" w:hAnsi="Times New Roman"/>
          <w:b w:val="0"/>
          <w:color w:val="1F2937"/>
          <w:sz w:val="20"/>
        </w:rPr>
        <w:t>Sec. 905. Evaluation and reporting.</w:t>
      </w:r>
    </w:p>
    <w:p>
      <w:pPr>
        <w:pStyle w:val="TitleHeading"/>
      </w:pPr>
      <w:r>
        <w:rPr>
          <w:rFonts w:ascii="Calibri" w:hAnsi="Calibri"/>
          <w:b/>
          <w:color w:val="0B2545"/>
          <w:sz w:val="20"/>
        </w:rPr>
        <w:t>Title X. Public-Interest Journalism and Civic Information Support</w:t>
      </w:r>
    </w:p>
    <w:p>
      <w:pPr>
        <w:pStyle w:val="TOCEntry"/>
      </w:pPr>
      <w:r>
        <w:rPr>
          <w:rFonts w:ascii="Times New Roman" w:hAnsi="Times New Roman"/>
          <w:b w:val="0"/>
          <w:color w:val="1F2937"/>
          <w:sz w:val="20"/>
        </w:rPr>
        <w:t>Sec. 1001. Public Interest Journalism Fund.</w:t>
      </w:r>
    </w:p>
    <w:p>
      <w:pPr>
        <w:pStyle w:val="TOCEntry"/>
      </w:pPr>
      <w:r>
        <w:rPr>
          <w:rFonts w:ascii="Times New Roman" w:hAnsi="Times New Roman"/>
          <w:b w:val="0"/>
          <w:color w:val="1F2937"/>
          <w:sz w:val="20"/>
        </w:rPr>
        <w:t>Sec. 1002. Independent board and editorial firewall.</w:t>
      </w:r>
    </w:p>
    <w:p>
      <w:pPr>
        <w:pStyle w:val="TOCEntry"/>
      </w:pPr>
      <w:r>
        <w:rPr>
          <w:rFonts w:ascii="Times New Roman" w:hAnsi="Times New Roman"/>
          <w:b w:val="0"/>
          <w:color w:val="1F2937"/>
          <w:sz w:val="20"/>
        </w:rPr>
        <w:t>Sec. 1003. Eligible uses.</w:t>
      </w:r>
    </w:p>
    <w:p>
      <w:pPr>
        <w:pStyle w:val="TOCEntry"/>
      </w:pPr>
      <w:r>
        <w:rPr>
          <w:rFonts w:ascii="Times New Roman" w:hAnsi="Times New Roman"/>
          <w:b w:val="0"/>
          <w:color w:val="1F2937"/>
          <w:sz w:val="20"/>
        </w:rPr>
        <w:t>Sec. 1004. Viewpoint-neutral grant criteria.</w:t>
      </w:r>
    </w:p>
    <w:p>
      <w:pPr>
        <w:pStyle w:val="TOCEntry"/>
      </w:pPr>
      <w:r>
        <w:rPr>
          <w:rFonts w:ascii="Times New Roman" w:hAnsi="Times New Roman"/>
          <w:b w:val="0"/>
          <w:color w:val="1F2937"/>
          <w:sz w:val="20"/>
        </w:rPr>
        <w:t>Sec. 1005. Local journalism payroll credit.</w:t>
      </w:r>
    </w:p>
    <w:p>
      <w:pPr>
        <w:pStyle w:val="TOCEntry"/>
      </w:pPr>
      <w:r>
        <w:rPr>
          <w:rFonts w:ascii="Times New Roman" w:hAnsi="Times New Roman"/>
          <w:b w:val="0"/>
          <w:color w:val="1F2937"/>
          <w:sz w:val="20"/>
        </w:rPr>
        <w:t>Sec. 1006. Public records and civic information assistance.</w:t>
      </w:r>
    </w:p>
    <w:p>
      <w:pPr>
        <w:pStyle w:val="TOCEntry"/>
      </w:pPr>
      <w:r>
        <w:rPr>
          <w:rFonts w:ascii="Times New Roman" w:hAnsi="Times New Roman"/>
          <w:b w:val="0"/>
          <w:color w:val="1F2937"/>
          <w:sz w:val="20"/>
        </w:rPr>
        <w:t>Sec. 1007. Prohibited conditions.</w:t>
      </w:r>
    </w:p>
    <w:p>
      <w:pPr>
        <w:pStyle w:val="TitleHeading"/>
      </w:pPr>
      <w:r>
        <w:rPr>
          <w:rFonts w:ascii="Calibri" w:hAnsi="Calibri"/>
          <w:b/>
          <w:color w:val="0B2545"/>
          <w:sz w:val="20"/>
        </w:rPr>
        <w:t>Title XI. Digital Information Resilience Assessment</w:t>
      </w:r>
    </w:p>
    <w:p>
      <w:pPr>
        <w:pStyle w:val="TOCEntry"/>
      </w:pPr>
      <w:r>
        <w:rPr>
          <w:rFonts w:ascii="Times New Roman" w:hAnsi="Times New Roman"/>
          <w:b w:val="0"/>
          <w:color w:val="1F2937"/>
          <w:sz w:val="20"/>
        </w:rPr>
        <w:t>Sec. 1101. Annual assessment on covered digital attention revenue.</w:t>
      </w:r>
    </w:p>
    <w:p>
      <w:pPr>
        <w:pStyle w:val="TOCEntry"/>
      </w:pPr>
      <w:r>
        <w:rPr>
          <w:rFonts w:ascii="Times New Roman" w:hAnsi="Times New Roman"/>
          <w:b w:val="0"/>
          <w:color w:val="1F2937"/>
          <w:sz w:val="20"/>
        </w:rPr>
        <w:t>Sec. 1102. Deposit and availability of funds.</w:t>
      </w:r>
    </w:p>
    <w:p>
      <w:pPr>
        <w:pStyle w:val="TOCEntry"/>
      </w:pPr>
      <w:r>
        <w:rPr>
          <w:rFonts w:ascii="Times New Roman" w:hAnsi="Times New Roman"/>
          <w:b w:val="0"/>
          <w:color w:val="1F2937"/>
          <w:sz w:val="20"/>
        </w:rPr>
        <w:t>Sec. 1103. Limitations.</w:t>
      </w:r>
    </w:p>
    <w:p>
      <w:pPr>
        <w:pStyle w:val="TOCEntry"/>
      </w:pPr>
      <w:r>
        <w:rPr>
          <w:rFonts w:ascii="Times New Roman" w:hAnsi="Times New Roman"/>
          <w:b w:val="0"/>
          <w:color w:val="1F2937"/>
          <w:sz w:val="20"/>
        </w:rPr>
        <w:t>Sec. 1104. Anti-pass-through transparency.</w:t>
      </w:r>
    </w:p>
    <w:p>
      <w:pPr>
        <w:pStyle w:val="TitleHeading"/>
      </w:pPr>
      <w:r>
        <w:rPr>
          <w:rFonts w:ascii="Calibri" w:hAnsi="Calibri"/>
          <w:b/>
          <w:color w:val="0B2545"/>
          <w:sz w:val="20"/>
        </w:rPr>
        <w:t>Title XII. Enforcement, Penalties, Preemption, and Effective Dates</w:t>
      </w:r>
    </w:p>
    <w:p>
      <w:pPr>
        <w:pStyle w:val="TOCEntry"/>
      </w:pPr>
      <w:r>
        <w:rPr>
          <w:rFonts w:ascii="Times New Roman" w:hAnsi="Times New Roman"/>
          <w:b w:val="0"/>
          <w:color w:val="1F2937"/>
          <w:sz w:val="20"/>
        </w:rPr>
        <w:t>Sec. 1201. Enforcement by the Federal Trade Commission.</w:t>
      </w:r>
    </w:p>
    <w:p>
      <w:pPr>
        <w:pStyle w:val="TOCEntry"/>
      </w:pPr>
      <w:r>
        <w:rPr>
          <w:rFonts w:ascii="Times New Roman" w:hAnsi="Times New Roman"/>
          <w:b w:val="0"/>
          <w:color w:val="1F2937"/>
          <w:sz w:val="20"/>
        </w:rPr>
        <w:t>Sec. 1202. Enforcement by State attorneys general.</w:t>
      </w:r>
    </w:p>
    <w:p>
      <w:pPr>
        <w:pStyle w:val="TOCEntry"/>
      </w:pPr>
      <w:r>
        <w:rPr>
          <w:rFonts w:ascii="Times New Roman" w:hAnsi="Times New Roman"/>
          <w:b w:val="0"/>
          <w:color w:val="1F2937"/>
          <w:sz w:val="20"/>
        </w:rPr>
        <w:t>Sec. 1203. Civil penalties.</w:t>
      </w:r>
    </w:p>
    <w:p>
      <w:pPr>
        <w:pStyle w:val="TOCEntry"/>
      </w:pPr>
      <w:r>
        <w:rPr>
          <w:rFonts w:ascii="Times New Roman" w:hAnsi="Times New Roman"/>
          <w:b w:val="0"/>
          <w:color w:val="1F2937"/>
          <w:sz w:val="20"/>
        </w:rPr>
        <w:t>Sec. 1204. Compliance orders and equitable relief.</w:t>
      </w:r>
    </w:p>
    <w:p>
      <w:pPr>
        <w:pStyle w:val="TOCEntry"/>
      </w:pPr>
      <w:r>
        <w:rPr>
          <w:rFonts w:ascii="Times New Roman" w:hAnsi="Times New Roman"/>
          <w:b w:val="0"/>
          <w:color w:val="1F2937"/>
          <w:sz w:val="20"/>
        </w:rPr>
        <w:t>Sec. 1205. Safe harbors.</w:t>
      </w:r>
    </w:p>
    <w:p>
      <w:pPr>
        <w:pStyle w:val="TOCEntry"/>
      </w:pPr>
      <w:r>
        <w:rPr>
          <w:rFonts w:ascii="Times New Roman" w:hAnsi="Times New Roman"/>
          <w:b w:val="0"/>
          <w:color w:val="1F2937"/>
          <w:sz w:val="20"/>
        </w:rPr>
        <w:t>Sec. 1206. Relation to section 230.</w:t>
      </w:r>
    </w:p>
    <w:p>
      <w:pPr>
        <w:pStyle w:val="TOCEntry"/>
      </w:pPr>
      <w:r>
        <w:rPr>
          <w:rFonts w:ascii="Times New Roman" w:hAnsi="Times New Roman"/>
          <w:b w:val="0"/>
          <w:color w:val="1F2937"/>
          <w:sz w:val="20"/>
        </w:rPr>
        <w:t>Sec. 1207. Preemption and savings.</w:t>
      </w:r>
    </w:p>
    <w:p>
      <w:pPr>
        <w:pStyle w:val="TOCEntry"/>
      </w:pPr>
      <w:r>
        <w:rPr>
          <w:rFonts w:ascii="Times New Roman" w:hAnsi="Times New Roman"/>
          <w:b w:val="0"/>
          <w:color w:val="1F2937"/>
          <w:sz w:val="20"/>
        </w:rPr>
        <w:t>Sec. 1208. Severability.</w:t>
      </w:r>
    </w:p>
    <w:p>
      <w:pPr>
        <w:pStyle w:val="TOCEntry"/>
      </w:pPr>
      <w:r>
        <w:rPr>
          <w:rFonts w:ascii="Times New Roman" w:hAnsi="Times New Roman"/>
          <w:b w:val="0"/>
          <w:color w:val="1F2937"/>
          <w:sz w:val="20"/>
        </w:rPr>
        <w:t>Sec. 1209. Rulemaking.</w:t>
      </w:r>
    </w:p>
    <w:p>
      <w:pPr>
        <w:pStyle w:val="TOCEntry"/>
      </w:pPr>
      <w:r>
        <w:rPr>
          <w:rFonts w:ascii="Times New Roman" w:hAnsi="Times New Roman"/>
          <w:b w:val="0"/>
          <w:color w:val="1F2937"/>
          <w:sz w:val="20"/>
        </w:rPr>
        <w:t>Sec. 1210. Effective dates.</w:t>
      </w:r>
    </w:p>
    <w:p>
      <w:pPr>
        <w:pStyle w:val="TOCEntry"/>
      </w:pPr>
      <w:r>
        <w:rPr>
          <w:rFonts w:ascii="Times New Roman" w:hAnsi="Times New Roman"/>
          <w:b w:val="0"/>
          <w:color w:val="1F2937"/>
          <w:sz w:val="20"/>
        </w:rPr>
        <w:t>Sec. 1211. Authorization of appropriations.</w:t>
      </w:r>
    </w:p>
    <w:p>
      <w:pPr>
        <w:pStyle w:val="Heading1Custom"/>
      </w:pPr>
      <w:r>
        <w:rPr>
          <w:rFonts w:ascii="Calibri" w:hAnsi="Calibri"/>
          <w:b/>
          <w:color w:val="2E74B5"/>
          <w:sz w:val="32"/>
        </w:rPr>
        <w:t>TITLE I. GENERAL PROVISIONS AND FIRST AMENDMENT SAFEGUARDS</w:t>
      </w:r>
    </w:p>
    <w:p>
      <w:pPr>
        <w:pStyle w:val="SectionHeading"/>
      </w:pPr>
      <w:r>
        <w:rPr>
          <w:rFonts w:ascii="Calibri" w:hAnsi="Calibri"/>
          <w:b/>
          <w:color w:val="0B2545"/>
          <w:sz w:val="19"/>
        </w:rPr>
        <w:t>SEC. 101. FINDINGS.</w:t>
      </w:r>
    </w:p>
    <w:p>
      <w:pPr>
        <w:pStyle w:val="LegalBody"/>
      </w:pPr>
      <w:r>
        <w:rPr>
          <w:rFonts w:ascii="Times New Roman" w:hAnsi="Times New Roman"/>
          <w:b w:val="0"/>
          <w:color w:val="1F2937"/>
          <w:sz w:val="20"/>
        </w:rPr>
        <w:t>Congress finds the following:</w:t>
      </w:r>
    </w:p>
    <w:p>
      <w:pPr>
        <w:pStyle w:val="LegalLevel2"/>
      </w:pPr>
      <w:r>
        <w:rPr>
          <w:rFonts w:ascii="Times New Roman" w:hAnsi="Times New Roman"/>
          <w:b w:val="0"/>
          <w:color w:val="1F2937"/>
          <w:sz w:val="20"/>
        </w:rPr>
        <w:t>1. Modern civic, cultural, economic, and public-health life depends substantially on digital systems that select, rank, recommend, monetize, and distribute information at scale.</w:t>
      </w:r>
    </w:p>
    <w:p>
      <w:pPr>
        <w:pStyle w:val="LegalLevel2"/>
      </w:pPr>
      <w:r>
        <w:rPr>
          <w:rFonts w:ascii="Times New Roman" w:hAnsi="Times New Roman"/>
          <w:b w:val="0"/>
          <w:color w:val="1F2937"/>
          <w:sz w:val="20"/>
        </w:rPr>
        <w:t>2. Digital attention markets can reward high-arousal distribution patterns, including outrage, fear, humiliation, harassment, deception, synthetic impersonation, and manipulative amplification, without requiring the platform operator to adopt those messages as its own.</w:t>
      </w:r>
    </w:p>
    <w:p>
      <w:pPr>
        <w:pStyle w:val="LegalLevel2"/>
      </w:pPr>
      <w:r>
        <w:rPr>
          <w:rFonts w:ascii="Times New Roman" w:hAnsi="Times New Roman"/>
          <w:b w:val="0"/>
          <w:color w:val="1F2937"/>
          <w:sz w:val="20"/>
        </w:rPr>
        <w:t>3. A democratic society has a substantial interest in ensuring that dominant digital attention businesses operate with transparency, accountability, consumer protection, user control, provenance, and research access.</w:t>
      </w:r>
    </w:p>
    <w:p>
      <w:pPr>
        <w:pStyle w:val="LegalLevel2"/>
      </w:pPr>
      <w:r>
        <w:rPr>
          <w:rFonts w:ascii="Times New Roman" w:hAnsi="Times New Roman"/>
          <w:b w:val="0"/>
          <w:color w:val="1F2937"/>
          <w:sz w:val="20"/>
        </w:rPr>
        <w:t>4. The freedom of speech and of the press prohibits the Government from licensing journalism, deciding truth or falsity of ordinary public debate, compelling viewpoint balance, requiring platforms to carry or suppress lawful expression, or coercing private moderation decisions.</w:t>
      </w:r>
    </w:p>
    <w:p>
      <w:pPr>
        <w:pStyle w:val="LegalLevel2"/>
      </w:pPr>
      <w:r>
        <w:rPr>
          <w:rFonts w:ascii="Times New Roman" w:hAnsi="Times New Roman"/>
          <w:b w:val="0"/>
          <w:color w:val="1F2937"/>
          <w:sz w:val="20"/>
        </w:rPr>
        <w:t>5. Congress may regulate unfair or deceptive acts or practices in commerce, commercial disclosures, digital advertising, monetization systems, synthetic-media provenance, education grants, federal spending programs, federal procurement, taxation, and interstate digital markets.</w:t>
      </w:r>
    </w:p>
    <w:p>
      <w:pPr>
        <w:pStyle w:val="LegalLevel2"/>
      </w:pPr>
      <w:r>
        <w:rPr>
          <w:rFonts w:ascii="Times New Roman" w:hAnsi="Times New Roman"/>
          <w:b w:val="0"/>
          <w:color w:val="1F2937"/>
          <w:sz w:val="20"/>
        </w:rPr>
        <w:t>6. The public interest is served by improving media literacy, supporting independent public-interest journalism through viewpoint-neutral structures, and reducing commercial incentives for deceptive amplification.</w:t>
      </w:r>
    </w:p>
    <w:p>
      <w:pPr>
        <w:pStyle w:val="SectionHeading"/>
      </w:pPr>
      <w:r>
        <w:rPr>
          <w:rFonts w:ascii="Calibri" w:hAnsi="Calibri"/>
          <w:b/>
          <w:color w:val="0B2545"/>
          <w:sz w:val="19"/>
        </w:rPr>
        <w:t>SEC. 102. PURPOSES.</w:t>
      </w:r>
    </w:p>
    <w:p>
      <w:pPr>
        <w:pStyle w:val="LegalBody"/>
      </w:pPr>
      <w:r>
        <w:rPr>
          <w:rFonts w:ascii="Times New Roman" w:hAnsi="Times New Roman"/>
          <w:b w:val="0"/>
          <w:color w:val="1F2937"/>
          <w:sz w:val="20"/>
        </w:rPr>
        <w:t>The purposes of this Act are:</w:t>
      </w:r>
    </w:p>
    <w:p>
      <w:pPr>
        <w:pStyle w:val="LegalLevel2"/>
      </w:pPr>
      <w:r>
        <w:rPr>
          <w:rFonts w:ascii="Times New Roman" w:hAnsi="Times New Roman"/>
          <w:b w:val="0"/>
          <w:color w:val="1F2937"/>
          <w:sz w:val="20"/>
        </w:rPr>
        <w:t>1. to require large digital attention platforms to disclose how major recommender and monetization systems operate at a meaningful level of generality;</w:t>
      </w:r>
    </w:p>
    <w:p>
      <w:pPr>
        <w:pStyle w:val="LegalLevel2"/>
      </w:pPr>
      <w:r>
        <w:rPr>
          <w:rFonts w:ascii="Times New Roman" w:hAnsi="Times New Roman"/>
          <w:b w:val="0"/>
          <w:color w:val="1F2937"/>
          <w:sz w:val="20"/>
        </w:rPr>
        <w:t>2. to create content-neutral friction before rapid redistribution of high-velocity content;</w:t>
      </w:r>
    </w:p>
    <w:p>
      <w:pPr>
        <w:pStyle w:val="LegalLevel2"/>
      </w:pPr>
      <w:r>
        <w:rPr>
          <w:rFonts w:ascii="Times New Roman" w:hAnsi="Times New Roman"/>
          <w:b w:val="0"/>
          <w:color w:val="1F2937"/>
          <w:sz w:val="20"/>
        </w:rPr>
        <w:t>3. to improve provenance for images, video, audio, and synthetic media;</w:t>
      </w:r>
    </w:p>
    <w:p>
      <w:pPr>
        <w:pStyle w:val="LegalLevel2"/>
      </w:pPr>
      <w:r>
        <w:rPr>
          <w:rFonts w:ascii="Times New Roman" w:hAnsi="Times New Roman"/>
          <w:b w:val="0"/>
          <w:color w:val="1F2937"/>
          <w:sz w:val="20"/>
        </w:rPr>
        <w:t>4. to require clear labeling of paid, sponsored, synthetic, and self-designated format categories where constitutionally permissible;</w:t>
      </w:r>
    </w:p>
    <w:p>
      <w:pPr>
        <w:pStyle w:val="LegalLevel2"/>
      </w:pPr>
      <w:r>
        <w:rPr>
          <w:rFonts w:ascii="Times New Roman" w:hAnsi="Times New Roman"/>
          <w:b w:val="0"/>
          <w:color w:val="1F2937"/>
          <w:sz w:val="20"/>
        </w:rPr>
        <w:t>5. to reduce monetization incentives for deceptive amplification, fake engagement, undisclosed sponsorship, impersonation, and synthetic deception;</w:t>
      </w:r>
    </w:p>
    <w:p>
      <w:pPr>
        <w:pStyle w:val="LegalLevel2"/>
      </w:pPr>
      <w:r>
        <w:rPr>
          <w:rFonts w:ascii="Times New Roman" w:hAnsi="Times New Roman"/>
          <w:b w:val="0"/>
          <w:color w:val="1F2937"/>
          <w:sz w:val="20"/>
        </w:rPr>
        <w:t>6. to expand media literacy from childhood through adulthood;</w:t>
      </w:r>
    </w:p>
    <w:p>
      <w:pPr>
        <w:pStyle w:val="LegalLevel2"/>
      </w:pPr>
      <w:r>
        <w:rPr>
          <w:rFonts w:ascii="Times New Roman" w:hAnsi="Times New Roman"/>
          <w:b w:val="0"/>
          <w:color w:val="1F2937"/>
          <w:sz w:val="20"/>
        </w:rPr>
        <w:t>7. to support public-interest journalism without government editorial control;</w:t>
      </w:r>
    </w:p>
    <w:p>
      <w:pPr>
        <w:pStyle w:val="LegalLevel2"/>
      </w:pPr>
      <w:r>
        <w:rPr>
          <w:rFonts w:ascii="Times New Roman" w:hAnsi="Times New Roman"/>
          <w:b w:val="0"/>
          <w:color w:val="1F2937"/>
          <w:sz w:val="20"/>
        </w:rPr>
        <w:t>8. to create enforceable duties for covered businesses while preserving expressive freedom.</w:t>
      </w:r>
    </w:p>
    <w:p>
      <w:pPr>
        <w:pStyle w:val="SectionHeading"/>
      </w:pPr>
      <w:r>
        <w:rPr>
          <w:rFonts w:ascii="Calibri" w:hAnsi="Calibri"/>
          <w:b/>
          <w:color w:val="0B2545"/>
          <w:sz w:val="19"/>
        </w:rPr>
        <w:t>SEC. 103. CONSTITUTIONAL RULE OF CONSTRUCTION.</w:t>
      </w:r>
    </w:p>
    <w:p>
      <w:pPr>
        <w:pStyle w:val="LegalLevel1"/>
      </w:pPr>
      <w:r>
        <w:rPr>
          <w:rFonts w:ascii="Times New Roman" w:hAnsi="Times New Roman"/>
          <w:b w:val="0"/>
          <w:color w:val="1F2937"/>
          <w:sz w:val="20"/>
        </w:rPr>
        <w:t xml:space="preserve">(a) </w:t>
      </w:r>
      <w:r>
        <w:rPr>
          <w:rFonts w:ascii="Times New Roman" w:hAnsi="Times New Roman"/>
          <w:b/>
          <w:color w:val="1F2937"/>
          <w:sz w:val="20"/>
        </w:rPr>
        <w:t>In General.</w:t>
      </w:r>
      <w:r>
        <w:rPr>
          <w:rFonts w:ascii="Times New Roman" w:hAnsi="Times New Roman"/>
          <w:b w:val="0"/>
          <w:color w:val="1F2937"/>
          <w:sz w:val="20"/>
        </w:rPr>
        <w:t xml:space="preserve"> Nothing in this Act shall be construed to authorize any officer, employee, contractor, grantee, or agent of the United States to:</w:t>
      </w:r>
    </w:p>
    <w:p>
      <w:pPr>
        <w:pStyle w:val="LegalLevel2"/>
      </w:pPr>
      <w:r>
        <w:rPr>
          <w:rFonts w:ascii="Times New Roman" w:hAnsi="Times New Roman"/>
          <w:b w:val="0"/>
          <w:color w:val="1F2937"/>
          <w:sz w:val="20"/>
        </w:rPr>
        <w:t>1. determine the truth or falsity of lawful speech in public debate;</w:t>
      </w:r>
    </w:p>
    <w:p>
      <w:pPr>
        <w:pStyle w:val="LegalLevel2"/>
      </w:pPr>
      <w:r>
        <w:rPr>
          <w:rFonts w:ascii="Times New Roman" w:hAnsi="Times New Roman"/>
          <w:b w:val="0"/>
          <w:color w:val="1F2937"/>
          <w:sz w:val="20"/>
        </w:rPr>
        <w:t>2. require the removal, suppression, demotion, demonetization, labeling as false, or disfavoring of lawful speech because of viewpoint, ideology, religion, political opinion, journalistic judgment, scientific theory, artistic expression, satire, parody, or criticism of government;</w:t>
      </w:r>
    </w:p>
    <w:p>
      <w:pPr>
        <w:pStyle w:val="LegalLevel2"/>
      </w:pPr>
      <w:r>
        <w:rPr>
          <w:rFonts w:ascii="Times New Roman" w:hAnsi="Times New Roman"/>
          <w:b w:val="0"/>
          <w:color w:val="1F2937"/>
          <w:sz w:val="20"/>
        </w:rPr>
        <w:t>3. require a covered platform to carry, recommend, rank, prioritize, or amplify any lawful speech;</w:t>
      </w:r>
    </w:p>
    <w:p>
      <w:pPr>
        <w:pStyle w:val="LegalLevel2"/>
      </w:pPr>
      <w:r>
        <w:rPr>
          <w:rFonts w:ascii="Times New Roman" w:hAnsi="Times New Roman"/>
          <w:b w:val="0"/>
          <w:color w:val="1F2937"/>
          <w:sz w:val="20"/>
        </w:rPr>
        <w:t>4. require viewpoint balance, ideological neutrality, equal time, fairness, or proportional representation in a private platform’s editorial, ranking, recommendation, or curation decisions;</w:t>
      </w:r>
    </w:p>
    <w:p>
      <w:pPr>
        <w:pStyle w:val="LegalLevel2"/>
      </w:pPr>
      <w:r>
        <w:rPr>
          <w:rFonts w:ascii="Times New Roman" w:hAnsi="Times New Roman"/>
          <w:b w:val="0"/>
          <w:color w:val="1F2937"/>
          <w:sz w:val="20"/>
        </w:rPr>
        <w:t>5. condition any federal benefit, grant, procurement, license, settlement, enforcement discretion, or regulatory treatment on favorable or unfavorable treatment of lawful speech.</w:t>
      </w:r>
    </w:p>
    <w:p>
      <w:pPr>
        <w:pStyle w:val="LegalLevel1"/>
      </w:pPr>
      <w:r>
        <w:rPr>
          <w:rFonts w:ascii="Times New Roman" w:hAnsi="Times New Roman"/>
          <w:b w:val="0"/>
          <w:color w:val="1F2937"/>
          <w:sz w:val="20"/>
        </w:rPr>
        <w:t xml:space="preserve">(b) </w:t>
      </w:r>
      <w:r>
        <w:rPr>
          <w:rFonts w:ascii="Times New Roman" w:hAnsi="Times New Roman"/>
          <w:b/>
          <w:color w:val="1F2937"/>
          <w:sz w:val="20"/>
        </w:rPr>
        <w:t>Protected Editorial Judgment.</w:t>
      </w:r>
      <w:r>
        <w:rPr>
          <w:rFonts w:ascii="Times New Roman" w:hAnsi="Times New Roman"/>
          <w:b w:val="0"/>
          <w:color w:val="1F2937"/>
          <w:sz w:val="20"/>
        </w:rPr>
        <w:t xml:space="preserve"> A covered platform retains editorial discretion protected by the First Amendment, subject only to content-neutral, viewpoint-neutral, and constitutionally permissible duties concerning transparency, consumer protection, commercial disclosures, provenance, privacy, data access, audits, taxation, and unfair or deceptive business practices.</w:t>
      </w:r>
    </w:p>
    <w:p>
      <w:pPr>
        <w:pStyle w:val="LegalLevel1"/>
      </w:pPr>
      <w:r>
        <w:rPr>
          <w:rFonts w:ascii="Times New Roman" w:hAnsi="Times New Roman"/>
          <w:b w:val="0"/>
          <w:color w:val="1F2937"/>
          <w:sz w:val="20"/>
        </w:rPr>
        <w:t xml:space="preserve">(c) </w:t>
      </w:r>
      <w:r>
        <w:rPr>
          <w:rFonts w:ascii="Times New Roman" w:hAnsi="Times New Roman"/>
          <w:b/>
          <w:color w:val="1F2937"/>
          <w:sz w:val="20"/>
        </w:rPr>
        <w:t>Least Speech-Restrictive Construction.</w:t>
      </w:r>
      <w:r>
        <w:rPr>
          <w:rFonts w:ascii="Times New Roman" w:hAnsi="Times New Roman"/>
          <w:b w:val="0"/>
          <w:color w:val="1F2937"/>
          <w:sz w:val="20"/>
        </w:rPr>
        <w:t xml:space="preserve"> Each provision of this Act shall be construed, where fairly possible, to avoid burdening protected speech or press activity.</w:t>
      </w:r>
    </w:p>
    <w:p>
      <w:pPr>
        <w:pStyle w:val="SectionHeading"/>
      </w:pPr>
      <w:r>
        <w:rPr>
          <w:rFonts w:ascii="Calibri" w:hAnsi="Calibri"/>
          <w:b/>
          <w:color w:val="0B2545"/>
          <w:sz w:val="19"/>
        </w:rPr>
        <w:t>SEC. 104. NO GOVERNMENT TRUTH AUTHORITY; NO COMPELLED VIEWPOINT BALANCE.</w:t>
      </w:r>
    </w:p>
    <w:p>
      <w:pPr>
        <w:pStyle w:val="LegalLevel1"/>
      </w:pPr>
      <w:r>
        <w:rPr>
          <w:rFonts w:ascii="Times New Roman" w:hAnsi="Times New Roman"/>
          <w:b w:val="0"/>
          <w:color w:val="1F2937"/>
          <w:sz w:val="20"/>
        </w:rPr>
        <w:t xml:space="preserve">(a) </w:t>
      </w:r>
      <w:r>
        <w:rPr>
          <w:rFonts w:ascii="Times New Roman" w:hAnsi="Times New Roman"/>
          <w:b/>
          <w:color w:val="1F2937"/>
          <w:sz w:val="20"/>
        </w:rPr>
        <w:t>No Truth Registry.</w:t>
      </w:r>
      <w:r>
        <w:rPr>
          <w:rFonts w:ascii="Times New Roman" w:hAnsi="Times New Roman"/>
          <w:b w:val="0"/>
          <w:color w:val="1F2937"/>
          <w:sz w:val="20"/>
        </w:rPr>
        <w:t xml:space="preserve"> No agency may create, maintain, fund, or require use of a federal registry, list, database, index, score, rating, or classification of persons, publications, speakers, viewpoints, ideologies, or lawful content as true, false, misleading, extremist, harmful, trustworthy, untrustworthy, approved, or disapproved.</w:t>
      </w:r>
    </w:p>
    <w:p>
      <w:pPr>
        <w:pStyle w:val="LegalLevel1"/>
      </w:pPr>
      <w:r>
        <w:rPr>
          <w:rFonts w:ascii="Times New Roman" w:hAnsi="Times New Roman"/>
          <w:b w:val="0"/>
          <w:color w:val="1F2937"/>
          <w:sz w:val="20"/>
        </w:rPr>
        <w:t xml:space="preserve">(b) </w:t>
      </w:r>
      <w:r>
        <w:rPr>
          <w:rFonts w:ascii="Times New Roman" w:hAnsi="Times New Roman"/>
          <w:b/>
          <w:color w:val="1F2937"/>
          <w:sz w:val="20"/>
        </w:rPr>
        <w:t>No Official News Licensing.</w:t>
      </w:r>
      <w:r>
        <w:rPr>
          <w:rFonts w:ascii="Times New Roman" w:hAnsi="Times New Roman"/>
          <w:b w:val="0"/>
          <w:color w:val="1F2937"/>
          <w:sz w:val="20"/>
        </w:rPr>
        <w:t xml:space="preserve"> No person shall be required to obtain federal recognition, registration, licensing, or approval as a journalist, news organization, commentator, satirist, analyst, creator, or publisher.</w:t>
      </w:r>
    </w:p>
    <w:p>
      <w:pPr>
        <w:pStyle w:val="LegalLevel1"/>
      </w:pPr>
      <w:r>
        <w:rPr>
          <w:rFonts w:ascii="Times New Roman" w:hAnsi="Times New Roman"/>
          <w:b w:val="0"/>
          <w:color w:val="1F2937"/>
          <w:sz w:val="20"/>
        </w:rPr>
        <w:t xml:space="preserve">(c) </w:t>
      </w:r>
      <w:r>
        <w:rPr>
          <w:rFonts w:ascii="Times New Roman" w:hAnsi="Times New Roman"/>
          <w:b/>
          <w:color w:val="1F2937"/>
          <w:sz w:val="20"/>
        </w:rPr>
        <w:t>No Federal Viewpoint Conditions.</w:t>
      </w:r>
      <w:r>
        <w:rPr>
          <w:rFonts w:ascii="Times New Roman" w:hAnsi="Times New Roman"/>
          <w:b w:val="0"/>
          <w:color w:val="1F2937"/>
          <w:sz w:val="20"/>
        </w:rPr>
        <w:t xml:space="preserve"> Grants or benefits under this Act shall be awarded without regard to whether the recipient’s lawful editorial, political, religious, scientific, cultural, artistic, or ideological views align with any federal, state, local, or platform position.</w:t>
      </w:r>
    </w:p>
    <w:p>
      <w:pPr>
        <w:pStyle w:val="SectionHeading"/>
      </w:pPr>
      <w:r>
        <w:rPr>
          <w:rFonts w:ascii="Calibri" w:hAnsi="Calibri"/>
          <w:b/>
          <w:color w:val="0B2545"/>
          <w:sz w:val="19"/>
        </w:rPr>
        <w:t>SEC. 105. AGENCY COMMUNICATIONS WITH PLATFORMS CONCERNING SPEECH.</w:t>
      </w:r>
    </w:p>
    <w:p>
      <w:pPr>
        <w:pStyle w:val="LegalLevel1"/>
      </w:pPr>
      <w:r>
        <w:rPr>
          <w:rFonts w:ascii="Times New Roman" w:hAnsi="Times New Roman"/>
          <w:b w:val="0"/>
          <w:color w:val="1F2937"/>
          <w:sz w:val="20"/>
        </w:rPr>
        <w:t xml:space="preserve">(a) </w:t>
      </w:r>
      <w:r>
        <w:rPr>
          <w:rFonts w:ascii="Times New Roman" w:hAnsi="Times New Roman"/>
          <w:b/>
          <w:color w:val="1F2937"/>
          <w:sz w:val="20"/>
        </w:rPr>
        <w:t>Written Communications Required.</w:t>
      </w:r>
      <w:r>
        <w:rPr>
          <w:rFonts w:ascii="Times New Roman" w:hAnsi="Times New Roman"/>
          <w:b w:val="0"/>
          <w:color w:val="1F2937"/>
          <w:sz w:val="20"/>
        </w:rPr>
        <w:t xml:space="preserve"> Except as provided in subsection (d), any communication by a federal agency to a covered platform concerning the moderation, labeling, ranking, removal, restriction, amplification, or monetization of specific lawful user-generated content shall be in writing.</w:t>
      </w:r>
    </w:p>
    <w:p>
      <w:pPr>
        <w:pStyle w:val="LegalLevel1"/>
      </w:pPr>
      <w:r>
        <w:rPr>
          <w:rFonts w:ascii="Times New Roman" w:hAnsi="Times New Roman"/>
          <w:b w:val="0"/>
          <w:color w:val="1F2937"/>
          <w:sz w:val="20"/>
        </w:rPr>
        <w:t xml:space="preserve">(b) </w:t>
      </w:r>
      <w:r>
        <w:rPr>
          <w:rFonts w:ascii="Times New Roman" w:hAnsi="Times New Roman"/>
          <w:b/>
          <w:color w:val="1F2937"/>
          <w:sz w:val="20"/>
        </w:rPr>
        <w:t>Public Log.</w:t>
      </w:r>
      <w:r>
        <w:rPr>
          <w:rFonts w:ascii="Times New Roman" w:hAnsi="Times New Roman"/>
          <w:b w:val="0"/>
          <w:color w:val="1F2937"/>
          <w:sz w:val="20"/>
        </w:rPr>
        <w:t xml:space="preserve"> Each agency shall maintain a publicly available quarterly log of communications described in subsection (a), including:</w:t>
      </w:r>
    </w:p>
    <w:p>
      <w:pPr>
        <w:pStyle w:val="LegalLevel2"/>
      </w:pPr>
      <w:r>
        <w:rPr>
          <w:rFonts w:ascii="Times New Roman" w:hAnsi="Times New Roman"/>
          <w:b w:val="0"/>
          <w:color w:val="1F2937"/>
          <w:sz w:val="20"/>
        </w:rPr>
        <w:t>1. the agency and office involved;</w:t>
      </w:r>
    </w:p>
    <w:p>
      <w:pPr>
        <w:pStyle w:val="LegalLevel2"/>
      </w:pPr>
      <w:r>
        <w:rPr>
          <w:rFonts w:ascii="Times New Roman" w:hAnsi="Times New Roman"/>
          <w:b w:val="0"/>
          <w:color w:val="1F2937"/>
          <w:sz w:val="20"/>
        </w:rPr>
        <w:t>2. the date of communication;</w:t>
      </w:r>
    </w:p>
    <w:p>
      <w:pPr>
        <w:pStyle w:val="LegalLevel2"/>
      </w:pPr>
      <w:r>
        <w:rPr>
          <w:rFonts w:ascii="Times New Roman" w:hAnsi="Times New Roman"/>
          <w:b w:val="0"/>
          <w:color w:val="1F2937"/>
          <w:sz w:val="20"/>
        </w:rPr>
        <w:t>3. the platform contacted;</w:t>
      </w:r>
    </w:p>
    <w:p>
      <w:pPr>
        <w:pStyle w:val="LegalLevel2"/>
      </w:pPr>
      <w:r>
        <w:rPr>
          <w:rFonts w:ascii="Times New Roman" w:hAnsi="Times New Roman"/>
          <w:b w:val="0"/>
          <w:color w:val="1F2937"/>
          <w:sz w:val="20"/>
        </w:rPr>
        <w:t>4. whether the communication concerned illegal content, cybersecurity, fraud, impersonation, imminent harm, court order compliance, national security, or another category;</w:t>
      </w:r>
    </w:p>
    <w:p>
      <w:pPr>
        <w:pStyle w:val="LegalLevel2"/>
      </w:pPr>
      <w:r>
        <w:rPr>
          <w:rFonts w:ascii="Times New Roman" w:hAnsi="Times New Roman"/>
          <w:b w:val="0"/>
          <w:color w:val="1F2937"/>
          <w:sz w:val="20"/>
        </w:rPr>
        <w:t>5. whether any action was requested or merely information was provided.</w:t>
      </w:r>
    </w:p>
    <w:p>
      <w:pPr>
        <w:pStyle w:val="LegalLevel1"/>
      </w:pPr>
      <w:r>
        <w:rPr>
          <w:rFonts w:ascii="Times New Roman" w:hAnsi="Times New Roman"/>
          <w:b w:val="0"/>
          <w:color w:val="1F2937"/>
          <w:sz w:val="20"/>
        </w:rPr>
        <w:t xml:space="preserve">(c) </w:t>
      </w:r>
      <w:r>
        <w:rPr>
          <w:rFonts w:ascii="Times New Roman" w:hAnsi="Times New Roman"/>
          <w:b/>
          <w:color w:val="1F2937"/>
          <w:sz w:val="20"/>
        </w:rPr>
        <w:t>No Coercion.</w:t>
      </w:r>
      <w:r>
        <w:rPr>
          <w:rFonts w:ascii="Times New Roman" w:hAnsi="Times New Roman"/>
          <w:b w:val="0"/>
          <w:color w:val="1F2937"/>
          <w:sz w:val="20"/>
        </w:rPr>
        <w:t xml:space="preserve"> No agency may threaten, expressly or by implication, adverse regulatory, enforcement, procurement, grant, tax, antitrust, licensing, or legislative consequences for a covered platform’s refusal to remove, suppress, label, rank, or demonetize lawful speech.</w:t>
      </w:r>
    </w:p>
    <w:p>
      <w:pPr>
        <w:pStyle w:val="LegalLevel1"/>
      </w:pPr>
      <w:r>
        <w:rPr>
          <w:rFonts w:ascii="Times New Roman" w:hAnsi="Times New Roman"/>
          <w:b w:val="0"/>
          <w:color w:val="1F2937"/>
          <w:sz w:val="20"/>
        </w:rPr>
        <w:t xml:space="preserve">(d) </w:t>
      </w:r>
      <w:r>
        <w:rPr>
          <w:rFonts w:ascii="Times New Roman" w:hAnsi="Times New Roman"/>
          <w:b/>
          <w:color w:val="1F2937"/>
          <w:sz w:val="20"/>
        </w:rPr>
        <w:t>Exceptions.</w:t>
      </w:r>
      <w:r>
        <w:rPr>
          <w:rFonts w:ascii="Times New Roman" w:hAnsi="Times New Roman"/>
          <w:b w:val="0"/>
          <w:color w:val="1F2937"/>
          <w:sz w:val="20"/>
        </w:rPr>
        <w:t xml:space="preserve"> Subsections (a) and (b) shall not apply to communications that:</w:t>
      </w:r>
    </w:p>
    <w:p>
      <w:pPr>
        <w:pStyle w:val="LegalLevel2"/>
      </w:pPr>
      <w:r>
        <w:rPr>
          <w:rFonts w:ascii="Times New Roman" w:hAnsi="Times New Roman"/>
          <w:b w:val="0"/>
          <w:color w:val="1F2937"/>
          <w:sz w:val="20"/>
        </w:rPr>
        <w:t>1. are made pursuant to a court order, warrant, subpoena, civil investigative demand, lawful national security process, or emergency disclosure process;</w:t>
      </w:r>
    </w:p>
    <w:p>
      <w:pPr>
        <w:pStyle w:val="LegalLevel2"/>
      </w:pPr>
      <w:r>
        <w:rPr>
          <w:rFonts w:ascii="Times New Roman" w:hAnsi="Times New Roman"/>
          <w:b w:val="0"/>
          <w:color w:val="1F2937"/>
          <w:sz w:val="20"/>
        </w:rPr>
        <w:t>2. concern child sexual abuse material, human trafficking, nonconsensual intimate imagery, cyber intrusions, fraud, terrorism, true threats, stalking, or other unlawful conduct;</w:t>
      </w:r>
    </w:p>
    <w:p>
      <w:pPr>
        <w:pStyle w:val="LegalLevel2"/>
      </w:pPr>
      <w:r>
        <w:rPr>
          <w:rFonts w:ascii="Times New Roman" w:hAnsi="Times New Roman"/>
          <w:b w:val="0"/>
          <w:color w:val="1F2937"/>
          <w:sz w:val="20"/>
        </w:rPr>
        <w:t>3. would reveal classified information or compromise an active law-enforcement, cybersecurity, or national-security investigation.</w:t>
      </w:r>
    </w:p>
    <w:p>
      <w:pPr>
        <w:pStyle w:val="LegalLevel1"/>
      </w:pPr>
      <w:r>
        <w:rPr>
          <w:rFonts w:ascii="Times New Roman" w:hAnsi="Times New Roman"/>
          <w:b w:val="0"/>
          <w:color w:val="1F2937"/>
          <w:sz w:val="20"/>
        </w:rPr>
        <w:t xml:space="preserve">(e) </w:t>
      </w:r>
      <w:r>
        <w:rPr>
          <w:rFonts w:ascii="Times New Roman" w:hAnsi="Times New Roman"/>
          <w:b/>
          <w:color w:val="1F2937"/>
          <w:sz w:val="20"/>
        </w:rPr>
        <w:t>Annual Inspector General Review.</w:t>
      </w:r>
      <w:r>
        <w:rPr>
          <w:rFonts w:ascii="Times New Roman" w:hAnsi="Times New Roman"/>
          <w:b w:val="0"/>
          <w:color w:val="1F2937"/>
          <w:sz w:val="20"/>
        </w:rPr>
        <w:t xml:space="preserve"> Each agency that regularly communicates with covered platforms shall submit an annual report to its Inspector General evaluating compliance with this section.</w:t>
      </w:r>
    </w:p>
    <w:p>
      <w:pPr>
        <w:pStyle w:val="Heading1Custom"/>
      </w:pPr>
      <w:r>
        <w:rPr>
          <w:rFonts w:ascii="Calibri" w:hAnsi="Calibri"/>
          <w:b/>
          <w:color w:val="2E74B5"/>
          <w:sz w:val="32"/>
        </w:rPr>
        <w:t>TITLE II. COVERED DIGITAL ATTENTION PLATFORMS</w:t>
      </w:r>
    </w:p>
    <w:p>
      <w:pPr>
        <w:pStyle w:val="SectionHeading"/>
      </w:pPr>
      <w:r>
        <w:rPr>
          <w:rFonts w:ascii="Calibri" w:hAnsi="Calibri"/>
          <w:b/>
          <w:color w:val="0B2545"/>
          <w:sz w:val="19"/>
        </w:rPr>
        <w:t>SEC. 201. DEFINITIONS.</w:t>
      </w:r>
    </w:p>
    <w:p>
      <w:pPr>
        <w:pStyle w:val="LegalBody"/>
      </w:pPr>
      <w:r>
        <w:rPr>
          <w:rFonts w:ascii="Times New Roman" w:hAnsi="Times New Roman"/>
          <w:b w:val="0"/>
          <w:color w:val="1F2937"/>
          <w:sz w:val="20"/>
        </w:rPr>
        <w:t>In this Act:</w:t>
      </w:r>
    </w:p>
    <w:p>
      <w:pPr>
        <w:pStyle w:val="LegalLevel2"/>
      </w:pPr>
      <w:r>
        <w:rPr>
          <w:rFonts w:ascii="Times New Roman" w:hAnsi="Times New Roman"/>
          <w:b w:val="0"/>
          <w:color w:val="1F2937"/>
          <w:sz w:val="20"/>
        </w:rPr>
        <w:t xml:space="preserve">1. </w:t>
      </w:r>
      <w:r>
        <w:rPr>
          <w:rFonts w:ascii="Times New Roman" w:hAnsi="Times New Roman"/>
          <w:b/>
          <w:color w:val="1F2937"/>
          <w:sz w:val="20"/>
        </w:rPr>
        <w:t>Commission</w:t>
      </w:r>
      <w:r>
        <w:rPr>
          <w:rFonts w:ascii="Times New Roman" w:hAnsi="Times New Roman"/>
          <w:b w:val="0"/>
          <w:color w:val="1F2937"/>
          <w:sz w:val="20"/>
        </w:rPr>
        <w:t xml:space="preserve"> means the Federal Trade Commission.</w:t>
      </w:r>
    </w:p>
    <w:p>
      <w:pPr>
        <w:pStyle w:val="LegalLevel2"/>
      </w:pPr>
      <w:r>
        <w:rPr>
          <w:rFonts w:ascii="Times New Roman" w:hAnsi="Times New Roman"/>
          <w:b w:val="0"/>
          <w:color w:val="1F2937"/>
          <w:sz w:val="20"/>
        </w:rPr>
        <w:t xml:space="preserve">2. </w:t>
      </w:r>
      <w:r>
        <w:rPr>
          <w:rFonts w:ascii="Times New Roman" w:hAnsi="Times New Roman"/>
          <w:b/>
          <w:color w:val="1F2937"/>
          <w:sz w:val="20"/>
        </w:rPr>
        <w:t>Covered digital attention platform</w:t>
      </w:r>
      <w:r>
        <w:rPr>
          <w:rFonts w:ascii="Times New Roman" w:hAnsi="Times New Roman"/>
          <w:b w:val="0"/>
          <w:color w:val="1F2937"/>
          <w:sz w:val="20"/>
        </w:rPr>
        <w:t xml:space="preserve"> means an online service, website, application, or connected digital environment that:</w:t>
      </w:r>
    </w:p>
    <w:p>
      <w:pPr>
        <w:pStyle w:val="LegalLevel2"/>
      </w:pPr>
      <w:r>
        <w:rPr>
          <w:rFonts w:ascii="Times New Roman" w:hAnsi="Times New Roman"/>
          <w:b w:val="0"/>
          <w:color w:val="1F2937"/>
          <w:sz w:val="20"/>
        </w:rPr>
        <w:t>(A) is operated for profit or commercial advantage;</w:t>
      </w:r>
    </w:p>
    <w:p>
      <w:pPr>
        <w:pStyle w:val="LegalLevel2"/>
      </w:pPr>
      <w:r>
        <w:rPr>
          <w:rFonts w:ascii="Times New Roman" w:hAnsi="Times New Roman"/>
          <w:b w:val="0"/>
          <w:color w:val="1F2937"/>
          <w:sz w:val="20"/>
        </w:rPr>
        <w:t>(B) distributes, recommends, ranks, amplifies, monetizes, or enables public or semi-public sharing of user-generated content, creator content, news content, paid content, or synthetic media;</w:t>
      </w:r>
    </w:p>
    <w:p>
      <w:pPr>
        <w:pStyle w:val="LegalLevel2"/>
      </w:pPr>
      <w:r>
        <w:rPr>
          <w:rFonts w:ascii="Times New Roman" w:hAnsi="Times New Roman"/>
          <w:b w:val="0"/>
          <w:color w:val="1F2937"/>
          <w:sz w:val="20"/>
        </w:rPr>
        <w:t>(C) uses a recommender system, personalized ranking system, trending system, paid amplification system, creator monetization program, advertising exchange, or engagement-based distribution mechanism; and</w:t>
      </w:r>
    </w:p>
    <w:p>
      <w:pPr>
        <w:pStyle w:val="LegalLevel2"/>
      </w:pPr>
      <w:r>
        <w:rPr>
          <w:rFonts w:ascii="Times New Roman" w:hAnsi="Times New Roman"/>
          <w:b w:val="0"/>
          <w:color w:val="1F2937"/>
          <w:sz w:val="20"/>
        </w:rPr>
        <w:t>(D) meets the threshold under section 202.</w:t>
      </w:r>
    </w:p>
    <w:p>
      <w:pPr>
        <w:pStyle w:val="LegalLevel2"/>
      </w:pPr>
      <w:r>
        <w:rPr>
          <w:rFonts w:ascii="Times New Roman" w:hAnsi="Times New Roman"/>
          <w:b w:val="0"/>
          <w:color w:val="1F2937"/>
          <w:sz w:val="20"/>
        </w:rPr>
        <w:t xml:space="preserve">3. </w:t>
      </w:r>
      <w:r>
        <w:rPr>
          <w:rFonts w:ascii="Times New Roman" w:hAnsi="Times New Roman"/>
          <w:b/>
          <w:color w:val="1F2937"/>
          <w:sz w:val="20"/>
        </w:rPr>
        <w:t>Covered digital attention revenue</w:t>
      </w:r>
      <w:r>
        <w:rPr>
          <w:rFonts w:ascii="Times New Roman" w:hAnsi="Times New Roman"/>
          <w:b w:val="0"/>
          <w:color w:val="1F2937"/>
          <w:sz w:val="20"/>
        </w:rPr>
        <w:t xml:space="preserve"> means gross revenue derived from digital advertising, paid amplification, sponsored content placement, creator monetization intermediation, subscription products tied to algorithmic distribution, data-driven targeting, recommender-system monetization, or other commercial use of attention, engagement, reach, impressions, or user profiling in the United States.</w:t>
      </w:r>
    </w:p>
    <w:p>
      <w:pPr>
        <w:pStyle w:val="LegalLevel2"/>
      </w:pPr>
      <w:r>
        <w:rPr>
          <w:rFonts w:ascii="Times New Roman" w:hAnsi="Times New Roman"/>
          <w:b w:val="0"/>
          <w:color w:val="1F2937"/>
          <w:sz w:val="20"/>
        </w:rPr>
        <w:t xml:space="preserve">4. </w:t>
      </w:r>
      <w:r>
        <w:rPr>
          <w:rFonts w:ascii="Times New Roman" w:hAnsi="Times New Roman"/>
          <w:b/>
          <w:color w:val="1F2937"/>
          <w:sz w:val="20"/>
        </w:rPr>
        <w:t>Covered recommender system</w:t>
      </w:r>
      <w:r>
        <w:rPr>
          <w:rFonts w:ascii="Times New Roman" w:hAnsi="Times New Roman"/>
          <w:b w:val="0"/>
          <w:color w:val="1F2937"/>
          <w:sz w:val="20"/>
        </w:rPr>
        <w:t xml:space="preserve"> means any computational process, including a machine-learning model, ranking model, rules-based ranking system, trending system, retrieval system, or hybrid system, that selects, orders, prioritizes, suggests, promotes, demotes, queues, autoplays, or otherwise distributes content to users based in whole or substantial part on predicted relevance, predicted engagement, user behavior, user profiling, content features, social graph, payment, or platform objectives.</w:t>
      </w:r>
    </w:p>
    <w:p>
      <w:pPr>
        <w:pStyle w:val="LegalLevel2"/>
      </w:pPr>
      <w:r>
        <w:rPr>
          <w:rFonts w:ascii="Times New Roman" w:hAnsi="Times New Roman"/>
          <w:b w:val="0"/>
          <w:color w:val="1F2937"/>
          <w:sz w:val="20"/>
        </w:rPr>
        <w:t xml:space="preserve">5. </w:t>
      </w:r>
      <w:r>
        <w:rPr>
          <w:rFonts w:ascii="Times New Roman" w:hAnsi="Times New Roman"/>
          <w:b/>
          <w:color w:val="1F2937"/>
          <w:sz w:val="20"/>
        </w:rPr>
        <w:t>High-distribution content</w:t>
      </w:r>
      <w:r>
        <w:rPr>
          <w:rFonts w:ascii="Times New Roman" w:hAnsi="Times New Roman"/>
          <w:b w:val="0"/>
          <w:color w:val="1F2937"/>
          <w:sz w:val="20"/>
        </w:rPr>
        <w:t xml:space="preserve"> means public or semi-public content that, during a measurement period established by rule, receives impressions, views, shares, forwards, reposts, paid impressions, recommendations, or other distribution exceeding the greater of:</w:t>
      </w:r>
    </w:p>
    <w:p>
      <w:pPr>
        <w:pStyle w:val="LegalLevel2"/>
      </w:pPr>
      <w:r>
        <w:rPr>
          <w:rFonts w:ascii="Times New Roman" w:hAnsi="Times New Roman"/>
          <w:b w:val="0"/>
          <w:color w:val="1F2937"/>
          <w:sz w:val="20"/>
        </w:rPr>
        <w:t>(A) 500,000 United States user impressions in 24 hours;</w:t>
      </w:r>
    </w:p>
    <w:p>
      <w:pPr>
        <w:pStyle w:val="LegalLevel2"/>
      </w:pPr>
      <w:r>
        <w:rPr>
          <w:rFonts w:ascii="Times New Roman" w:hAnsi="Times New Roman"/>
          <w:b w:val="0"/>
          <w:color w:val="1F2937"/>
          <w:sz w:val="20"/>
        </w:rPr>
        <w:t>(B) 2,000,000 United States user impressions in 7 days; or</w:t>
      </w:r>
    </w:p>
    <w:p>
      <w:pPr>
        <w:pStyle w:val="LegalLevel2"/>
      </w:pPr>
      <w:r>
        <w:rPr>
          <w:rFonts w:ascii="Times New Roman" w:hAnsi="Times New Roman"/>
          <w:b w:val="0"/>
          <w:color w:val="1F2937"/>
          <w:sz w:val="20"/>
        </w:rPr>
        <w:t>(C) a platform-specific distribution threshold established by the Commission that captures not more than the top 0.5 percent of distributed content on the platform.</w:t>
      </w:r>
    </w:p>
    <w:p>
      <w:pPr>
        <w:pStyle w:val="LegalLevel2"/>
      </w:pPr>
      <w:r>
        <w:rPr>
          <w:rFonts w:ascii="Times New Roman" w:hAnsi="Times New Roman"/>
          <w:b w:val="0"/>
          <w:color w:val="1F2937"/>
          <w:sz w:val="20"/>
        </w:rPr>
        <w:t xml:space="preserve">6. </w:t>
      </w:r>
      <w:r>
        <w:rPr>
          <w:rFonts w:ascii="Times New Roman" w:hAnsi="Times New Roman"/>
          <w:b/>
          <w:color w:val="1F2937"/>
          <w:sz w:val="20"/>
        </w:rPr>
        <w:t>High-velocity redistribution event</w:t>
      </w:r>
      <w:r>
        <w:rPr>
          <w:rFonts w:ascii="Times New Roman" w:hAnsi="Times New Roman"/>
          <w:b w:val="0"/>
          <w:color w:val="1F2937"/>
          <w:sz w:val="20"/>
        </w:rPr>
        <w:t xml:space="preserve"> means a content distribution pattern in which a discrete item of content is reshared, reposted, forwarded, quoted, stitched, remixed, or otherwise redistributed at a rate exceeding thresholds established under title IV, without regard to viewpoint, ideology, topic, or truthfulness.</w:t>
      </w:r>
    </w:p>
    <w:p>
      <w:pPr>
        <w:pStyle w:val="LegalLevel2"/>
      </w:pPr>
      <w:r>
        <w:rPr>
          <w:rFonts w:ascii="Times New Roman" w:hAnsi="Times New Roman"/>
          <w:b w:val="0"/>
          <w:color w:val="1F2937"/>
          <w:sz w:val="20"/>
        </w:rPr>
        <w:t xml:space="preserve">7. </w:t>
      </w:r>
      <w:r>
        <w:rPr>
          <w:rFonts w:ascii="Times New Roman" w:hAnsi="Times New Roman"/>
          <w:b/>
          <w:color w:val="1F2937"/>
          <w:sz w:val="20"/>
        </w:rPr>
        <w:t>Monetized account</w:t>
      </w:r>
      <w:r>
        <w:rPr>
          <w:rFonts w:ascii="Times New Roman" w:hAnsi="Times New Roman"/>
          <w:b w:val="0"/>
          <w:color w:val="1F2937"/>
          <w:sz w:val="20"/>
        </w:rPr>
        <w:t xml:space="preserve"> means an account, page, channel, publisher profile, creator profile, or other user-controlled presence that receives or is eligible to receive compensation, revenue share, gifts convertible to money, bonuses, subscriptions, tips, paid amplification, advertising proceeds, or other financial benefit from a covered platform based substantially on content distribution, engagement, audience size, or user attention.</w:t>
      </w:r>
    </w:p>
    <w:p>
      <w:pPr>
        <w:pStyle w:val="LegalLevel2"/>
      </w:pPr>
      <w:r>
        <w:rPr>
          <w:rFonts w:ascii="Times New Roman" w:hAnsi="Times New Roman"/>
          <w:b w:val="0"/>
          <w:color w:val="1F2937"/>
          <w:sz w:val="20"/>
        </w:rPr>
        <w:t xml:space="preserve">8. </w:t>
      </w:r>
      <w:r>
        <w:rPr>
          <w:rFonts w:ascii="Times New Roman" w:hAnsi="Times New Roman"/>
          <w:b/>
          <w:color w:val="1F2937"/>
          <w:sz w:val="20"/>
        </w:rPr>
        <w:t>Synthetic media</w:t>
      </w:r>
      <w:r>
        <w:rPr>
          <w:rFonts w:ascii="Times New Roman" w:hAnsi="Times New Roman"/>
          <w:b w:val="0"/>
          <w:color w:val="1F2937"/>
          <w:sz w:val="20"/>
        </w:rPr>
        <w:t xml:space="preserve"> means image, audio, video, or audiovisual content that has been generated or materially altered by artificial intelligence, machine learning, generative software, voice cloning, face swapping, digital rendering, or similar computational means in a manner that materially affects a reasonable viewer’s understanding of the depicted speaker, event, source, or scene.</w:t>
      </w:r>
    </w:p>
    <w:p>
      <w:pPr>
        <w:pStyle w:val="LegalLevel2"/>
      </w:pPr>
      <w:r>
        <w:rPr>
          <w:rFonts w:ascii="Times New Roman" w:hAnsi="Times New Roman"/>
          <w:b w:val="0"/>
          <w:color w:val="1F2937"/>
          <w:sz w:val="20"/>
        </w:rPr>
        <w:t xml:space="preserve">9. </w:t>
      </w:r>
      <w:r>
        <w:rPr>
          <w:rFonts w:ascii="Times New Roman" w:hAnsi="Times New Roman"/>
          <w:b/>
          <w:color w:val="1F2937"/>
          <w:sz w:val="20"/>
        </w:rPr>
        <w:t>High-impact synthetic media</w:t>
      </w:r>
      <w:r>
        <w:rPr>
          <w:rFonts w:ascii="Times New Roman" w:hAnsi="Times New Roman"/>
          <w:b w:val="0"/>
          <w:color w:val="1F2937"/>
          <w:sz w:val="20"/>
        </w:rPr>
        <w:t xml:space="preserve"> means synthetic media that materially appears to depict:</w:t>
      </w:r>
    </w:p>
    <w:p>
      <w:pPr>
        <w:pStyle w:val="LegalLevel2"/>
      </w:pPr>
      <w:r>
        <w:rPr>
          <w:rFonts w:ascii="Times New Roman" w:hAnsi="Times New Roman"/>
          <w:b w:val="0"/>
          <w:color w:val="1F2937"/>
          <w:sz w:val="20"/>
        </w:rPr>
        <w:t>(A) a real identifiable person saying or doing something that the person did not say or do;</w:t>
      </w:r>
    </w:p>
    <w:p>
      <w:pPr>
        <w:pStyle w:val="LegalLevel2"/>
      </w:pPr>
      <w:r>
        <w:rPr>
          <w:rFonts w:ascii="Times New Roman" w:hAnsi="Times New Roman"/>
          <w:b w:val="0"/>
          <w:color w:val="1F2937"/>
          <w:sz w:val="20"/>
        </w:rPr>
        <w:t>(B) a public official, candidate, journalist, emergency responder, medical professional, law-enforcement officer, court officer, military officer, or corporate officer acting in an official or professional capacity;</w:t>
      </w:r>
    </w:p>
    <w:p>
      <w:pPr>
        <w:pStyle w:val="LegalLevel2"/>
      </w:pPr>
      <w:r>
        <w:rPr>
          <w:rFonts w:ascii="Times New Roman" w:hAnsi="Times New Roman"/>
          <w:b w:val="0"/>
          <w:color w:val="1F2937"/>
          <w:sz w:val="20"/>
        </w:rPr>
        <w:t>(C) a disaster, violent event, public-health emergency, military event, election administration event, financial event, judicial proceeding, or governmental action; or</w:t>
      </w:r>
    </w:p>
    <w:p>
      <w:pPr>
        <w:pStyle w:val="LegalLevel2"/>
      </w:pPr>
      <w:r>
        <w:rPr>
          <w:rFonts w:ascii="Times New Roman" w:hAnsi="Times New Roman"/>
          <w:b w:val="0"/>
          <w:color w:val="1F2937"/>
          <w:sz w:val="20"/>
        </w:rPr>
        <w:t>(D) a product, service, consumer transaction, health claim, investment claim, or endorsement in commerce.</w:t>
      </w:r>
    </w:p>
    <w:p>
      <w:pPr>
        <w:pStyle w:val="LegalLevel2"/>
      </w:pPr>
      <w:r>
        <w:rPr>
          <w:rFonts w:ascii="Times New Roman" w:hAnsi="Times New Roman"/>
          <w:b w:val="0"/>
          <w:color w:val="1F2937"/>
          <w:sz w:val="20"/>
        </w:rPr>
        <w:t xml:space="preserve">10. </w:t>
      </w:r>
      <w:r>
        <w:rPr>
          <w:rFonts w:ascii="Times New Roman" w:hAnsi="Times New Roman"/>
          <w:b/>
          <w:color w:val="1F2937"/>
          <w:sz w:val="20"/>
        </w:rPr>
        <w:t>Provenance metadata</w:t>
      </w:r>
      <w:r>
        <w:rPr>
          <w:rFonts w:ascii="Times New Roman" w:hAnsi="Times New Roman"/>
          <w:b w:val="0"/>
          <w:color w:val="1F2937"/>
          <w:sz w:val="20"/>
        </w:rPr>
        <w:t xml:space="preserve"> means metadata, cryptographic credentialing, watermarking, fingerprinting, signed history, or other technical information indicating the origin, source, creation method, edit history, synthetic status, or chain of custody of digital media.</w:t>
      </w:r>
    </w:p>
    <w:p>
      <w:pPr>
        <w:pStyle w:val="LegalLevel2"/>
      </w:pPr>
      <w:r>
        <w:rPr>
          <w:rFonts w:ascii="Times New Roman" w:hAnsi="Times New Roman"/>
          <w:b w:val="0"/>
          <w:color w:val="1F2937"/>
          <w:sz w:val="20"/>
        </w:rPr>
        <w:t xml:space="preserve">11. </w:t>
      </w:r>
      <w:r>
        <w:rPr>
          <w:rFonts w:ascii="Times New Roman" w:hAnsi="Times New Roman"/>
          <w:b/>
          <w:color w:val="1F2937"/>
          <w:sz w:val="20"/>
        </w:rPr>
        <w:t>Sharing friction</w:t>
      </w:r>
      <w:r>
        <w:rPr>
          <w:rFonts w:ascii="Times New Roman" w:hAnsi="Times New Roman"/>
          <w:b w:val="0"/>
          <w:color w:val="1F2937"/>
          <w:sz w:val="20"/>
        </w:rPr>
        <w:t xml:space="preserve"> means a content-neutral user-interface step that requires a user to pause, open, view, read, confirm, or otherwise acknowledge a neutral distribution prompt before redistributing content. Sharing friction does not include removal, suppression, de-amplification, shadow banning, viewpoint classification, or blocking access to lawful content.</w:t>
      </w:r>
    </w:p>
    <w:p>
      <w:pPr>
        <w:pStyle w:val="LegalLevel2"/>
      </w:pPr>
      <w:r>
        <w:rPr>
          <w:rFonts w:ascii="Times New Roman" w:hAnsi="Times New Roman"/>
          <w:b w:val="0"/>
          <w:color w:val="1F2937"/>
          <w:sz w:val="20"/>
        </w:rPr>
        <w:t xml:space="preserve">12. </w:t>
      </w:r>
      <w:r>
        <w:rPr>
          <w:rFonts w:ascii="Times New Roman" w:hAnsi="Times New Roman"/>
          <w:b/>
          <w:color w:val="1F2937"/>
          <w:sz w:val="20"/>
        </w:rPr>
        <w:t>Vetted researcher</w:t>
      </w:r>
      <w:r>
        <w:rPr>
          <w:rFonts w:ascii="Times New Roman" w:hAnsi="Times New Roman"/>
          <w:b w:val="0"/>
          <w:color w:val="1F2937"/>
          <w:sz w:val="20"/>
        </w:rPr>
        <w:t xml:space="preserve"> means a researcher affiliated with a nonprofit institution, institution of higher education, public-interest research organization, newsroom research unit, or governmental statistical agency who is approved under title VIII.</w:t>
      </w:r>
    </w:p>
    <w:p>
      <w:pPr>
        <w:pStyle w:val="LegalLevel2"/>
      </w:pPr>
      <w:r>
        <w:rPr>
          <w:rFonts w:ascii="Times New Roman" w:hAnsi="Times New Roman"/>
          <w:b w:val="0"/>
          <w:color w:val="1F2937"/>
          <w:sz w:val="20"/>
        </w:rPr>
        <w:t xml:space="preserve">13. </w:t>
      </w:r>
      <w:r>
        <w:rPr>
          <w:rFonts w:ascii="Times New Roman" w:hAnsi="Times New Roman"/>
          <w:b/>
          <w:color w:val="1F2937"/>
          <w:sz w:val="20"/>
        </w:rPr>
        <w:t>Public-interest journalism</w:t>
      </w:r>
      <w:r>
        <w:rPr>
          <w:rFonts w:ascii="Times New Roman" w:hAnsi="Times New Roman"/>
          <w:b w:val="0"/>
          <w:color w:val="1F2937"/>
          <w:sz w:val="20"/>
        </w:rPr>
        <w:t xml:space="preserve"> means the gathering, verification, production, publication, or distribution of newsworthy information concerning civic affairs, local communities, government, courts, schools, public health, public safety, labor, business, science, environment, culture, infrastructure, or other matters of public concern, without regard to viewpoint.</w:t>
      </w:r>
    </w:p>
    <w:p>
      <w:pPr>
        <w:pStyle w:val="SectionHeading"/>
      </w:pPr>
      <w:r>
        <w:rPr>
          <w:rFonts w:ascii="Calibri" w:hAnsi="Calibri"/>
          <w:b/>
          <w:color w:val="0B2545"/>
          <w:sz w:val="19"/>
        </w:rPr>
        <w:t>SEC. 202. COVERED PLATFORM DESIGNATION.</w:t>
      </w:r>
    </w:p>
    <w:p>
      <w:pPr>
        <w:pStyle w:val="LegalLevel1"/>
      </w:pPr>
      <w:r>
        <w:rPr>
          <w:rFonts w:ascii="Times New Roman" w:hAnsi="Times New Roman"/>
          <w:b w:val="0"/>
          <w:color w:val="1F2937"/>
          <w:sz w:val="20"/>
        </w:rPr>
        <w:t xml:space="preserve">(a) </w:t>
      </w:r>
      <w:r>
        <w:rPr>
          <w:rFonts w:ascii="Times New Roman" w:hAnsi="Times New Roman"/>
          <w:b/>
          <w:color w:val="1F2937"/>
          <w:sz w:val="20"/>
        </w:rPr>
        <w:t>Threshold.</w:t>
      </w:r>
      <w:r>
        <w:rPr>
          <w:rFonts w:ascii="Times New Roman" w:hAnsi="Times New Roman"/>
          <w:b w:val="0"/>
          <w:color w:val="1F2937"/>
          <w:sz w:val="20"/>
        </w:rPr>
        <w:t xml:space="preserve"> A platform shall be a covered digital attention platform if, during any 3 months in the preceding calendar year, it:</w:t>
      </w:r>
    </w:p>
    <w:p>
      <w:pPr>
        <w:pStyle w:val="LegalLevel2"/>
      </w:pPr>
      <w:r>
        <w:rPr>
          <w:rFonts w:ascii="Times New Roman" w:hAnsi="Times New Roman"/>
          <w:b w:val="0"/>
          <w:color w:val="1F2937"/>
          <w:sz w:val="20"/>
        </w:rPr>
        <w:t>1. had not fewer than 50,000,000 monthly active users in the United States;</w:t>
      </w:r>
    </w:p>
    <w:p>
      <w:pPr>
        <w:pStyle w:val="LegalLevel2"/>
      </w:pPr>
      <w:r>
        <w:rPr>
          <w:rFonts w:ascii="Times New Roman" w:hAnsi="Times New Roman"/>
          <w:b w:val="0"/>
          <w:color w:val="1F2937"/>
          <w:sz w:val="20"/>
        </w:rPr>
        <w:t>2. had not fewer than 10,000,000 monthly active users in the United States and not less than $1,000,000,000 in annual covered digital attention revenue; or</w:t>
      </w:r>
    </w:p>
    <w:p>
      <w:pPr>
        <w:pStyle w:val="LegalLevel2"/>
      </w:pPr>
      <w:r>
        <w:rPr>
          <w:rFonts w:ascii="Times New Roman" w:hAnsi="Times New Roman"/>
          <w:b w:val="0"/>
          <w:color w:val="1F2937"/>
          <w:sz w:val="20"/>
        </w:rPr>
        <w:t>3. is designated by the Commission after notice and opportunity to respond because it has substantial national distribution power, substantial monetized content reach, and material use of recommender systems affecting interstate commerce.</w:t>
      </w:r>
    </w:p>
    <w:p>
      <w:pPr>
        <w:pStyle w:val="LegalLevel1"/>
      </w:pPr>
      <w:r>
        <w:rPr>
          <w:rFonts w:ascii="Times New Roman" w:hAnsi="Times New Roman"/>
          <w:b w:val="0"/>
          <w:color w:val="1F2937"/>
          <w:sz w:val="20"/>
        </w:rPr>
        <w:t xml:space="preserve">(b) </w:t>
      </w:r>
      <w:r>
        <w:rPr>
          <w:rFonts w:ascii="Times New Roman" w:hAnsi="Times New Roman"/>
          <w:b/>
          <w:color w:val="1F2937"/>
          <w:sz w:val="20"/>
        </w:rPr>
        <w:t>Designation List.</w:t>
      </w:r>
      <w:r>
        <w:rPr>
          <w:rFonts w:ascii="Times New Roman" w:hAnsi="Times New Roman"/>
          <w:b w:val="0"/>
          <w:color w:val="1F2937"/>
          <w:sz w:val="20"/>
        </w:rPr>
        <w:t xml:space="preserve"> The Commission shall publish and update not less than annually a list of covered digital attention platforms.</w:t>
      </w:r>
    </w:p>
    <w:p>
      <w:pPr>
        <w:pStyle w:val="LegalLevel1"/>
      </w:pPr>
      <w:r>
        <w:rPr>
          <w:rFonts w:ascii="Times New Roman" w:hAnsi="Times New Roman"/>
          <w:b w:val="0"/>
          <w:color w:val="1F2937"/>
          <w:sz w:val="20"/>
        </w:rPr>
        <w:t xml:space="preserve">(c) </w:t>
      </w:r>
      <w:r>
        <w:rPr>
          <w:rFonts w:ascii="Times New Roman" w:hAnsi="Times New Roman"/>
          <w:b/>
          <w:color w:val="1F2937"/>
          <w:sz w:val="20"/>
        </w:rPr>
        <w:t>Petition for Review.</w:t>
      </w:r>
      <w:r>
        <w:rPr>
          <w:rFonts w:ascii="Times New Roman" w:hAnsi="Times New Roman"/>
          <w:b w:val="0"/>
          <w:color w:val="1F2937"/>
          <w:sz w:val="20"/>
        </w:rPr>
        <w:t xml:space="preserve"> A platform may petition the Commission for reconsideration of designation. A final designation shall be reviewable in the United States Court of Appeals for the District of Columbia Circuit.</w:t>
      </w:r>
    </w:p>
    <w:p>
      <w:pPr>
        <w:pStyle w:val="SectionHeading"/>
      </w:pPr>
      <w:r>
        <w:rPr>
          <w:rFonts w:ascii="Calibri" w:hAnsi="Calibri"/>
          <w:b/>
          <w:color w:val="0B2545"/>
          <w:sz w:val="19"/>
        </w:rPr>
        <w:t>SEC. 203. REGISTRATION AND COMPLIANCE OFFICER.</w:t>
      </w:r>
    </w:p>
    <w:p>
      <w:pPr>
        <w:pStyle w:val="LegalLevel1"/>
      </w:pPr>
      <w:r>
        <w:rPr>
          <w:rFonts w:ascii="Times New Roman" w:hAnsi="Times New Roman"/>
          <w:b w:val="0"/>
          <w:color w:val="1F2937"/>
          <w:sz w:val="20"/>
        </w:rPr>
        <w:t xml:space="preserve">(a) </w:t>
      </w:r>
      <w:r>
        <w:rPr>
          <w:rFonts w:ascii="Times New Roman" w:hAnsi="Times New Roman"/>
          <w:b/>
          <w:color w:val="1F2937"/>
          <w:sz w:val="20"/>
        </w:rPr>
        <w:t>Registration.</w:t>
      </w:r>
      <w:r>
        <w:rPr>
          <w:rFonts w:ascii="Times New Roman" w:hAnsi="Times New Roman"/>
          <w:b w:val="0"/>
          <w:color w:val="1F2937"/>
          <w:sz w:val="20"/>
        </w:rPr>
        <w:t xml:space="preserve"> Each covered platform shall register with the Commission not later than 120 days after becoming subject to this Act.</w:t>
      </w:r>
    </w:p>
    <w:p>
      <w:pPr>
        <w:pStyle w:val="LegalLevel1"/>
      </w:pPr>
      <w:r>
        <w:rPr>
          <w:rFonts w:ascii="Times New Roman" w:hAnsi="Times New Roman"/>
          <w:b w:val="0"/>
          <w:color w:val="1F2937"/>
          <w:sz w:val="20"/>
        </w:rPr>
        <w:t xml:space="preserve">(b) </w:t>
      </w:r>
      <w:r>
        <w:rPr>
          <w:rFonts w:ascii="Times New Roman" w:hAnsi="Times New Roman"/>
          <w:b/>
          <w:color w:val="1F2937"/>
          <w:sz w:val="20"/>
        </w:rPr>
        <w:t>Chief Information Integrity Compliance Officer.</w:t>
      </w:r>
      <w:r>
        <w:rPr>
          <w:rFonts w:ascii="Times New Roman" w:hAnsi="Times New Roman"/>
          <w:b w:val="0"/>
          <w:color w:val="1F2937"/>
          <w:sz w:val="20"/>
        </w:rPr>
        <w:t xml:space="preserve"> Each covered platform shall designate a senior executive as Chief Information Integrity Compliance Officer.</w:t>
      </w:r>
    </w:p>
    <w:p>
      <w:pPr>
        <w:pStyle w:val="LegalLevel1"/>
      </w:pPr>
      <w:r>
        <w:rPr>
          <w:rFonts w:ascii="Times New Roman" w:hAnsi="Times New Roman"/>
          <w:b w:val="0"/>
          <w:color w:val="1F2937"/>
          <w:sz w:val="20"/>
        </w:rPr>
        <w:t xml:space="preserve">(c) </w:t>
      </w:r>
      <w:r>
        <w:rPr>
          <w:rFonts w:ascii="Times New Roman" w:hAnsi="Times New Roman"/>
          <w:b/>
          <w:color w:val="1F2937"/>
          <w:sz w:val="20"/>
        </w:rPr>
        <w:t>Duties.</w:t>
      </w:r>
      <w:r>
        <w:rPr>
          <w:rFonts w:ascii="Times New Roman" w:hAnsi="Times New Roman"/>
          <w:b w:val="0"/>
          <w:color w:val="1F2937"/>
          <w:sz w:val="20"/>
        </w:rPr>
        <w:t xml:space="preserve"> The officer shall have authority to oversee compliance with this Act, including:</w:t>
      </w:r>
    </w:p>
    <w:p>
      <w:pPr>
        <w:pStyle w:val="LegalLevel2"/>
      </w:pPr>
      <w:r>
        <w:rPr>
          <w:rFonts w:ascii="Times New Roman" w:hAnsi="Times New Roman"/>
          <w:b w:val="0"/>
          <w:color w:val="1F2937"/>
          <w:sz w:val="20"/>
        </w:rPr>
        <w:t>1. transparency reporting;</w:t>
      </w:r>
    </w:p>
    <w:p>
      <w:pPr>
        <w:pStyle w:val="LegalLevel2"/>
      </w:pPr>
      <w:r>
        <w:rPr>
          <w:rFonts w:ascii="Times New Roman" w:hAnsi="Times New Roman"/>
          <w:b w:val="0"/>
          <w:color w:val="1F2937"/>
          <w:sz w:val="20"/>
        </w:rPr>
        <w:t>2. sharing-friction systems;</w:t>
      </w:r>
    </w:p>
    <w:p>
      <w:pPr>
        <w:pStyle w:val="LegalLevel2"/>
      </w:pPr>
      <w:r>
        <w:rPr>
          <w:rFonts w:ascii="Times New Roman" w:hAnsi="Times New Roman"/>
          <w:b w:val="0"/>
          <w:color w:val="1F2937"/>
          <w:sz w:val="20"/>
        </w:rPr>
        <w:t>3. provenance preservation;</w:t>
      </w:r>
    </w:p>
    <w:p>
      <w:pPr>
        <w:pStyle w:val="LegalLevel2"/>
      </w:pPr>
      <w:r>
        <w:rPr>
          <w:rFonts w:ascii="Times New Roman" w:hAnsi="Times New Roman"/>
          <w:b w:val="0"/>
          <w:color w:val="1F2937"/>
          <w:sz w:val="20"/>
        </w:rPr>
        <w:t>4. synthetic media labeling systems;</w:t>
      </w:r>
    </w:p>
    <w:p>
      <w:pPr>
        <w:pStyle w:val="LegalLevel2"/>
      </w:pPr>
      <w:r>
        <w:rPr>
          <w:rFonts w:ascii="Times New Roman" w:hAnsi="Times New Roman"/>
          <w:b w:val="0"/>
          <w:color w:val="1F2937"/>
          <w:sz w:val="20"/>
        </w:rPr>
        <w:t>5. monetization integrity;</w:t>
      </w:r>
    </w:p>
    <w:p>
      <w:pPr>
        <w:pStyle w:val="LegalLevel2"/>
      </w:pPr>
      <w:r>
        <w:rPr>
          <w:rFonts w:ascii="Times New Roman" w:hAnsi="Times New Roman"/>
          <w:b w:val="0"/>
          <w:color w:val="1F2937"/>
          <w:sz w:val="20"/>
        </w:rPr>
        <w:t>6. researcher access;</w:t>
      </w:r>
    </w:p>
    <w:p>
      <w:pPr>
        <w:pStyle w:val="LegalLevel2"/>
      </w:pPr>
      <w:r>
        <w:rPr>
          <w:rFonts w:ascii="Times New Roman" w:hAnsi="Times New Roman"/>
          <w:b w:val="0"/>
          <w:color w:val="1F2937"/>
          <w:sz w:val="20"/>
        </w:rPr>
        <w:t>7. audit response;</w:t>
      </w:r>
    </w:p>
    <w:p>
      <w:pPr>
        <w:pStyle w:val="LegalLevel2"/>
      </w:pPr>
      <w:r>
        <w:rPr>
          <w:rFonts w:ascii="Times New Roman" w:hAnsi="Times New Roman"/>
          <w:b w:val="0"/>
          <w:color w:val="1F2937"/>
          <w:sz w:val="20"/>
        </w:rPr>
        <w:t>8. privacy and civil-rights safeguards.</w:t>
      </w:r>
    </w:p>
    <w:p>
      <w:pPr>
        <w:pStyle w:val="LegalLevel1"/>
      </w:pPr>
      <w:r>
        <w:rPr>
          <w:rFonts w:ascii="Times New Roman" w:hAnsi="Times New Roman"/>
          <w:b w:val="0"/>
          <w:color w:val="1F2937"/>
          <w:sz w:val="20"/>
        </w:rPr>
        <w:t xml:space="preserve">(d) </w:t>
      </w:r>
      <w:r>
        <w:rPr>
          <w:rFonts w:ascii="Times New Roman" w:hAnsi="Times New Roman"/>
          <w:b/>
          <w:color w:val="1F2937"/>
          <w:sz w:val="20"/>
        </w:rPr>
        <w:t>Independence.</w:t>
      </w:r>
      <w:r>
        <w:rPr>
          <w:rFonts w:ascii="Times New Roman" w:hAnsi="Times New Roman"/>
          <w:b w:val="0"/>
          <w:color w:val="1F2937"/>
          <w:sz w:val="20"/>
        </w:rPr>
        <w:t xml:space="preserve"> The officer shall report not less than quarterly to the board of directors or equivalent governing body.</w:t>
      </w:r>
    </w:p>
    <w:p>
      <w:pPr>
        <w:pStyle w:val="SectionHeading"/>
      </w:pPr>
      <w:r>
        <w:rPr>
          <w:rFonts w:ascii="Calibri" w:hAnsi="Calibri"/>
          <w:b/>
          <w:color w:val="0B2545"/>
          <w:sz w:val="19"/>
        </w:rPr>
        <w:t>SEC. 204. BOARD-LEVEL ACCOUNTABILITY AND EXECUTIVE CERTIFICATION.</w:t>
      </w:r>
    </w:p>
    <w:p>
      <w:pPr>
        <w:pStyle w:val="LegalLevel1"/>
      </w:pPr>
      <w:r>
        <w:rPr>
          <w:rFonts w:ascii="Times New Roman" w:hAnsi="Times New Roman"/>
          <w:b w:val="0"/>
          <w:color w:val="1F2937"/>
          <w:sz w:val="20"/>
        </w:rPr>
        <w:t xml:space="preserve">(a) </w:t>
      </w:r>
      <w:r>
        <w:rPr>
          <w:rFonts w:ascii="Times New Roman" w:hAnsi="Times New Roman"/>
          <w:b/>
          <w:color w:val="1F2937"/>
          <w:sz w:val="20"/>
        </w:rPr>
        <w:t>Board Committee.</w:t>
      </w:r>
      <w:r>
        <w:rPr>
          <w:rFonts w:ascii="Times New Roman" w:hAnsi="Times New Roman"/>
          <w:b w:val="0"/>
          <w:color w:val="1F2937"/>
          <w:sz w:val="20"/>
        </w:rPr>
        <w:t xml:space="preserve"> Each covered platform shall establish a board committee or equivalent governing mechanism responsible for oversight of obligations under this Act.</w:t>
      </w:r>
    </w:p>
    <w:p>
      <w:pPr>
        <w:pStyle w:val="LegalLevel1"/>
      </w:pPr>
      <w:r>
        <w:rPr>
          <w:rFonts w:ascii="Times New Roman" w:hAnsi="Times New Roman"/>
          <w:b w:val="0"/>
          <w:color w:val="1F2937"/>
          <w:sz w:val="20"/>
        </w:rPr>
        <w:t xml:space="preserve">(b) </w:t>
      </w:r>
      <w:r>
        <w:rPr>
          <w:rFonts w:ascii="Times New Roman" w:hAnsi="Times New Roman"/>
          <w:b/>
          <w:color w:val="1F2937"/>
          <w:sz w:val="20"/>
        </w:rPr>
        <w:t>Annual Certification.</w:t>
      </w:r>
      <w:r>
        <w:rPr>
          <w:rFonts w:ascii="Times New Roman" w:hAnsi="Times New Roman"/>
          <w:b w:val="0"/>
          <w:color w:val="1F2937"/>
          <w:sz w:val="20"/>
        </w:rPr>
        <w:t xml:space="preserve"> The chief executive officer and Chief Information Integrity Compliance Officer shall annually certify to the Commission that:</w:t>
      </w:r>
    </w:p>
    <w:p>
      <w:pPr>
        <w:pStyle w:val="LegalLevel2"/>
      </w:pPr>
      <w:r>
        <w:rPr>
          <w:rFonts w:ascii="Times New Roman" w:hAnsi="Times New Roman"/>
          <w:b w:val="0"/>
          <w:color w:val="1F2937"/>
          <w:sz w:val="20"/>
        </w:rPr>
        <w:t>1. they have reviewed the platform’s compliance program;</w:t>
      </w:r>
    </w:p>
    <w:p>
      <w:pPr>
        <w:pStyle w:val="LegalLevel2"/>
      </w:pPr>
      <w:r>
        <w:rPr>
          <w:rFonts w:ascii="Times New Roman" w:hAnsi="Times New Roman"/>
          <w:b w:val="0"/>
          <w:color w:val="1F2937"/>
          <w:sz w:val="20"/>
        </w:rPr>
        <w:t>2. the platform has implemented reasonable internal controls;</w:t>
      </w:r>
    </w:p>
    <w:p>
      <w:pPr>
        <w:pStyle w:val="LegalLevel2"/>
      </w:pPr>
      <w:r>
        <w:rPr>
          <w:rFonts w:ascii="Times New Roman" w:hAnsi="Times New Roman"/>
          <w:b w:val="0"/>
          <w:color w:val="1F2937"/>
          <w:sz w:val="20"/>
        </w:rPr>
        <w:t>3. submitted reports are accurate in all material respects;</w:t>
      </w:r>
    </w:p>
    <w:p>
      <w:pPr>
        <w:pStyle w:val="LegalLevel2"/>
      </w:pPr>
      <w:r>
        <w:rPr>
          <w:rFonts w:ascii="Times New Roman" w:hAnsi="Times New Roman"/>
          <w:b w:val="0"/>
          <w:color w:val="1F2937"/>
          <w:sz w:val="20"/>
        </w:rPr>
        <w:t>4. known material failures have been disclosed;</w:t>
      </w:r>
    </w:p>
    <w:p>
      <w:pPr>
        <w:pStyle w:val="LegalLevel2"/>
      </w:pPr>
      <w:r>
        <w:rPr>
          <w:rFonts w:ascii="Times New Roman" w:hAnsi="Times New Roman"/>
          <w:b w:val="0"/>
          <w:color w:val="1F2937"/>
          <w:sz w:val="20"/>
        </w:rPr>
        <w:t>5. corrective action plans have been adopted for unresolved material failures.</w:t>
      </w:r>
    </w:p>
    <w:p>
      <w:pPr>
        <w:pStyle w:val="LegalLevel1"/>
      </w:pPr>
      <w:r>
        <w:rPr>
          <w:rFonts w:ascii="Times New Roman" w:hAnsi="Times New Roman"/>
          <w:b w:val="0"/>
          <w:color w:val="1F2937"/>
          <w:sz w:val="20"/>
        </w:rPr>
        <w:t xml:space="preserve">(c) </w:t>
      </w:r>
      <w:r>
        <w:rPr>
          <w:rFonts w:ascii="Times New Roman" w:hAnsi="Times New Roman"/>
          <w:b/>
          <w:color w:val="1F2937"/>
          <w:sz w:val="20"/>
        </w:rPr>
        <w:t>False Certification.</w:t>
      </w:r>
      <w:r>
        <w:rPr>
          <w:rFonts w:ascii="Times New Roman" w:hAnsi="Times New Roman"/>
          <w:b w:val="0"/>
          <w:color w:val="1F2937"/>
          <w:sz w:val="20"/>
        </w:rPr>
        <w:t xml:space="preserve"> A knowing false certification shall be treated as an unfair or deceptive act or practice and shall be subject to civil penalties under title XII.</w:t>
      </w:r>
    </w:p>
    <w:p>
      <w:pPr>
        <w:pStyle w:val="SectionHeading"/>
      </w:pPr>
      <w:r>
        <w:rPr>
          <w:rFonts w:ascii="Calibri" w:hAnsi="Calibri"/>
          <w:b/>
          <w:color w:val="0B2545"/>
          <w:sz w:val="19"/>
        </w:rPr>
        <w:t>SEC. 205. SMALL ENTITY AND LIMITED-FUNCTION EXCLUSIONS.</w:t>
      </w:r>
    </w:p>
    <w:p>
      <w:pPr>
        <w:pStyle w:val="LegalLevel1"/>
      </w:pPr>
      <w:r>
        <w:rPr>
          <w:rFonts w:ascii="Times New Roman" w:hAnsi="Times New Roman"/>
          <w:b w:val="0"/>
          <w:color w:val="1F2937"/>
          <w:sz w:val="20"/>
        </w:rPr>
        <w:t xml:space="preserve">(a) </w:t>
      </w:r>
      <w:r>
        <w:rPr>
          <w:rFonts w:ascii="Times New Roman" w:hAnsi="Times New Roman"/>
          <w:b/>
          <w:color w:val="1F2937"/>
          <w:sz w:val="20"/>
        </w:rPr>
        <w:t>Exclusions.</w:t>
      </w:r>
      <w:r>
        <w:rPr>
          <w:rFonts w:ascii="Times New Roman" w:hAnsi="Times New Roman"/>
          <w:b w:val="0"/>
          <w:color w:val="1F2937"/>
          <w:sz w:val="20"/>
        </w:rPr>
        <w:t xml:space="preserve"> The term “covered digital attention platform” shall not include:</w:t>
      </w:r>
    </w:p>
    <w:p>
      <w:pPr>
        <w:pStyle w:val="LegalLevel2"/>
      </w:pPr>
      <w:r>
        <w:rPr>
          <w:rFonts w:ascii="Times New Roman" w:hAnsi="Times New Roman"/>
          <w:b w:val="0"/>
          <w:color w:val="1F2937"/>
          <w:sz w:val="20"/>
        </w:rPr>
        <w:t>1. a small business concern;</w:t>
      </w:r>
    </w:p>
    <w:p>
      <w:pPr>
        <w:pStyle w:val="LegalLevel2"/>
      </w:pPr>
      <w:r>
        <w:rPr>
          <w:rFonts w:ascii="Times New Roman" w:hAnsi="Times New Roman"/>
          <w:b w:val="0"/>
          <w:color w:val="1F2937"/>
          <w:sz w:val="20"/>
        </w:rPr>
        <w:t>2. a nonprofit discussion forum with fewer than 10,000,000 monthly active United States users;</w:t>
      </w:r>
    </w:p>
    <w:p>
      <w:pPr>
        <w:pStyle w:val="LegalLevel2"/>
      </w:pPr>
      <w:r>
        <w:rPr>
          <w:rFonts w:ascii="Times New Roman" w:hAnsi="Times New Roman"/>
          <w:b w:val="0"/>
          <w:color w:val="1F2937"/>
          <w:sz w:val="20"/>
        </w:rPr>
        <w:t>3. an email, direct messaging, encrypted messaging, voice, or video-calling service to the extent the service is not used for public or semi-public algorithmic distribution;</w:t>
      </w:r>
    </w:p>
    <w:p>
      <w:pPr>
        <w:pStyle w:val="LegalLevel2"/>
      </w:pPr>
      <w:r>
        <w:rPr>
          <w:rFonts w:ascii="Times New Roman" w:hAnsi="Times New Roman"/>
          <w:b w:val="0"/>
          <w:color w:val="1F2937"/>
          <w:sz w:val="20"/>
        </w:rPr>
        <w:t>4. a cloud storage, web-hosting, domain registration, payment processing, cybersecurity, or enterprise software provider acting only in that capacity;</w:t>
      </w:r>
    </w:p>
    <w:p>
      <w:pPr>
        <w:pStyle w:val="LegalLevel2"/>
      </w:pPr>
      <w:r>
        <w:rPr>
          <w:rFonts w:ascii="Times New Roman" w:hAnsi="Times New Roman"/>
          <w:b w:val="0"/>
          <w:color w:val="1F2937"/>
          <w:sz w:val="20"/>
        </w:rPr>
        <w:t>5. a library, school, university, research network, or public archive acting primarily for educational, archival, or research purposes.</w:t>
      </w:r>
    </w:p>
    <w:p>
      <w:pPr>
        <w:pStyle w:val="LegalLevel1"/>
      </w:pPr>
      <w:r>
        <w:rPr>
          <w:rFonts w:ascii="Times New Roman" w:hAnsi="Times New Roman"/>
          <w:b w:val="0"/>
          <w:color w:val="1F2937"/>
          <w:sz w:val="20"/>
        </w:rPr>
        <w:t xml:space="preserve">(b) </w:t>
      </w:r>
      <w:r>
        <w:rPr>
          <w:rFonts w:ascii="Times New Roman" w:hAnsi="Times New Roman"/>
          <w:b/>
          <w:color w:val="1F2937"/>
          <w:sz w:val="20"/>
        </w:rPr>
        <w:t>No Evasion.</w:t>
      </w:r>
      <w:r>
        <w:rPr>
          <w:rFonts w:ascii="Times New Roman" w:hAnsi="Times New Roman"/>
          <w:b w:val="0"/>
          <w:color w:val="1F2937"/>
          <w:sz w:val="20"/>
        </w:rPr>
        <w:t xml:space="preserve"> A platform may not evade coverage by dividing substantially integrated services, accounts, applications, or corporate affiliates.</w:t>
      </w:r>
    </w:p>
    <w:p>
      <w:pPr>
        <w:pStyle w:val="Heading1Custom"/>
      </w:pPr>
      <w:r>
        <w:rPr>
          <w:rFonts w:ascii="Calibri" w:hAnsi="Calibri"/>
          <w:b/>
          <w:color w:val="2E74B5"/>
          <w:sz w:val="32"/>
        </w:rPr>
        <w:t>TITLE III. ALGORITHMIC TRANSPARENCY AND USER CONTROL</w:t>
      </w:r>
    </w:p>
    <w:p>
      <w:pPr>
        <w:pStyle w:val="SectionHeading"/>
      </w:pPr>
      <w:r>
        <w:rPr>
          <w:rFonts w:ascii="Calibri" w:hAnsi="Calibri"/>
          <w:b/>
          <w:color w:val="0B2545"/>
          <w:sz w:val="19"/>
        </w:rPr>
        <w:t>SEC. 301. ALGORITHMIC SYSTEM CARDS.</w:t>
      </w:r>
    </w:p>
    <w:p>
      <w:pPr>
        <w:pStyle w:val="LegalLevel1"/>
      </w:pPr>
      <w:r>
        <w:rPr>
          <w:rFonts w:ascii="Times New Roman" w:hAnsi="Times New Roman"/>
          <w:b w:val="0"/>
          <w:color w:val="1F2937"/>
          <w:sz w:val="20"/>
        </w:rPr>
        <w:t xml:space="preserve">(a) </w:t>
      </w:r>
      <w:r>
        <w:rPr>
          <w:rFonts w:ascii="Times New Roman" w:hAnsi="Times New Roman"/>
          <w:b/>
          <w:color w:val="1F2937"/>
          <w:sz w:val="20"/>
        </w:rPr>
        <w:t>System Card Required.</w:t>
      </w:r>
      <w:r>
        <w:rPr>
          <w:rFonts w:ascii="Times New Roman" w:hAnsi="Times New Roman"/>
          <w:b w:val="0"/>
          <w:color w:val="1F2937"/>
          <w:sz w:val="20"/>
        </w:rPr>
        <w:t xml:space="preserve"> Each covered platform shall publish an algorithmic system card for each major covered recommender system.</w:t>
      </w:r>
    </w:p>
    <w:p>
      <w:pPr>
        <w:pStyle w:val="LegalLevel1"/>
      </w:pPr>
      <w:r>
        <w:rPr>
          <w:rFonts w:ascii="Times New Roman" w:hAnsi="Times New Roman"/>
          <w:b w:val="0"/>
          <w:color w:val="1F2937"/>
          <w:sz w:val="20"/>
        </w:rPr>
        <w:t xml:space="preserve">(b) </w:t>
      </w:r>
      <w:r>
        <w:rPr>
          <w:rFonts w:ascii="Times New Roman" w:hAnsi="Times New Roman"/>
          <w:b/>
          <w:color w:val="1F2937"/>
          <w:sz w:val="20"/>
        </w:rPr>
        <w:t>Contents.</w:t>
      </w:r>
      <w:r>
        <w:rPr>
          <w:rFonts w:ascii="Times New Roman" w:hAnsi="Times New Roman"/>
          <w:b w:val="0"/>
          <w:color w:val="1F2937"/>
          <w:sz w:val="20"/>
        </w:rPr>
        <w:t xml:space="preserve"> A system card shall describe, in plain language:</w:t>
      </w:r>
    </w:p>
    <w:p>
      <w:pPr>
        <w:pStyle w:val="LegalLevel2"/>
      </w:pPr>
      <w:r>
        <w:rPr>
          <w:rFonts w:ascii="Times New Roman" w:hAnsi="Times New Roman"/>
          <w:b w:val="0"/>
          <w:color w:val="1F2937"/>
          <w:sz w:val="20"/>
        </w:rPr>
        <w:t>1. the system’s principal purpose;</w:t>
      </w:r>
    </w:p>
    <w:p>
      <w:pPr>
        <w:pStyle w:val="LegalLevel2"/>
      </w:pPr>
      <w:r>
        <w:rPr>
          <w:rFonts w:ascii="Times New Roman" w:hAnsi="Times New Roman"/>
          <w:b w:val="0"/>
          <w:color w:val="1F2937"/>
          <w:sz w:val="20"/>
        </w:rPr>
        <w:t>2. the categories of content or accounts to which it applies;</w:t>
      </w:r>
    </w:p>
    <w:p>
      <w:pPr>
        <w:pStyle w:val="LegalLevel2"/>
      </w:pPr>
      <w:r>
        <w:rPr>
          <w:rFonts w:ascii="Times New Roman" w:hAnsi="Times New Roman"/>
          <w:b w:val="0"/>
          <w:color w:val="1F2937"/>
          <w:sz w:val="20"/>
        </w:rPr>
        <w:t>3. the major categories of ranking, recommendation, retrieval, and amplification signals;</w:t>
      </w:r>
    </w:p>
    <w:p>
      <w:pPr>
        <w:pStyle w:val="LegalLevel2"/>
      </w:pPr>
      <w:r>
        <w:rPr>
          <w:rFonts w:ascii="Times New Roman" w:hAnsi="Times New Roman"/>
          <w:b w:val="0"/>
          <w:color w:val="1F2937"/>
          <w:sz w:val="20"/>
        </w:rPr>
        <w:t>4. whether the system uses engagement prediction, watch time, shares, comments, reactions, dwell time, social graph, location, demographic inference, payment, creator status, or prior user behavior;</w:t>
      </w:r>
    </w:p>
    <w:p>
      <w:pPr>
        <w:pStyle w:val="LegalLevel2"/>
      </w:pPr>
      <w:r>
        <w:rPr>
          <w:rFonts w:ascii="Times New Roman" w:hAnsi="Times New Roman"/>
          <w:b w:val="0"/>
          <w:color w:val="1F2937"/>
          <w:sz w:val="20"/>
        </w:rPr>
        <w:t>5. how paid content, sponsored content, monetized content, synthetic media labels, provenance metadata, user reports, and safety signals are treated at a general level;</w:t>
      </w:r>
    </w:p>
    <w:p>
      <w:pPr>
        <w:pStyle w:val="LegalLevel2"/>
      </w:pPr>
      <w:r>
        <w:rPr>
          <w:rFonts w:ascii="Times New Roman" w:hAnsi="Times New Roman"/>
          <w:b w:val="0"/>
          <w:color w:val="1F2937"/>
          <w:sz w:val="20"/>
        </w:rPr>
        <w:t>6. available user controls;</w:t>
      </w:r>
    </w:p>
    <w:p>
      <w:pPr>
        <w:pStyle w:val="LegalLevel2"/>
      </w:pPr>
      <w:r>
        <w:rPr>
          <w:rFonts w:ascii="Times New Roman" w:hAnsi="Times New Roman"/>
          <w:b w:val="0"/>
          <w:color w:val="1F2937"/>
          <w:sz w:val="20"/>
        </w:rPr>
        <w:t>7. general methods for measuring distribution, engagement, and user feedback;</w:t>
      </w:r>
    </w:p>
    <w:p>
      <w:pPr>
        <w:pStyle w:val="LegalLevel2"/>
      </w:pPr>
      <w:r>
        <w:rPr>
          <w:rFonts w:ascii="Times New Roman" w:hAnsi="Times New Roman"/>
          <w:b w:val="0"/>
          <w:color w:val="1F2937"/>
          <w:sz w:val="20"/>
        </w:rPr>
        <w:t>8. material changes during the reporting period.</w:t>
      </w:r>
    </w:p>
    <w:p>
      <w:pPr>
        <w:pStyle w:val="LegalLevel1"/>
      </w:pPr>
      <w:r>
        <w:rPr>
          <w:rFonts w:ascii="Times New Roman" w:hAnsi="Times New Roman"/>
          <w:b w:val="0"/>
          <w:color w:val="1F2937"/>
          <w:sz w:val="20"/>
        </w:rPr>
        <w:t xml:space="preserve">(c) </w:t>
      </w:r>
      <w:r>
        <w:rPr>
          <w:rFonts w:ascii="Times New Roman" w:hAnsi="Times New Roman"/>
          <w:b/>
          <w:color w:val="1F2937"/>
          <w:sz w:val="20"/>
        </w:rPr>
        <w:t>Level of Detail.</w:t>
      </w:r>
      <w:r>
        <w:rPr>
          <w:rFonts w:ascii="Times New Roman" w:hAnsi="Times New Roman"/>
          <w:b w:val="0"/>
          <w:color w:val="1F2937"/>
          <w:sz w:val="20"/>
        </w:rPr>
        <w:t xml:space="preserve"> A system card need not disclose source code, model weights, trade secrets, security-sensitive information, anti-abuse methods, or information that would materially facilitate evasion, fraud, spam, harassment, or cyber abuse.</w:t>
      </w:r>
    </w:p>
    <w:p>
      <w:pPr>
        <w:pStyle w:val="LegalLevel1"/>
      </w:pPr>
      <w:r>
        <w:rPr>
          <w:rFonts w:ascii="Times New Roman" w:hAnsi="Times New Roman"/>
          <w:b w:val="0"/>
          <w:color w:val="1F2937"/>
          <w:sz w:val="20"/>
        </w:rPr>
        <w:t xml:space="preserve">(d) </w:t>
      </w:r>
      <w:r>
        <w:rPr>
          <w:rFonts w:ascii="Times New Roman" w:hAnsi="Times New Roman"/>
          <w:b/>
          <w:color w:val="1F2937"/>
          <w:sz w:val="20"/>
        </w:rPr>
        <w:t>Update Frequency.</w:t>
      </w:r>
      <w:r>
        <w:rPr>
          <w:rFonts w:ascii="Times New Roman" w:hAnsi="Times New Roman"/>
          <w:b w:val="0"/>
          <w:color w:val="1F2937"/>
          <w:sz w:val="20"/>
        </w:rPr>
        <w:t xml:space="preserve"> System cards shall be updated not less than twice each year and within 60 days after a material change.</w:t>
      </w:r>
    </w:p>
    <w:p>
      <w:pPr>
        <w:pStyle w:val="SectionHeading"/>
      </w:pPr>
      <w:r>
        <w:rPr>
          <w:rFonts w:ascii="Calibri" w:hAnsi="Calibri"/>
          <w:b/>
          <w:color w:val="0B2545"/>
          <w:sz w:val="19"/>
        </w:rPr>
        <w:t>SEC. 302. PUBLIC TRANSPARENCY REPORTS.</w:t>
      </w:r>
    </w:p>
    <w:p>
      <w:pPr>
        <w:pStyle w:val="LegalLevel1"/>
      </w:pPr>
      <w:r>
        <w:rPr>
          <w:rFonts w:ascii="Times New Roman" w:hAnsi="Times New Roman"/>
          <w:b w:val="0"/>
          <w:color w:val="1F2937"/>
          <w:sz w:val="20"/>
        </w:rPr>
        <w:t xml:space="preserve">(a) </w:t>
      </w:r>
      <w:r>
        <w:rPr>
          <w:rFonts w:ascii="Times New Roman" w:hAnsi="Times New Roman"/>
          <w:b/>
          <w:color w:val="1F2937"/>
          <w:sz w:val="20"/>
        </w:rPr>
        <w:t>Annual Report.</w:t>
      </w:r>
      <w:r>
        <w:rPr>
          <w:rFonts w:ascii="Times New Roman" w:hAnsi="Times New Roman"/>
          <w:b w:val="0"/>
          <w:color w:val="1F2937"/>
          <w:sz w:val="20"/>
        </w:rPr>
        <w:t xml:space="preserve"> Each covered platform shall publish an annual transparency report.</w:t>
      </w:r>
    </w:p>
    <w:p>
      <w:pPr>
        <w:pStyle w:val="LegalLevel1"/>
      </w:pPr>
      <w:r>
        <w:rPr>
          <w:rFonts w:ascii="Times New Roman" w:hAnsi="Times New Roman"/>
          <w:b w:val="0"/>
          <w:color w:val="1F2937"/>
          <w:sz w:val="20"/>
        </w:rPr>
        <w:t xml:space="preserve">(b) </w:t>
      </w:r>
      <w:r>
        <w:rPr>
          <w:rFonts w:ascii="Times New Roman" w:hAnsi="Times New Roman"/>
          <w:b/>
          <w:color w:val="1F2937"/>
          <w:sz w:val="20"/>
        </w:rPr>
        <w:t>Required Metrics.</w:t>
      </w:r>
      <w:r>
        <w:rPr>
          <w:rFonts w:ascii="Times New Roman" w:hAnsi="Times New Roman"/>
          <w:b w:val="0"/>
          <w:color w:val="1F2937"/>
          <w:sz w:val="20"/>
        </w:rPr>
        <w:t xml:space="preserve"> The report shall include aggregate United States metrics concerning:</w:t>
      </w:r>
    </w:p>
    <w:p>
      <w:pPr>
        <w:pStyle w:val="LegalLevel2"/>
      </w:pPr>
      <w:r>
        <w:rPr>
          <w:rFonts w:ascii="Times New Roman" w:hAnsi="Times New Roman"/>
          <w:b w:val="0"/>
          <w:color w:val="1F2937"/>
          <w:sz w:val="20"/>
        </w:rPr>
        <w:t>1. monthly active users;</w:t>
      </w:r>
    </w:p>
    <w:p>
      <w:pPr>
        <w:pStyle w:val="LegalLevel2"/>
      </w:pPr>
      <w:r>
        <w:rPr>
          <w:rFonts w:ascii="Times New Roman" w:hAnsi="Times New Roman"/>
          <w:b w:val="0"/>
          <w:color w:val="1F2937"/>
          <w:sz w:val="20"/>
        </w:rPr>
        <w:t>2. content impressions by major distribution surface;</w:t>
      </w:r>
    </w:p>
    <w:p>
      <w:pPr>
        <w:pStyle w:val="LegalLevel2"/>
      </w:pPr>
      <w:r>
        <w:rPr>
          <w:rFonts w:ascii="Times New Roman" w:hAnsi="Times New Roman"/>
          <w:b w:val="0"/>
          <w:color w:val="1F2937"/>
          <w:sz w:val="20"/>
        </w:rPr>
        <w:t>3. share, repost, forward, quote, stitch, remix, and similar redistribution volume;</w:t>
      </w:r>
    </w:p>
    <w:p>
      <w:pPr>
        <w:pStyle w:val="LegalLevel2"/>
      </w:pPr>
      <w:r>
        <w:rPr>
          <w:rFonts w:ascii="Times New Roman" w:hAnsi="Times New Roman"/>
          <w:b w:val="0"/>
          <w:color w:val="1F2937"/>
          <w:sz w:val="20"/>
        </w:rPr>
        <w:t>4. high-velocity redistribution events;</w:t>
      </w:r>
    </w:p>
    <w:p>
      <w:pPr>
        <w:pStyle w:val="LegalLevel2"/>
      </w:pPr>
      <w:r>
        <w:rPr>
          <w:rFonts w:ascii="Times New Roman" w:hAnsi="Times New Roman"/>
          <w:b w:val="0"/>
          <w:color w:val="1F2937"/>
          <w:sz w:val="20"/>
        </w:rPr>
        <w:t>5. use and bypass rate of sharing friction;</w:t>
      </w:r>
    </w:p>
    <w:p>
      <w:pPr>
        <w:pStyle w:val="LegalLevel2"/>
      </w:pPr>
      <w:r>
        <w:rPr>
          <w:rFonts w:ascii="Times New Roman" w:hAnsi="Times New Roman"/>
          <w:b w:val="0"/>
          <w:color w:val="1F2937"/>
          <w:sz w:val="20"/>
        </w:rPr>
        <w:t>6. prevalence of paid and sponsored content labels;</w:t>
      </w:r>
    </w:p>
    <w:p>
      <w:pPr>
        <w:pStyle w:val="LegalLevel2"/>
      </w:pPr>
      <w:r>
        <w:rPr>
          <w:rFonts w:ascii="Times New Roman" w:hAnsi="Times New Roman"/>
          <w:b w:val="0"/>
          <w:color w:val="1F2937"/>
          <w:sz w:val="20"/>
        </w:rPr>
        <w:t>7. prevalence of synthetic media labels and provenance credentials;</w:t>
      </w:r>
    </w:p>
    <w:p>
      <w:pPr>
        <w:pStyle w:val="LegalLevel2"/>
      </w:pPr>
      <w:r>
        <w:rPr>
          <w:rFonts w:ascii="Times New Roman" w:hAnsi="Times New Roman"/>
          <w:b w:val="0"/>
          <w:color w:val="1F2937"/>
          <w:sz w:val="20"/>
        </w:rPr>
        <w:t>8. creator monetization payouts by distribution bands;</w:t>
      </w:r>
    </w:p>
    <w:p>
      <w:pPr>
        <w:pStyle w:val="LegalLevel2"/>
      </w:pPr>
      <w:r>
        <w:rPr>
          <w:rFonts w:ascii="Times New Roman" w:hAnsi="Times New Roman"/>
          <w:b w:val="0"/>
          <w:color w:val="1F2937"/>
          <w:sz w:val="20"/>
        </w:rPr>
        <w:t>9. known fake engagement enforcement;</w:t>
      </w:r>
    </w:p>
    <w:p>
      <w:pPr>
        <w:pStyle w:val="LegalLevel2"/>
      </w:pPr>
      <w:r>
        <w:rPr>
          <w:rFonts w:ascii="Times New Roman" w:hAnsi="Times New Roman"/>
          <w:b w:val="0"/>
          <w:color w:val="1F2937"/>
          <w:sz w:val="20"/>
        </w:rPr>
        <w:t>10. appeals submitted and resolved under this Act;</w:t>
      </w:r>
    </w:p>
    <w:p>
      <w:pPr>
        <w:pStyle w:val="LegalLevel2"/>
      </w:pPr>
      <w:r>
        <w:rPr>
          <w:rFonts w:ascii="Times New Roman" w:hAnsi="Times New Roman"/>
          <w:b w:val="0"/>
          <w:color w:val="1F2937"/>
          <w:sz w:val="20"/>
        </w:rPr>
        <w:t>11. researcher requests received, granted, denied, and pending;</w:t>
      </w:r>
    </w:p>
    <w:p>
      <w:pPr>
        <w:pStyle w:val="LegalLevel2"/>
      </w:pPr>
      <w:r>
        <w:rPr>
          <w:rFonts w:ascii="Times New Roman" w:hAnsi="Times New Roman"/>
          <w:b w:val="0"/>
          <w:color w:val="1F2937"/>
          <w:sz w:val="20"/>
        </w:rPr>
        <w:t>12. material incidents affecting compliance.</w:t>
      </w:r>
    </w:p>
    <w:p>
      <w:pPr>
        <w:pStyle w:val="LegalLevel1"/>
      </w:pPr>
      <w:r>
        <w:rPr>
          <w:rFonts w:ascii="Times New Roman" w:hAnsi="Times New Roman"/>
          <w:b w:val="0"/>
          <w:color w:val="1F2937"/>
          <w:sz w:val="20"/>
        </w:rPr>
        <w:t xml:space="preserve">(c) </w:t>
      </w:r>
      <w:r>
        <w:rPr>
          <w:rFonts w:ascii="Times New Roman" w:hAnsi="Times New Roman"/>
          <w:b/>
          <w:color w:val="1F2937"/>
          <w:sz w:val="20"/>
        </w:rPr>
        <w:t>No Viewpoint Reporting.</w:t>
      </w:r>
      <w:r>
        <w:rPr>
          <w:rFonts w:ascii="Times New Roman" w:hAnsi="Times New Roman"/>
          <w:b w:val="0"/>
          <w:color w:val="1F2937"/>
          <w:sz w:val="20"/>
        </w:rPr>
        <w:t xml:space="preserve"> The Commission may not require reporting by political party, ideology, religion, viewpoint, lawful advocacy position, or protected association.</w:t>
      </w:r>
    </w:p>
    <w:p>
      <w:pPr>
        <w:pStyle w:val="SectionHeading"/>
      </w:pPr>
      <w:r>
        <w:rPr>
          <w:rFonts w:ascii="Calibri" w:hAnsi="Calibri"/>
          <w:b/>
          <w:color w:val="0B2545"/>
          <w:sz w:val="19"/>
        </w:rPr>
        <w:t>SEC. 303. USER-ACCESSIBLE RECOMMENDER EXPLANATIONS.</w:t>
      </w:r>
    </w:p>
    <w:p>
      <w:pPr>
        <w:pStyle w:val="LegalLevel1"/>
      </w:pPr>
      <w:r>
        <w:rPr>
          <w:rFonts w:ascii="Times New Roman" w:hAnsi="Times New Roman"/>
          <w:b w:val="0"/>
          <w:color w:val="1F2937"/>
          <w:sz w:val="20"/>
        </w:rPr>
        <w:t xml:space="preserve">(a) </w:t>
      </w:r>
      <w:r>
        <w:rPr>
          <w:rFonts w:ascii="Times New Roman" w:hAnsi="Times New Roman"/>
          <w:b/>
          <w:color w:val="1F2937"/>
          <w:sz w:val="20"/>
        </w:rPr>
        <w:t>General Explanation.</w:t>
      </w:r>
      <w:r>
        <w:rPr>
          <w:rFonts w:ascii="Times New Roman" w:hAnsi="Times New Roman"/>
          <w:b w:val="0"/>
          <w:color w:val="1F2937"/>
          <w:sz w:val="20"/>
        </w:rPr>
        <w:t xml:space="preserve"> Each covered platform shall provide users a readily accessible explanation of why categories of content are recommended or prioritized.</w:t>
      </w:r>
    </w:p>
    <w:p>
      <w:pPr>
        <w:pStyle w:val="LegalLevel1"/>
      </w:pPr>
      <w:r>
        <w:rPr>
          <w:rFonts w:ascii="Times New Roman" w:hAnsi="Times New Roman"/>
          <w:b w:val="0"/>
          <w:color w:val="1F2937"/>
          <w:sz w:val="20"/>
        </w:rPr>
        <w:t xml:space="preserve">(b) </w:t>
      </w:r>
      <w:r>
        <w:rPr>
          <w:rFonts w:ascii="Times New Roman" w:hAnsi="Times New Roman"/>
          <w:b/>
          <w:color w:val="1F2937"/>
          <w:sz w:val="20"/>
        </w:rPr>
        <w:t>Advertisements.</w:t>
      </w:r>
      <w:r>
        <w:rPr>
          <w:rFonts w:ascii="Times New Roman" w:hAnsi="Times New Roman"/>
          <w:b w:val="0"/>
          <w:color w:val="1F2937"/>
          <w:sz w:val="20"/>
        </w:rPr>
        <w:t xml:space="preserve"> For each advertisement or paid placement, a covered platform shall provide a “why am I seeing this” disclosure identifying material targeting or delivery criteria, including:</w:t>
      </w:r>
    </w:p>
    <w:p>
      <w:pPr>
        <w:pStyle w:val="LegalLevel2"/>
      </w:pPr>
      <w:r>
        <w:rPr>
          <w:rFonts w:ascii="Times New Roman" w:hAnsi="Times New Roman"/>
          <w:b w:val="0"/>
          <w:color w:val="1F2937"/>
          <w:sz w:val="20"/>
        </w:rPr>
        <w:t>1. advertiser identity;</w:t>
      </w:r>
    </w:p>
    <w:p>
      <w:pPr>
        <w:pStyle w:val="LegalLevel2"/>
      </w:pPr>
      <w:r>
        <w:rPr>
          <w:rFonts w:ascii="Times New Roman" w:hAnsi="Times New Roman"/>
          <w:b w:val="0"/>
          <w:color w:val="1F2937"/>
          <w:sz w:val="20"/>
        </w:rPr>
        <w:t>2. whether payment affected delivery;</w:t>
      </w:r>
    </w:p>
    <w:p>
      <w:pPr>
        <w:pStyle w:val="LegalLevel2"/>
      </w:pPr>
      <w:r>
        <w:rPr>
          <w:rFonts w:ascii="Times New Roman" w:hAnsi="Times New Roman"/>
          <w:b w:val="0"/>
          <w:color w:val="1F2937"/>
          <w:sz w:val="20"/>
        </w:rPr>
        <w:t>3. general targeting criteria selected by the advertiser;</w:t>
      </w:r>
    </w:p>
    <w:p>
      <w:pPr>
        <w:pStyle w:val="LegalLevel2"/>
      </w:pPr>
      <w:r>
        <w:rPr>
          <w:rFonts w:ascii="Times New Roman" w:hAnsi="Times New Roman"/>
          <w:b w:val="0"/>
          <w:color w:val="1F2937"/>
          <w:sz w:val="20"/>
        </w:rPr>
        <w:t>4. general platform delivery criteria used to optimize the advertisement;</w:t>
      </w:r>
    </w:p>
    <w:p>
      <w:pPr>
        <w:pStyle w:val="LegalLevel2"/>
      </w:pPr>
      <w:r>
        <w:rPr>
          <w:rFonts w:ascii="Times New Roman" w:hAnsi="Times New Roman"/>
          <w:b w:val="0"/>
          <w:color w:val="1F2937"/>
          <w:sz w:val="20"/>
        </w:rPr>
        <w:t>5. user controls for ad personalization.</w:t>
      </w:r>
    </w:p>
    <w:p>
      <w:pPr>
        <w:pStyle w:val="LegalLevel1"/>
      </w:pPr>
      <w:r>
        <w:rPr>
          <w:rFonts w:ascii="Times New Roman" w:hAnsi="Times New Roman"/>
          <w:b w:val="0"/>
          <w:color w:val="1F2937"/>
          <w:sz w:val="20"/>
        </w:rPr>
        <w:t xml:space="preserve">(c) </w:t>
      </w:r>
      <w:r>
        <w:rPr>
          <w:rFonts w:ascii="Times New Roman" w:hAnsi="Times New Roman"/>
          <w:b/>
          <w:color w:val="1F2937"/>
          <w:sz w:val="20"/>
        </w:rPr>
        <w:t>Recommended Content.</w:t>
      </w:r>
      <w:r>
        <w:rPr>
          <w:rFonts w:ascii="Times New Roman" w:hAnsi="Times New Roman"/>
          <w:b w:val="0"/>
          <w:color w:val="1F2937"/>
          <w:sz w:val="20"/>
        </w:rPr>
        <w:t xml:space="preserve"> For organic recommended content, the platform shall provide a category-level explanation of major recommendation factors, which may include user follows, prior interaction, location at a general level, language, popularity, topic inferred by the platform, or platform settings.</w:t>
      </w:r>
    </w:p>
    <w:p>
      <w:pPr>
        <w:pStyle w:val="LegalLevel1"/>
      </w:pPr>
      <w:r>
        <w:rPr>
          <w:rFonts w:ascii="Times New Roman" w:hAnsi="Times New Roman"/>
          <w:b w:val="0"/>
          <w:color w:val="1F2937"/>
          <w:sz w:val="20"/>
        </w:rPr>
        <w:t xml:space="preserve">(d) </w:t>
      </w:r>
      <w:r>
        <w:rPr>
          <w:rFonts w:ascii="Times New Roman" w:hAnsi="Times New Roman"/>
          <w:b/>
          <w:color w:val="1F2937"/>
          <w:sz w:val="20"/>
        </w:rPr>
        <w:t>No Individualized Moderation Mandate.</w:t>
      </w:r>
      <w:r>
        <w:rPr>
          <w:rFonts w:ascii="Times New Roman" w:hAnsi="Times New Roman"/>
          <w:b w:val="0"/>
          <w:color w:val="1F2937"/>
          <w:sz w:val="20"/>
        </w:rPr>
        <w:t xml:space="preserve"> Nothing in this section requires individualized explanations for every moderation, ranking, removal, or labeling decision.</w:t>
      </w:r>
    </w:p>
    <w:p>
      <w:pPr>
        <w:pStyle w:val="SectionHeading"/>
      </w:pPr>
      <w:r>
        <w:rPr>
          <w:rFonts w:ascii="Calibri" w:hAnsi="Calibri"/>
          <w:b/>
          <w:color w:val="0B2545"/>
          <w:sz w:val="19"/>
        </w:rPr>
        <w:t>SEC. 304. USER CONTROLS OVER PERSONALIZATION.</w:t>
      </w:r>
    </w:p>
    <w:p>
      <w:pPr>
        <w:pStyle w:val="LegalLevel1"/>
      </w:pPr>
      <w:r>
        <w:rPr>
          <w:rFonts w:ascii="Times New Roman" w:hAnsi="Times New Roman"/>
          <w:b w:val="0"/>
          <w:color w:val="1F2937"/>
          <w:sz w:val="20"/>
        </w:rPr>
        <w:t xml:space="preserve">(a) </w:t>
      </w:r>
      <w:r>
        <w:rPr>
          <w:rFonts w:ascii="Times New Roman" w:hAnsi="Times New Roman"/>
          <w:b/>
          <w:color w:val="1F2937"/>
          <w:sz w:val="20"/>
        </w:rPr>
        <w:t>Controls Required.</w:t>
      </w:r>
      <w:r>
        <w:rPr>
          <w:rFonts w:ascii="Times New Roman" w:hAnsi="Times New Roman"/>
          <w:b w:val="0"/>
          <w:color w:val="1F2937"/>
          <w:sz w:val="20"/>
        </w:rPr>
        <w:t xml:space="preserve"> Each covered platform shall provide users with accessible controls to:</w:t>
      </w:r>
    </w:p>
    <w:p>
      <w:pPr>
        <w:pStyle w:val="LegalLevel2"/>
      </w:pPr>
      <w:r>
        <w:rPr>
          <w:rFonts w:ascii="Times New Roman" w:hAnsi="Times New Roman"/>
          <w:b w:val="0"/>
          <w:color w:val="1F2937"/>
          <w:sz w:val="20"/>
        </w:rPr>
        <w:t>1. view and reset major categories of inferred interests used for recommendation or advertising;</w:t>
      </w:r>
    </w:p>
    <w:p>
      <w:pPr>
        <w:pStyle w:val="LegalLevel2"/>
      </w:pPr>
      <w:r>
        <w:rPr>
          <w:rFonts w:ascii="Times New Roman" w:hAnsi="Times New Roman"/>
          <w:b w:val="0"/>
          <w:color w:val="1F2937"/>
          <w:sz w:val="20"/>
        </w:rPr>
        <w:t>2. pause use of off-platform activity for personalization, where applicable;</w:t>
      </w:r>
    </w:p>
    <w:p>
      <w:pPr>
        <w:pStyle w:val="LegalLevel2"/>
      </w:pPr>
      <w:r>
        <w:rPr>
          <w:rFonts w:ascii="Times New Roman" w:hAnsi="Times New Roman"/>
          <w:b w:val="0"/>
          <w:color w:val="1F2937"/>
          <w:sz w:val="20"/>
        </w:rPr>
        <w:t>3. reduce personalization based on sensitive inferences prohibited by law;</w:t>
      </w:r>
    </w:p>
    <w:p>
      <w:pPr>
        <w:pStyle w:val="LegalLevel2"/>
      </w:pPr>
      <w:r>
        <w:rPr>
          <w:rFonts w:ascii="Times New Roman" w:hAnsi="Times New Roman"/>
          <w:b w:val="0"/>
          <w:color w:val="1F2937"/>
          <w:sz w:val="20"/>
        </w:rPr>
        <w:t>4. manage autoplay and infinite-scroll features where technically feasible;</w:t>
      </w:r>
    </w:p>
    <w:p>
      <w:pPr>
        <w:pStyle w:val="LegalLevel2"/>
      </w:pPr>
      <w:r>
        <w:rPr>
          <w:rFonts w:ascii="Times New Roman" w:hAnsi="Times New Roman"/>
          <w:b w:val="0"/>
          <w:color w:val="1F2937"/>
          <w:sz w:val="20"/>
        </w:rPr>
        <w:t>5. modify or reset recommendation history;</w:t>
      </w:r>
    </w:p>
    <w:p>
      <w:pPr>
        <w:pStyle w:val="LegalLevel2"/>
      </w:pPr>
      <w:r>
        <w:rPr>
          <w:rFonts w:ascii="Times New Roman" w:hAnsi="Times New Roman"/>
          <w:b w:val="0"/>
          <w:color w:val="1F2937"/>
          <w:sz w:val="20"/>
        </w:rPr>
        <w:t>6. report suspected synthetic impersonation, hidden sponsorship, or fake engagement.</w:t>
      </w:r>
    </w:p>
    <w:p>
      <w:pPr>
        <w:pStyle w:val="LegalLevel1"/>
      </w:pPr>
      <w:r>
        <w:rPr>
          <w:rFonts w:ascii="Times New Roman" w:hAnsi="Times New Roman"/>
          <w:b w:val="0"/>
          <w:color w:val="1F2937"/>
          <w:sz w:val="20"/>
        </w:rPr>
        <w:t xml:space="preserve">(b) </w:t>
      </w:r>
      <w:r>
        <w:rPr>
          <w:rFonts w:ascii="Times New Roman" w:hAnsi="Times New Roman"/>
          <w:b/>
          <w:color w:val="1F2937"/>
          <w:sz w:val="20"/>
        </w:rPr>
        <w:t>No Mandatory Editorial Design.</w:t>
      </w:r>
      <w:r>
        <w:rPr>
          <w:rFonts w:ascii="Times New Roman" w:hAnsi="Times New Roman"/>
          <w:b w:val="0"/>
          <w:color w:val="1F2937"/>
          <w:sz w:val="20"/>
        </w:rPr>
        <w:t xml:space="preserve"> This section does not require any platform to provide a chronological feed, carry any content, remove any content, or alter the viewpoint composition of any feed.</w:t>
      </w:r>
    </w:p>
    <w:p>
      <w:pPr>
        <w:pStyle w:val="LegalLevel1"/>
      </w:pPr>
      <w:r>
        <w:rPr>
          <w:rFonts w:ascii="Times New Roman" w:hAnsi="Times New Roman"/>
          <w:b w:val="0"/>
          <w:color w:val="1F2937"/>
          <w:sz w:val="20"/>
        </w:rPr>
        <w:t xml:space="preserve">(c) </w:t>
      </w:r>
      <w:r>
        <w:rPr>
          <w:rFonts w:ascii="Times New Roman" w:hAnsi="Times New Roman"/>
          <w:b/>
          <w:color w:val="1F2937"/>
          <w:sz w:val="20"/>
        </w:rPr>
        <w:t>Dark Pattern Prohibition.</w:t>
      </w:r>
      <w:r>
        <w:rPr>
          <w:rFonts w:ascii="Times New Roman" w:hAnsi="Times New Roman"/>
          <w:b w:val="0"/>
          <w:color w:val="1F2937"/>
          <w:sz w:val="20"/>
        </w:rPr>
        <w:t xml:space="preserve"> A covered platform shall not design user controls required by this section in a manner that materially impairs, obscures, subverts, or manipulates a user’s ability to exercise the control.</w:t>
      </w:r>
    </w:p>
    <w:p>
      <w:pPr>
        <w:pStyle w:val="SectionHeading"/>
      </w:pPr>
      <w:r>
        <w:rPr>
          <w:rFonts w:ascii="Calibri" w:hAnsi="Calibri"/>
          <w:b/>
          <w:color w:val="0B2545"/>
          <w:sz w:val="19"/>
        </w:rPr>
        <w:t>SEC. 305. INDEPENDENT ALGORITHMIC ACCOUNTABILITY AUDITS.</w:t>
      </w:r>
    </w:p>
    <w:p>
      <w:pPr>
        <w:pStyle w:val="LegalLevel1"/>
      </w:pPr>
      <w:r>
        <w:rPr>
          <w:rFonts w:ascii="Times New Roman" w:hAnsi="Times New Roman"/>
          <w:b w:val="0"/>
          <w:color w:val="1F2937"/>
          <w:sz w:val="20"/>
        </w:rPr>
        <w:t xml:space="preserve">(a) </w:t>
      </w:r>
      <w:r>
        <w:rPr>
          <w:rFonts w:ascii="Times New Roman" w:hAnsi="Times New Roman"/>
          <w:b/>
          <w:color w:val="1F2937"/>
          <w:sz w:val="20"/>
        </w:rPr>
        <w:t>Annual Audit.</w:t>
      </w:r>
      <w:r>
        <w:rPr>
          <w:rFonts w:ascii="Times New Roman" w:hAnsi="Times New Roman"/>
          <w:b w:val="0"/>
          <w:color w:val="1F2937"/>
          <w:sz w:val="20"/>
        </w:rPr>
        <w:t xml:space="preserve"> Each covered platform shall obtain an annual independent audit of compliance with this Act.</w:t>
      </w:r>
    </w:p>
    <w:p>
      <w:pPr>
        <w:pStyle w:val="LegalLevel1"/>
      </w:pPr>
      <w:r>
        <w:rPr>
          <w:rFonts w:ascii="Times New Roman" w:hAnsi="Times New Roman"/>
          <w:b w:val="0"/>
          <w:color w:val="1F2937"/>
          <w:sz w:val="20"/>
        </w:rPr>
        <w:t xml:space="preserve">(b) </w:t>
      </w:r>
      <w:r>
        <w:rPr>
          <w:rFonts w:ascii="Times New Roman" w:hAnsi="Times New Roman"/>
          <w:b/>
          <w:color w:val="1F2937"/>
          <w:sz w:val="20"/>
        </w:rPr>
        <w:t>Auditor Qualifications.</w:t>
      </w:r>
      <w:r>
        <w:rPr>
          <w:rFonts w:ascii="Times New Roman" w:hAnsi="Times New Roman"/>
          <w:b w:val="0"/>
          <w:color w:val="1F2937"/>
          <w:sz w:val="20"/>
        </w:rPr>
        <w:t xml:space="preserve"> Auditors shall meet independence, technical competence, confidentiality, security, and conflict-of-interest standards established by the Commission.</w:t>
      </w:r>
    </w:p>
    <w:p>
      <w:pPr>
        <w:pStyle w:val="LegalLevel1"/>
      </w:pPr>
      <w:r>
        <w:rPr>
          <w:rFonts w:ascii="Times New Roman" w:hAnsi="Times New Roman"/>
          <w:b w:val="0"/>
          <w:color w:val="1F2937"/>
          <w:sz w:val="20"/>
        </w:rPr>
        <w:t xml:space="preserve">(c) </w:t>
      </w:r>
      <w:r>
        <w:rPr>
          <w:rFonts w:ascii="Times New Roman" w:hAnsi="Times New Roman"/>
          <w:b/>
          <w:color w:val="1F2937"/>
          <w:sz w:val="20"/>
        </w:rPr>
        <w:t>Audit Scope.</w:t>
      </w:r>
      <w:r>
        <w:rPr>
          <w:rFonts w:ascii="Times New Roman" w:hAnsi="Times New Roman"/>
          <w:b w:val="0"/>
          <w:color w:val="1F2937"/>
          <w:sz w:val="20"/>
        </w:rPr>
        <w:t xml:space="preserve"> The audit shall assess:</w:t>
      </w:r>
    </w:p>
    <w:p>
      <w:pPr>
        <w:pStyle w:val="LegalLevel2"/>
      </w:pPr>
      <w:r>
        <w:rPr>
          <w:rFonts w:ascii="Times New Roman" w:hAnsi="Times New Roman"/>
          <w:b w:val="0"/>
          <w:color w:val="1F2937"/>
          <w:sz w:val="20"/>
        </w:rPr>
        <w:t>1. accuracy of transparency reports;</w:t>
      </w:r>
    </w:p>
    <w:p>
      <w:pPr>
        <w:pStyle w:val="LegalLevel2"/>
      </w:pPr>
      <w:r>
        <w:rPr>
          <w:rFonts w:ascii="Times New Roman" w:hAnsi="Times New Roman"/>
          <w:b w:val="0"/>
          <w:color w:val="1F2937"/>
          <w:sz w:val="20"/>
        </w:rPr>
        <w:t>2. implementation of sharing friction;</w:t>
      </w:r>
    </w:p>
    <w:p>
      <w:pPr>
        <w:pStyle w:val="LegalLevel2"/>
      </w:pPr>
      <w:r>
        <w:rPr>
          <w:rFonts w:ascii="Times New Roman" w:hAnsi="Times New Roman"/>
          <w:b w:val="0"/>
          <w:color w:val="1F2937"/>
          <w:sz w:val="20"/>
        </w:rPr>
        <w:t>3. provenance preservation;</w:t>
      </w:r>
    </w:p>
    <w:p>
      <w:pPr>
        <w:pStyle w:val="LegalLevel2"/>
      </w:pPr>
      <w:r>
        <w:rPr>
          <w:rFonts w:ascii="Times New Roman" w:hAnsi="Times New Roman"/>
          <w:b w:val="0"/>
          <w:color w:val="1F2937"/>
          <w:sz w:val="20"/>
        </w:rPr>
        <w:t>4. synthetic media labeling systems;</w:t>
      </w:r>
    </w:p>
    <w:p>
      <w:pPr>
        <w:pStyle w:val="LegalLevel2"/>
      </w:pPr>
      <w:r>
        <w:rPr>
          <w:rFonts w:ascii="Times New Roman" w:hAnsi="Times New Roman"/>
          <w:b w:val="0"/>
          <w:color w:val="1F2937"/>
          <w:sz w:val="20"/>
        </w:rPr>
        <w:t>5. monetization integrity controls;</w:t>
      </w:r>
    </w:p>
    <w:p>
      <w:pPr>
        <w:pStyle w:val="LegalLevel2"/>
      </w:pPr>
      <w:r>
        <w:rPr>
          <w:rFonts w:ascii="Times New Roman" w:hAnsi="Times New Roman"/>
          <w:b w:val="0"/>
          <w:color w:val="1F2937"/>
          <w:sz w:val="20"/>
        </w:rPr>
        <w:t>6. researcher access compliance;</w:t>
      </w:r>
    </w:p>
    <w:p>
      <w:pPr>
        <w:pStyle w:val="LegalLevel2"/>
      </w:pPr>
      <w:r>
        <w:rPr>
          <w:rFonts w:ascii="Times New Roman" w:hAnsi="Times New Roman"/>
          <w:b w:val="0"/>
          <w:color w:val="1F2937"/>
          <w:sz w:val="20"/>
        </w:rPr>
        <w:t>7. complaint and appeal handling;</w:t>
      </w:r>
    </w:p>
    <w:p>
      <w:pPr>
        <w:pStyle w:val="LegalLevel2"/>
      </w:pPr>
      <w:r>
        <w:rPr>
          <w:rFonts w:ascii="Times New Roman" w:hAnsi="Times New Roman"/>
          <w:b w:val="0"/>
          <w:color w:val="1F2937"/>
          <w:sz w:val="20"/>
        </w:rPr>
        <w:t>8. compliance governance;</w:t>
      </w:r>
    </w:p>
    <w:p>
      <w:pPr>
        <w:pStyle w:val="LegalLevel2"/>
      </w:pPr>
      <w:r>
        <w:rPr>
          <w:rFonts w:ascii="Times New Roman" w:hAnsi="Times New Roman"/>
          <w:b w:val="0"/>
          <w:color w:val="1F2937"/>
          <w:sz w:val="20"/>
        </w:rPr>
        <w:t>9. material risks of deceptive amplification;</w:t>
      </w:r>
    </w:p>
    <w:p>
      <w:pPr>
        <w:pStyle w:val="LegalLevel2"/>
      </w:pPr>
      <w:r>
        <w:rPr>
          <w:rFonts w:ascii="Times New Roman" w:hAnsi="Times New Roman"/>
          <w:b w:val="0"/>
          <w:color w:val="1F2937"/>
          <w:sz w:val="20"/>
        </w:rPr>
        <w:t>10. privacy and data minimization safeguards.</w:t>
      </w:r>
    </w:p>
    <w:p>
      <w:pPr>
        <w:pStyle w:val="LegalLevel1"/>
      </w:pPr>
      <w:r>
        <w:rPr>
          <w:rFonts w:ascii="Times New Roman" w:hAnsi="Times New Roman"/>
          <w:b w:val="0"/>
          <w:color w:val="1F2937"/>
          <w:sz w:val="20"/>
        </w:rPr>
        <w:t xml:space="preserve">(d) </w:t>
      </w:r>
      <w:r>
        <w:rPr>
          <w:rFonts w:ascii="Times New Roman" w:hAnsi="Times New Roman"/>
          <w:b/>
          <w:color w:val="1F2937"/>
          <w:sz w:val="20"/>
        </w:rPr>
        <w:t>Submission.</w:t>
      </w:r>
      <w:r>
        <w:rPr>
          <w:rFonts w:ascii="Times New Roman" w:hAnsi="Times New Roman"/>
          <w:b w:val="0"/>
          <w:color w:val="1F2937"/>
          <w:sz w:val="20"/>
        </w:rPr>
        <w:t xml:space="preserve"> A covered platform shall submit the full audit to the Commission and publish a public summary.</w:t>
      </w:r>
    </w:p>
    <w:p>
      <w:pPr>
        <w:pStyle w:val="LegalLevel1"/>
      </w:pPr>
      <w:r>
        <w:rPr>
          <w:rFonts w:ascii="Times New Roman" w:hAnsi="Times New Roman"/>
          <w:b w:val="0"/>
          <w:color w:val="1F2937"/>
          <w:sz w:val="20"/>
        </w:rPr>
        <w:t xml:space="preserve">(e) </w:t>
      </w:r>
      <w:r>
        <w:rPr>
          <w:rFonts w:ascii="Times New Roman" w:hAnsi="Times New Roman"/>
          <w:b/>
          <w:color w:val="1F2937"/>
          <w:sz w:val="20"/>
        </w:rPr>
        <w:t>Corrective Action.</w:t>
      </w:r>
      <w:r>
        <w:rPr>
          <w:rFonts w:ascii="Times New Roman" w:hAnsi="Times New Roman"/>
          <w:b w:val="0"/>
          <w:color w:val="1F2937"/>
          <w:sz w:val="20"/>
        </w:rPr>
        <w:t xml:space="preserve"> For each material deficiency, the platform shall submit a corrective action plan with timelines and responsible officers.</w:t>
      </w:r>
    </w:p>
    <w:p>
      <w:pPr>
        <w:pStyle w:val="SectionHeading"/>
      </w:pPr>
      <w:r>
        <w:rPr>
          <w:rFonts w:ascii="Calibri" w:hAnsi="Calibri"/>
          <w:b/>
          <w:color w:val="0B2545"/>
          <w:sz w:val="19"/>
        </w:rPr>
        <w:t>SEC. 306. PROTECTION OF TRADE SECRETS, SECURITY, AND PRIVACY.</w:t>
      </w:r>
    </w:p>
    <w:p>
      <w:pPr>
        <w:pStyle w:val="LegalLevel1"/>
      </w:pPr>
      <w:r>
        <w:rPr>
          <w:rFonts w:ascii="Times New Roman" w:hAnsi="Times New Roman"/>
          <w:b w:val="0"/>
          <w:color w:val="1F2937"/>
          <w:sz w:val="20"/>
        </w:rPr>
        <w:t xml:space="preserve">(a) </w:t>
      </w:r>
      <w:r>
        <w:rPr>
          <w:rFonts w:ascii="Times New Roman" w:hAnsi="Times New Roman"/>
          <w:b/>
          <w:color w:val="1F2937"/>
          <w:sz w:val="20"/>
        </w:rPr>
        <w:t>Confidential Treatment.</w:t>
      </w:r>
      <w:r>
        <w:rPr>
          <w:rFonts w:ascii="Times New Roman" w:hAnsi="Times New Roman"/>
          <w:b w:val="0"/>
          <w:color w:val="1F2937"/>
          <w:sz w:val="20"/>
        </w:rPr>
        <w:t xml:space="preserve"> The Commission shall protect trade secrets, confidential business information, security-sensitive information, and personal information submitted under this Act.</w:t>
      </w:r>
    </w:p>
    <w:p>
      <w:pPr>
        <w:pStyle w:val="LegalLevel1"/>
      </w:pPr>
      <w:r>
        <w:rPr>
          <w:rFonts w:ascii="Times New Roman" w:hAnsi="Times New Roman"/>
          <w:b w:val="0"/>
          <w:color w:val="1F2937"/>
          <w:sz w:val="20"/>
        </w:rPr>
        <w:t xml:space="preserve">(b) </w:t>
      </w:r>
      <w:r>
        <w:rPr>
          <w:rFonts w:ascii="Times New Roman" w:hAnsi="Times New Roman"/>
          <w:b/>
          <w:color w:val="1F2937"/>
          <w:sz w:val="20"/>
        </w:rPr>
        <w:t>Public Summaries.</w:t>
      </w:r>
      <w:r>
        <w:rPr>
          <w:rFonts w:ascii="Times New Roman" w:hAnsi="Times New Roman"/>
          <w:b w:val="0"/>
          <w:color w:val="1F2937"/>
          <w:sz w:val="20"/>
        </w:rPr>
        <w:t xml:space="preserve"> Public disclosures shall be written to provide meaningful accountability without revealing source code, model weights, user-level data, security vulnerabilities, or anti-abuse details that would facilitate evasion.</w:t>
      </w:r>
    </w:p>
    <w:p>
      <w:pPr>
        <w:pStyle w:val="LegalLevel1"/>
      </w:pPr>
      <w:r>
        <w:rPr>
          <w:rFonts w:ascii="Times New Roman" w:hAnsi="Times New Roman"/>
          <w:b w:val="0"/>
          <w:color w:val="1F2937"/>
          <w:sz w:val="20"/>
        </w:rPr>
        <w:t xml:space="preserve">(c) </w:t>
      </w:r>
      <w:r>
        <w:rPr>
          <w:rFonts w:ascii="Times New Roman" w:hAnsi="Times New Roman"/>
          <w:b/>
          <w:color w:val="1F2937"/>
          <w:sz w:val="20"/>
        </w:rPr>
        <w:t>Privacy.</w:t>
      </w:r>
      <w:r>
        <w:rPr>
          <w:rFonts w:ascii="Times New Roman" w:hAnsi="Times New Roman"/>
          <w:b w:val="0"/>
          <w:color w:val="1F2937"/>
          <w:sz w:val="20"/>
        </w:rPr>
        <w:t xml:space="preserve"> No covered platform may disclose personal information under this Act except as expressly authorized, aggregated, de-identified, protected through a secure data room, or required by lawful process.</w:t>
      </w:r>
    </w:p>
    <w:p>
      <w:pPr>
        <w:pStyle w:val="Heading1Custom"/>
      </w:pPr>
      <w:r>
        <w:rPr>
          <w:rFonts w:ascii="Calibri" w:hAnsi="Calibri"/>
          <w:b/>
          <w:color w:val="2E74B5"/>
          <w:sz w:val="32"/>
        </w:rPr>
        <w:t>TITLE IV. SHARING FRICTION AND VIRAL DISTRIBUTION SAFEGUARDS</w:t>
      </w:r>
    </w:p>
    <w:p>
      <w:pPr>
        <w:pStyle w:val="SectionHeading"/>
      </w:pPr>
      <w:r>
        <w:rPr>
          <w:rFonts w:ascii="Calibri" w:hAnsi="Calibri"/>
          <w:b/>
          <w:color w:val="0B2545"/>
          <w:sz w:val="19"/>
        </w:rPr>
        <w:t>SEC. 401. CONTENT-NEUTRAL SHARING FRICTION.</w:t>
      </w:r>
    </w:p>
    <w:p>
      <w:pPr>
        <w:pStyle w:val="LegalLevel1"/>
      </w:pPr>
      <w:r>
        <w:rPr>
          <w:rFonts w:ascii="Times New Roman" w:hAnsi="Times New Roman"/>
          <w:b w:val="0"/>
          <w:color w:val="1F2937"/>
          <w:sz w:val="20"/>
        </w:rPr>
        <w:t xml:space="preserve">(a) </w:t>
      </w:r>
      <w:r>
        <w:rPr>
          <w:rFonts w:ascii="Times New Roman" w:hAnsi="Times New Roman"/>
          <w:b/>
          <w:color w:val="1F2937"/>
          <w:sz w:val="20"/>
        </w:rPr>
        <w:t>Duty.</w:t>
      </w:r>
      <w:r>
        <w:rPr>
          <w:rFonts w:ascii="Times New Roman" w:hAnsi="Times New Roman"/>
          <w:b w:val="0"/>
          <w:color w:val="1F2937"/>
          <w:sz w:val="20"/>
        </w:rPr>
        <w:t xml:space="preserve"> Each covered platform that provides one-click or low-friction redistribution shall implement content-neutral sharing friction for objective high-velocity redistribution events.</w:t>
      </w:r>
    </w:p>
    <w:p>
      <w:pPr>
        <w:pStyle w:val="LegalLevel1"/>
      </w:pPr>
      <w:r>
        <w:rPr>
          <w:rFonts w:ascii="Times New Roman" w:hAnsi="Times New Roman"/>
          <w:b w:val="0"/>
          <w:color w:val="1F2937"/>
          <w:sz w:val="20"/>
        </w:rPr>
        <w:t xml:space="preserve">(b) </w:t>
      </w:r>
      <w:r>
        <w:rPr>
          <w:rFonts w:ascii="Times New Roman" w:hAnsi="Times New Roman"/>
          <w:b/>
          <w:color w:val="1F2937"/>
          <w:sz w:val="20"/>
        </w:rPr>
        <w:t>Permissible Friction.</w:t>
      </w:r>
      <w:r>
        <w:rPr>
          <w:rFonts w:ascii="Times New Roman" w:hAnsi="Times New Roman"/>
          <w:b w:val="0"/>
          <w:color w:val="1F2937"/>
          <w:sz w:val="20"/>
        </w:rPr>
        <w:t xml:space="preserve"> Sharing friction may include:</w:t>
      </w:r>
    </w:p>
    <w:p>
      <w:pPr>
        <w:pStyle w:val="LegalLevel2"/>
      </w:pPr>
      <w:r>
        <w:rPr>
          <w:rFonts w:ascii="Times New Roman" w:hAnsi="Times New Roman"/>
          <w:b w:val="0"/>
          <w:color w:val="1F2937"/>
          <w:sz w:val="20"/>
        </w:rPr>
        <w:t>1. a prompt encouraging the user to open, read, view, or listen before resharing;</w:t>
      </w:r>
    </w:p>
    <w:p>
      <w:pPr>
        <w:pStyle w:val="LegalLevel2"/>
      </w:pPr>
      <w:r>
        <w:rPr>
          <w:rFonts w:ascii="Times New Roman" w:hAnsi="Times New Roman"/>
          <w:b w:val="0"/>
          <w:color w:val="1F2937"/>
          <w:sz w:val="20"/>
        </w:rPr>
        <w:t>2. a notice that the content is being rapidly redistributed;</w:t>
      </w:r>
    </w:p>
    <w:p>
      <w:pPr>
        <w:pStyle w:val="LegalLevel2"/>
      </w:pPr>
      <w:r>
        <w:rPr>
          <w:rFonts w:ascii="Times New Roman" w:hAnsi="Times New Roman"/>
          <w:b w:val="0"/>
          <w:color w:val="1F2937"/>
          <w:sz w:val="20"/>
        </w:rPr>
        <w:t>3. a prompt identifying available provenance metadata or absence of available provenance metadata;</w:t>
      </w:r>
    </w:p>
    <w:p>
      <w:pPr>
        <w:pStyle w:val="LegalLevel2"/>
      </w:pPr>
      <w:r>
        <w:rPr>
          <w:rFonts w:ascii="Times New Roman" w:hAnsi="Times New Roman"/>
          <w:b w:val="0"/>
          <w:color w:val="1F2937"/>
          <w:sz w:val="20"/>
        </w:rPr>
        <w:t>4. a confirmation step before bulk forwarding;</w:t>
      </w:r>
    </w:p>
    <w:p>
      <w:pPr>
        <w:pStyle w:val="LegalLevel2"/>
      </w:pPr>
      <w:r>
        <w:rPr>
          <w:rFonts w:ascii="Times New Roman" w:hAnsi="Times New Roman"/>
          <w:b w:val="0"/>
          <w:color w:val="1F2937"/>
          <w:sz w:val="20"/>
        </w:rPr>
        <w:t>5. a short cooldown for repeated bulk actions by the same account;</w:t>
      </w:r>
    </w:p>
    <w:p>
      <w:pPr>
        <w:pStyle w:val="LegalLevel2"/>
      </w:pPr>
      <w:r>
        <w:rPr>
          <w:rFonts w:ascii="Times New Roman" w:hAnsi="Times New Roman"/>
          <w:b w:val="0"/>
          <w:color w:val="1F2937"/>
          <w:sz w:val="20"/>
        </w:rPr>
        <w:t>6. rate limits on automated redistribution.</w:t>
      </w:r>
    </w:p>
    <w:p>
      <w:pPr>
        <w:pStyle w:val="LegalLevel1"/>
      </w:pPr>
      <w:r>
        <w:rPr>
          <w:rFonts w:ascii="Times New Roman" w:hAnsi="Times New Roman"/>
          <w:b w:val="0"/>
          <w:color w:val="1F2937"/>
          <w:sz w:val="20"/>
        </w:rPr>
        <w:t xml:space="preserve">(c) </w:t>
      </w:r>
      <w:r>
        <w:rPr>
          <w:rFonts w:ascii="Times New Roman" w:hAnsi="Times New Roman"/>
          <w:b/>
          <w:color w:val="1F2937"/>
          <w:sz w:val="20"/>
        </w:rPr>
        <w:t>Content Neutrality.</w:t>
      </w:r>
      <w:r>
        <w:rPr>
          <w:rFonts w:ascii="Times New Roman" w:hAnsi="Times New Roman"/>
          <w:b w:val="0"/>
          <w:color w:val="1F2937"/>
          <w:sz w:val="20"/>
        </w:rPr>
        <w:t xml:space="preserve"> Required friction shall be triggered by distribution velocity, user interaction, automation indicators, provenance status, or bulk action patterns, and not by viewpoint, ideology, political position, religious belief, lawful opinion, or government assessment of truthfulness.</w:t>
      </w:r>
    </w:p>
    <w:p>
      <w:pPr>
        <w:pStyle w:val="LegalLevel1"/>
      </w:pPr>
      <w:r>
        <w:rPr>
          <w:rFonts w:ascii="Times New Roman" w:hAnsi="Times New Roman"/>
          <w:b w:val="0"/>
          <w:color w:val="1F2937"/>
          <w:sz w:val="20"/>
        </w:rPr>
        <w:t xml:space="preserve">(d) </w:t>
      </w:r>
      <w:r>
        <w:rPr>
          <w:rFonts w:ascii="Times New Roman" w:hAnsi="Times New Roman"/>
          <w:b/>
          <w:color w:val="1F2937"/>
          <w:sz w:val="20"/>
        </w:rPr>
        <w:t>No Blocking.</w:t>
      </w:r>
      <w:r>
        <w:rPr>
          <w:rFonts w:ascii="Times New Roman" w:hAnsi="Times New Roman"/>
          <w:b w:val="0"/>
          <w:color w:val="1F2937"/>
          <w:sz w:val="20"/>
        </w:rPr>
        <w:t xml:space="preserve"> Sharing friction shall not prevent a user from accessing, quoting, criticizing, linking to, or sharing lawful content, except as otherwise authorized by law.</w:t>
      </w:r>
    </w:p>
    <w:p>
      <w:pPr>
        <w:pStyle w:val="SectionHeading"/>
      </w:pPr>
      <w:r>
        <w:rPr>
          <w:rFonts w:ascii="Calibri" w:hAnsi="Calibri"/>
          <w:b/>
          <w:color w:val="0B2545"/>
          <w:sz w:val="19"/>
        </w:rPr>
        <w:t>SEC. 402. READ-BEFORE-SHARE AND VIEW-BEFORE-SHARE PROMPTS.</w:t>
      </w:r>
    </w:p>
    <w:p>
      <w:pPr>
        <w:pStyle w:val="LegalLevel1"/>
      </w:pPr>
      <w:r>
        <w:rPr>
          <w:rFonts w:ascii="Times New Roman" w:hAnsi="Times New Roman"/>
          <w:b w:val="0"/>
          <w:color w:val="1F2937"/>
          <w:sz w:val="20"/>
        </w:rPr>
        <w:t xml:space="preserve">(a) </w:t>
      </w:r>
      <w:r>
        <w:rPr>
          <w:rFonts w:ascii="Times New Roman" w:hAnsi="Times New Roman"/>
          <w:b/>
          <w:color w:val="1F2937"/>
          <w:sz w:val="20"/>
        </w:rPr>
        <w:t>Prompt Required.</w:t>
      </w:r>
      <w:r>
        <w:rPr>
          <w:rFonts w:ascii="Times New Roman" w:hAnsi="Times New Roman"/>
          <w:b w:val="0"/>
          <w:color w:val="1F2937"/>
          <w:sz w:val="20"/>
        </w:rPr>
        <w:t xml:space="preserve"> A covered platform shall provide a neutral prompt when a user attempts to redistribute linked content, video, audio, or long-form text that the user has not opened, played, viewed, or otherwise meaningfully accessed through the platform interface.</w:t>
      </w:r>
    </w:p>
    <w:p>
      <w:pPr>
        <w:pStyle w:val="LegalLevel1"/>
      </w:pPr>
      <w:r>
        <w:rPr>
          <w:rFonts w:ascii="Times New Roman" w:hAnsi="Times New Roman"/>
          <w:b w:val="0"/>
          <w:color w:val="1F2937"/>
          <w:sz w:val="20"/>
        </w:rPr>
        <w:t xml:space="preserve">(b) </w:t>
      </w:r>
      <w:r>
        <w:rPr>
          <w:rFonts w:ascii="Times New Roman" w:hAnsi="Times New Roman"/>
          <w:b/>
          <w:color w:val="1F2937"/>
          <w:sz w:val="20"/>
        </w:rPr>
        <w:t>Prompt Language.</w:t>
      </w:r>
      <w:r>
        <w:rPr>
          <w:rFonts w:ascii="Times New Roman" w:hAnsi="Times New Roman"/>
          <w:b w:val="0"/>
          <w:color w:val="1F2937"/>
          <w:sz w:val="20"/>
        </w:rPr>
        <w:t xml:space="preserve"> The prompt shall use viewpoint-neutral language, such as: “You have not opened this item. Consider reviewing it before sharing.”</w:t>
      </w:r>
    </w:p>
    <w:p>
      <w:pPr>
        <w:pStyle w:val="LegalLevel1"/>
      </w:pPr>
      <w:r>
        <w:rPr>
          <w:rFonts w:ascii="Times New Roman" w:hAnsi="Times New Roman"/>
          <w:b w:val="0"/>
          <w:color w:val="1F2937"/>
          <w:sz w:val="20"/>
        </w:rPr>
        <w:t xml:space="preserve">(c) </w:t>
      </w:r>
      <w:r>
        <w:rPr>
          <w:rFonts w:ascii="Times New Roman" w:hAnsi="Times New Roman"/>
          <w:b/>
          <w:color w:val="1F2937"/>
          <w:sz w:val="20"/>
        </w:rPr>
        <w:t>User Choice.</w:t>
      </w:r>
      <w:r>
        <w:rPr>
          <w:rFonts w:ascii="Times New Roman" w:hAnsi="Times New Roman"/>
          <w:b w:val="0"/>
          <w:color w:val="1F2937"/>
          <w:sz w:val="20"/>
        </w:rPr>
        <w:t xml:space="preserve"> The user may proceed after the prompt.</w:t>
      </w:r>
    </w:p>
    <w:p>
      <w:pPr>
        <w:pStyle w:val="LegalLevel1"/>
      </w:pPr>
      <w:r>
        <w:rPr>
          <w:rFonts w:ascii="Times New Roman" w:hAnsi="Times New Roman"/>
          <w:b w:val="0"/>
          <w:color w:val="1F2937"/>
          <w:sz w:val="20"/>
        </w:rPr>
        <w:t xml:space="preserve">(d) </w:t>
      </w:r>
      <w:r>
        <w:rPr>
          <w:rFonts w:ascii="Times New Roman" w:hAnsi="Times New Roman"/>
          <w:b/>
          <w:color w:val="1F2937"/>
          <w:sz w:val="20"/>
        </w:rPr>
        <w:t>No Truth Judgment.</w:t>
      </w:r>
      <w:r>
        <w:rPr>
          <w:rFonts w:ascii="Times New Roman" w:hAnsi="Times New Roman"/>
          <w:b w:val="0"/>
          <w:color w:val="1F2937"/>
          <w:sz w:val="20"/>
        </w:rPr>
        <w:t xml:space="preserve"> The prompt may not state or imply that the content is false, misleading, harmful, extremist, or disputed unless such statement is based on a voluntary platform policy not required by the Government.</w:t>
      </w:r>
    </w:p>
    <w:p>
      <w:pPr>
        <w:pStyle w:val="SectionHeading"/>
      </w:pPr>
      <w:r>
        <w:rPr>
          <w:rFonts w:ascii="Calibri" w:hAnsi="Calibri"/>
          <w:b/>
          <w:color w:val="0B2545"/>
          <w:sz w:val="19"/>
        </w:rPr>
        <w:t>SEC. 403. HIGH-VELOCITY REDISTRIBUTION SAFEGUARDS.</w:t>
      </w:r>
    </w:p>
    <w:p>
      <w:pPr>
        <w:pStyle w:val="LegalLevel1"/>
      </w:pPr>
      <w:r>
        <w:rPr>
          <w:rFonts w:ascii="Times New Roman" w:hAnsi="Times New Roman"/>
          <w:b w:val="0"/>
          <w:color w:val="1F2937"/>
          <w:sz w:val="20"/>
        </w:rPr>
        <w:t xml:space="preserve">(a) </w:t>
      </w:r>
      <w:r>
        <w:rPr>
          <w:rFonts w:ascii="Times New Roman" w:hAnsi="Times New Roman"/>
          <w:b/>
          <w:color w:val="1F2937"/>
          <w:sz w:val="20"/>
        </w:rPr>
        <w:t>Thresholds.</w:t>
      </w:r>
      <w:r>
        <w:rPr>
          <w:rFonts w:ascii="Times New Roman" w:hAnsi="Times New Roman"/>
          <w:b w:val="0"/>
          <w:color w:val="1F2937"/>
          <w:sz w:val="20"/>
        </w:rPr>
        <w:t xml:space="preserve"> The Commission shall, by rule, establish objective high-velocity redistribution thresholds.</w:t>
      </w:r>
    </w:p>
    <w:p>
      <w:pPr>
        <w:pStyle w:val="LegalLevel1"/>
      </w:pPr>
      <w:r>
        <w:rPr>
          <w:rFonts w:ascii="Times New Roman" w:hAnsi="Times New Roman"/>
          <w:b w:val="0"/>
          <w:color w:val="1F2937"/>
          <w:sz w:val="20"/>
        </w:rPr>
        <w:t xml:space="preserve">(b) </w:t>
      </w:r>
      <w:r>
        <w:rPr>
          <w:rFonts w:ascii="Times New Roman" w:hAnsi="Times New Roman"/>
          <w:b/>
          <w:color w:val="1F2937"/>
          <w:sz w:val="20"/>
        </w:rPr>
        <w:t>Requirements.</w:t>
      </w:r>
      <w:r>
        <w:rPr>
          <w:rFonts w:ascii="Times New Roman" w:hAnsi="Times New Roman"/>
          <w:b w:val="0"/>
          <w:color w:val="1F2937"/>
          <w:sz w:val="20"/>
        </w:rPr>
        <w:t xml:space="preserve"> For content meeting such thresholds, a covered platform shall:</w:t>
      </w:r>
    </w:p>
    <w:p>
      <w:pPr>
        <w:pStyle w:val="LegalLevel2"/>
      </w:pPr>
      <w:r>
        <w:rPr>
          <w:rFonts w:ascii="Times New Roman" w:hAnsi="Times New Roman"/>
          <w:b w:val="0"/>
          <w:color w:val="1F2937"/>
          <w:sz w:val="20"/>
        </w:rPr>
        <w:t>1. activate sharing friction;</w:t>
      </w:r>
    </w:p>
    <w:p>
      <w:pPr>
        <w:pStyle w:val="LegalLevel2"/>
      </w:pPr>
      <w:r>
        <w:rPr>
          <w:rFonts w:ascii="Times New Roman" w:hAnsi="Times New Roman"/>
          <w:b w:val="0"/>
          <w:color w:val="1F2937"/>
          <w:sz w:val="20"/>
        </w:rPr>
        <w:t>2. preserve records of distribution metrics for not less than 1 year;</w:t>
      </w:r>
    </w:p>
    <w:p>
      <w:pPr>
        <w:pStyle w:val="LegalLevel2"/>
      </w:pPr>
      <w:r>
        <w:rPr>
          <w:rFonts w:ascii="Times New Roman" w:hAnsi="Times New Roman"/>
          <w:b w:val="0"/>
          <w:color w:val="1F2937"/>
          <w:sz w:val="20"/>
        </w:rPr>
        <w:t>3. include the event in aggregate transparency reports;</w:t>
      </w:r>
    </w:p>
    <w:p>
      <w:pPr>
        <w:pStyle w:val="LegalLevel2"/>
      </w:pPr>
      <w:r>
        <w:rPr>
          <w:rFonts w:ascii="Times New Roman" w:hAnsi="Times New Roman"/>
          <w:b w:val="0"/>
          <w:color w:val="1F2937"/>
          <w:sz w:val="20"/>
        </w:rPr>
        <w:t>4. evaluate whether the event involved fake engagement, automated redistribution, undisclosed paid amplification, or coordinated deceptive activity.</w:t>
      </w:r>
    </w:p>
    <w:p>
      <w:pPr>
        <w:pStyle w:val="LegalLevel1"/>
      </w:pPr>
      <w:r>
        <w:rPr>
          <w:rFonts w:ascii="Times New Roman" w:hAnsi="Times New Roman"/>
          <w:b w:val="0"/>
          <w:color w:val="1F2937"/>
          <w:sz w:val="20"/>
        </w:rPr>
        <w:t xml:space="preserve">(c) </w:t>
      </w:r>
      <w:r>
        <w:rPr>
          <w:rFonts w:ascii="Times New Roman" w:hAnsi="Times New Roman"/>
          <w:b/>
          <w:color w:val="1F2937"/>
          <w:sz w:val="20"/>
        </w:rPr>
        <w:t>No Content Moderation Requirement.</w:t>
      </w:r>
      <w:r>
        <w:rPr>
          <w:rFonts w:ascii="Times New Roman" w:hAnsi="Times New Roman"/>
          <w:b w:val="0"/>
          <w:color w:val="1F2937"/>
          <w:sz w:val="20"/>
        </w:rPr>
        <w:t xml:space="preserve"> Nothing in this section requires removal, demotion, labeling, or demonetization of content based on subject matter, viewpoint, or truthfulness.</w:t>
      </w:r>
    </w:p>
    <w:p>
      <w:pPr>
        <w:pStyle w:val="SectionHeading"/>
      </w:pPr>
      <w:r>
        <w:rPr>
          <w:rFonts w:ascii="Calibri" w:hAnsi="Calibri"/>
          <w:b/>
          <w:color w:val="0B2545"/>
          <w:sz w:val="19"/>
        </w:rPr>
        <w:t>SEC. 404. BULK-FORWARDING AND AUTOMATION CONTROLS.</w:t>
      </w:r>
    </w:p>
    <w:p>
      <w:pPr>
        <w:pStyle w:val="LegalLevel1"/>
      </w:pPr>
      <w:r>
        <w:rPr>
          <w:rFonts w:ascii="Times New Roman" w:hAnsi="Times New Roman"/>
          <w:b w:val="0"/>
          <w:color w:val="1F2937"/>
          <w:sz w:val="20"/>
        </w:rPr>
        <w:t xml:space="preserve">(a) </w:t>
      </w:r>
      <w:r>
        <w:rPr>
          <w:rFonts w:ascii="Times New Roman" w:hAnsi="Times New Roman"/>
          <w:b/>
          <w:color w:val="1F2937"/>
          <w:sz w:val="20"/>
        </w:rPr>
        <w:t>Bulk Controls.</w:t>
      </w:r>
      <w:r>
        <w:rPr>
          <w:rFonts w:ascii="Times New Roman" w:hAnsi="Times New Roman"/>
          <w:b w:val="0"/>
          <w:color w:val="1F2937"/>
          <w:sz w:val="20"/>
        </w:rPr>
        <w:t xml:space="preserve"> Covered platforms shall maintain reasonable controls to detect and limit automated or bulk redistribution that materially contributes to deceptive amplification.</w:t>
      </w:r>
    </w:p>
    <w:p>
      <w:pPr>
        <w:pStyle w:val="LegalLevel1"/>
      </w:pPr>
      <w:r>
        <w:rPr>
          <w:rFonts w:ascii="Times New Roman" w:hAnsi="Times New Roman"/>
          <w:b w:val="0"/>
          <w:color w:val="1F2937"/>
          <w:sz w:val="20"/>
        </w:rPr>
        <w:t xml:space="preserve">(b) </w:t>
      </w:r>
      <w:r>
        <w:rPr>
          <w:rFonts w:ascii="Times New Roman" w:hAnsi="Times New Roman"/>
          <w:b/>
          <w:color w:val="1F2937"/>
          <w:sz w:val="20"/>
        </w:rPr>
        <w:t>Automation Signals.</w:t>
      </w:r>
      <w:r>
        <w:rPr>
          <w:rFonts w:ascii="Times New Roman" w:hAnsi="Times New Roman"/>
          <w:b w:val="0"/>
          <w:color w:val="1F2937"/>
          <w:sz w:val="20"/>
        </w:rPr>
        <w:t xml:space="preserve"> Controls may consider account age, posting rate, device patterns, repeated identical content, known bot infrastructure, paid amplification, and other viewpoint-neutral indicators.</w:t>
      </w:r>
    </w:p>
    <w:p>
      <w:pPr>
        <w:pStyle w:val="LegalLevel1"/>
      </w:pPr>
      <w:r>
        <w:rPr>
          <w:rFonts w:ascii="Times New Roman" w:hAnsi="Times New Roman"/>
          <w:b w:val="0"/>
          <w:color w:val="1F2937"/>
          <w:sz w:val="20"/>
        </w:rPr>
        <w:t xml:space="preserve">(c) </w:t>
      </w:r>
      <w:r>
        <w:rPr>
          <w:rFonts w:ascii="Times New Roman" w:hAnsi="Times New Roman"/>
          <w:b/>
          <w:color w:val="1F2937"/>
          <w:sz w:val="20"/>
        </w:rPr>
        <w:t>Appeal.</w:t>
      </w:r>
      <w:r>
        <w:rPr>
          <w:rFonts w:ascii="Times New Roman" w:hAnsi="Times New Roman"/>
          <w:b w:val="0"/>
          <w:color w:val="1F2937"/>
          <w:sz w:val="20"/>
        </w:rPr>
        <w:t xml:space="preserve"> A user materially restricted by automation controls shall have access to a reasonable appeal process.</w:t>
      </w:r>
    </w:p>
    <w:p>
      <w:pPr>
        <w:pStyle w:val="SectionHeading"/>
      </w:pPr>
      <w:r>
        <w:rPr>
          <w:rFonts w:ascii="Calibri" w:hAnsi="Calibri"/>
          <w:b/>
          <w:color w:val="0B2545"/>
          <w:sz w:val="19"/>
        </w:rPr>
        <w:t>SEC. 405. PROHIBITION ON SUPPRESSIVE IMPLEMENTATION.</w:t>
      </w:r>
    </w:p>
    <w:p>
      <w:pPr>
        <w:pStyle w:val="LegalBody"/>
      </w:pPr>
      <w:r>
        <w:rPr>
          <w:rFonts w:ascii="Times New Roman" w:hAnsi="Times New Roman"/>
          <w:b w:val="0"/>
          <w:color w:val="1F2937"/>
          <w:sz w:val="20"/>
        </w:rPr>
        <w:t>A covered platform may not represent that this Act requires the platform to suppress, remove, demote, shadow ban, or demonetize lawful speech when this Act does not require such action.</w:t>
      </w:r>
    </w:p>
    <w:p>
      <w:pPr>
        <w:pStyle w:val="SectionHeading"/>
      </w:pPr>
      <w:r>
        <w:rPr>
          <w:rFonts w:ascii="Calibri" w:hAnsi="Calibri"/>
          <w:b/>
          <w:color w:val="0B2545"/>
          <w:sz w:val="19"/>
        </w:rPr>
        <w:t>SEC. 406. USER AND RESEARCHER METRICS.</w:t>
      </w:r>
    </w:p>
    <w:p>
      <w:pPr>
        <w:pStyle w:val="LegalBody"/>
      </w:pPr>
      <w:r>
        <w:rPr>
          <w:rFonts w:ascii="Times New Roman" w:hAnsi="Times New Roman"/>
          <w:b w:val="0"/>
          <w:color w:val="1F2937"/>
          <w:sz w:val="20"/>
        </w:rPr>
        <w:t>The Commission shall require covered platforms to publish aggregate metrics sufficient to evaluate whether sharing friction reduces unreviewed redistribution, bulk forwarding, and deceptive amplification without materially preventing lawful user expression.</w:t>
      </w:r>
    </w:p>
    <w:p>
      <w:pPr>
        <w:pStyle w:val="Heading1Custom"/>
      </w:pPr>
      <w:r>
        <w:rPr>
          <w:rFonts w:ascii="Calibri" w:hAnsi="Calibri"/>
          <w:b/>
          <w:color w:val="2E74B5"/>
          <w:sz w:val="32"/>
        </w:rPr>
        <w:t>TITLE V. PROVENANCE AND SYNTHETIC MEDIA TRANSPARENCY</w:t>
      </w:r>
    </w:p>
    <w:p>
      <w:pPr>
        <w:pStyle w:val="SectionHeading"/>
      </w:pPr>
      <w:r>
        <w:rPr>
          <w:rFonts w:ascii="Calibri" w:hAnsi="Calibri"/>
          <w:b/>
          <w:color w:val="0B2545"/>
          <w:sz w:val="19"/>
        </w:rPr>
        <w:t>SEC. 501. NATIONAL DIGITAL PROVENANCE STANDARDS.</w:t>
      </w:r>
    </w:p>
    <w:p>
      <w:pPr>
        <w:pStyle w:val="LegalLevel1"/>
      </w:pPr>
      <w:r>
        <w:rPr>
          <w:rFonts w:ascii="Times New Roman" w:hAnsi="Times New Roman"/>
          <w:b w:val="0"/>
          <w:color w:val="1F2937"/>
          <w:sz w:val="20"/>
        </w:rPr>
        <w:t xml:space="preserve">(a) </w:t>
      </w:r>
      <w:r>
        <w:rPr>
          <w:rFonts w:ascii="Times New Roman" w:hAnsi="Times New Roman"/>
          <w:b/>
          <w:color w:val="1F2937"/>
          <w:sz w:val="20"/>
        </w:rPr>
        <w:t>NIST Standards.</w:t>
      </w:r>
      <w:r>
        <w:rPr>
          <w:rFonts w:ascii="Times New Roman" w:hAnsi="Times New Roman"/>
          <w:b w:val="0"/>
          <w:color w:val="1F2937"/>
          <w:sz w:val="20"/>
        </w:rPr>
        <w:t xml:space="preserve"> Not later than 1 year after enactment, the Director of the National Institute of Standards and Technology shall develop or identify voluntary consensus standards for digital provenance, synthetic media labeling, watermarking, credentialing, detection, auditing, and interoperability.</w:t>
      </w:r>
    </w:p>
    <w:p>
      <w:pPr>
        <w:pStyle w:val="LegalLevel1"/>
      </w:pPr>
      <w:r>
        <w:rPr>
          <w:rFonts w:ascii="Times New Roman" w:hAnsi="Times New Roman"/>
          <w:b w:val="0"/>
          <w:color w:val="1F2937"/>
          <w:sz w:val="20"/>
        </w:rPr>
        <w:t xml:space="preserve">(b) </w:t>
      </w:r>
      <w:r>
        <w:rPr>
          <w:rFonts w:ascii="Times New Roman" w:hAnsi="Times New Roman"/>
          <w:b/>
          <w:color w:val="1F2937"/>
          <w:sz w:val="20"/>
        </w:rPr>
        <w:t>Technology Neutrality.</w:t>
      </w:r>
      <w:r>
        <w:rPr>
          <w:rFonts w:ascii="Times New Roman" w:hAnsi="Times New Roman"/>
          <w:b w:val="0"/>
          <w:color w:val="1F2937"/>
          <w:sz w:val="20"/>
        </w:rPr>
        <w:t xml:space="preserve"> Standards shall be technology-neutral, vendor-neutral, privacy-protective, security-aware, and capable of revision as technology evolves.</w:t>
      </w:r>
    </w:p>
    <w:p>
      <w:pPr>
        <w:pStyle w:val="LegalLevel1"/>
      </w:pPr>
      <w:r>
        <w:rPr>
          <w:rFonts w:ascii="Times New Roman" w:hAnsi="Times New Roman"/>
          <w:b w:val="0"/>
          <w:color w:val="1F2937"/>
          <w:sz w:val="20"/>
        </w:rPr>
        <w:t xml:space="preserve">(c) </w:t>
      </w:r>
      <w:r>
        <w:rPr>
          <w:rFonts w:ascii="Times New Roman" w:hAnsi="Times New Roman"/>
          <w:b/>
          <w:color w:val="1F2937"/>
          <w:sz w:val="20"/>
        </w:rPr>
        <w:t>Considerations.</w:t>
      </w:r>
      <w:r>
        <w:rPr>
          <w:rFonts w:ascii="Times New Roman" w:hAnsi="Times New Roman"/>
          <w:b w:val="0"/>
          <w:color w:val="1F2937"/>
          <w:sz w:val="20"/>
        </w:rPr>
        <w:t xml:space="preserve"> Standards shall address:</w:t>
      </w:r>
    </w:p>
    <w:p>
      <w:pPr>
        <w:pStyle w:val="LegalLevel2"/>
      </w:pPr>
      <w:r>
        <w:rPr>
          <w:rFonts w:ascii="Times New Roman" w:hAnsi="Times New Roman"/>
          <w:b w:val="0"/>
          <w:color w:val="1F2937"/>
          <w:sz w:val="20"/>
        </w:rPr>
        <w:t>1. cryptographic provenance credentials;</w:t>
      </w:r>
    </w:p>
    <w:p>
      <w:pPr>
        <w:pStyle w:val="LegalLevel2"/>
      </w:pPr>
      <w:r>
        <w:rPr>
          <w:rFonts w:ascii="Times New Roman" w:hAnsi="Times New Roman"/>
          <w:b w:val="0"/>
          <w:color w:val="1F2937"/>
          <w:sz w:val="20"/>
        </w:rPr>
        <w:t>2. durable watermarking;</w:t>
      </w:r>
    </w:p>
    <w:p>
      <w:pPr>
        <w:pStyle w:val="LegalLevel2"/>
      </w:pPr>
      <w:r>
        <w:rPr>
          <w:rFonts w:ascii="Times New Roman" w:hAnsi="Times New Roman"/>
          <w:b w:val="0"/>
          <w:color w:val="1F2937"/>
          <w:sz w:val="20"/>
        </w:rPr>
        <w:t>3. metadata preservation;</w:t>
      </w:r>
    </w:p>
    <w:p>
      <w:pPr>
        <w:pStyle w:val="LegalLevel2"/>
      </w:pPr>
      <w:r>
        <w:rPr>
          <w:rFonts w:ascii="Times New Roman" w:hAnsi="Times New Roman"/>
          <w:b w:val="0"/>
          <w:color w:val="1F2937"/>
          <w:sz w:val="20"/>
        </w:rPr>
        <w:t>4. edit history;</w:t>
      </w:r>
    </w:p>
    <w:p>
      <w:pPr>
        <w:pStyle w:val="LegalLevel2"/>
      </w:pPr>
      <w:r>
        <w:rPr>
          <w:rFonts w:ascii="Times New Roman" w:hAnsi="Times New Roman"/>
          <w:b w:val="0"/>
          <w:color w:val="1F2937"/>
          <w:sz w:val="20"/>
        </w:rPr>
        <w:t>5. synthetic media generation disclosures;</w:t>
      </w:r>
    </w:p>
    <w:p>
      <w:pPr>
        <w:pStyle w:val="LegalLevel2"/>
      </w:pPr>
      <w:r>
        <w:rPr>
          <w:rFonts w:ascii="Times New Roman" w:hAnsi="Times New Roman"/>
          <w:b w:val="0"/>
          <w:color w:val="1F2937"/>
          <w:sz w:val="20"/>
        </w:rPr>
        <w:t>6. removal or stripping of metadata;</w:t>
      </w:r>
    </w:p>
    <w:p>
      <w:pPr>
        <w:pStyle w:val="LegalLevel2"/>
      </w:pPr>
      <w:r>
        <w:rPr>
          <w:rFonts w:ascii="Times New Roman" w:hAnsi="Times New Roman"/>
          <w:b w:val="0"/>
          <w:color w:val="1F2937"/>
          <w:sz w:val="20"/>
        </w:rPr>
        <w:t>7. adversarial manipulation;</w:t>
      </w:r>
    </w:p>
    <w:p>
      <w:pPr>
        <w:pStyle w:val="LegalLevel2"/>
      </w:pPr>
      <w:r>
        <w:rPr>
          <w:rFonts w:ascii="Times New Roman" w:hAnsi="Times New Roman"/>
          <w:b w:val="0"/>
          <w:color w:val="1F2937"/>
          <w:sz w:val="20"/>
        </w:rPr>
        <w:t>8. accessibility;</w:t>
      </w:r>
    </w:p>
    <w:p>
      <w:pPr>
        <w:pStyle w:val="LegalLevel2"/>
      </w:pPr>
      <w:r>
        <w:rPr>
          <w:rFonts w:ascii="Times New Roman" w:hAnsi="Times New Roman"/>
          <w:b w:val="0"/>
          <w:color w:val="1F2937"/>
          <w:sz w:val="20"/>
        </w:rPr>
        <w:t>9. privacy and safety risks to creators, journalists, dissidents, whistleblowers, and vulnerable persons.</w:t>
      </w:r>
    </w:p>
    <w:p>
      <w:pPr>
        <w:pStyle w:val="LegalLevel1"/>
      </w:pPr>
      <w:r>
        <w:rPr>
          <w:rFonts w:ascii="Times New Roman" w:hAnsi="Times New Roman"/>
          <w:b w:val="0"/>
          <w:color w:val="1F2937"/>
          <w:sz w:val="20"/>
        </w:rPr>
        <w:t xml:space="preserve">(d) </w:t>
      </w:r>
      <w:r>
        <w:rPr>
          <w:rFonts w:ascii="Times New Roman" w:hAnsi="Times New Roman"/>
          <w:b/>
          <w:color w:val="1F2937"/>
          <w:sz w:val="20"/>
        </w:rPr>
        <w:t>No Exclusive Standard.</w:t>
      </w:r>
      <w:r>
        <w:rPr>
          <w:rFonts w:ascii="Times New Roman" w:hAnsi="Times New Roman"/>
          <w:b w:val="0"/>
          <w:color w:val="1F2937"/>
          <w:sz w:val="20"/>
        </w:rPr>
        <w:t xml:space="preserve"> No private standard shall be deemed exclusively required unless adopted through rulemaking.</w:t>
      </w:r>
    </w:p>
    <w:p>
      <w:pPr>
        <w:pStyle w:val="SectionHeading"/>
      </w:pPr>
      <w:r>
        <w:rPr>
          <w:rFonts w:ascii="Calibri" w:hAnsi="Calibri"/>
          <w:b/>
          <w:color w:val="0B2545"/>
          <w:sz w:val="19"/>
        </w:rPr>
        <w:t>SEC. 502. PRESERVATION OF PROVENANCE METADATA.</w:t>
      </w:r>
    </w:p>
    <w:p>
      <w:pPr>
        <w:pStyle w:val="LegalLevel1"/>
      </w:pPr>
      <w:r>
        <w:rPr>
          <w:rFonts w:ascii="Times New Roman" w:hAnsi="Times New Roman"/>
          <w:b w:val="0"/>
          <w:color w:val="1F2937"/>
          <w:sz w:val="20"/>
        </w:rPr>
        <w:t xml:space="preserve">(a) </w:t>
      </w:r>
      <w:r>
        <w:rPr>
          <w:rFonts w:ascii="Times New Roman" w:hAnsi="Times New Roman"/>
          <w:b/>
          <w:color w:val="1F2937"/>
          <w:sz w:val="20"/>
        </w:rPr>
        <w:t>Duty to Preserve.</w:t>
      </w:r>
      <w:r>
        <w:rPr>
          <w:rFonts w:ascii="Times New Roman" w:hAnsi="Times New Roman"/>
          <w:b w:val="0"/>
          <w:color w:val="1F2937"/>
          <w:sz w:val="20"/>
        </w:rPr>
        <w:t xml:space="preserve"> A covered platform shall not knowingly strip, remove, or materially degrade provenance metadata from public image, video, audio, or audiovisual content when technically feasible, unless removal is necessary to protect privacy, safety, cybersecurity, or legal compliance.</w:t>
      </w:r>
    </w:p>
    <w:p>
      <w:pPr>
        <w:pStyle w:val="LegalLevel1"/>
      </w:pPr>
      <w:r>
        <w:rPr>
          <w:rFonts w:ascii="Times New Roman" w:hAnsi="Times New Roman"/>
          <w:b w:val="0"/>
          <w:color w:val="1F2937"/>
          <w:sz w:val="20"/>
        </w:rPr>
        <w:t xml:space="preserve">(b) </w:t>
      </w:r>
      <w:r>
        <w:rPr>
          <w:rFonts w:ascii="Times New Roman" w:hAnsi="Times New Roman"/>
          <w:b/>
          <w:color w:val="1F2937"/>
          <w:sz w:val="20"/>
        </w:rPr>
        <w:t>Display.</w:t>
      </w:r>
      <w:r>
        <w:rPr>
          <w:rFonts w:ascii="Times New Roman" w:hAnsi="Times New Roman"/>
          <w:b w:val="0"/>
          <w:color w:val="1F2937"/>
          <w:sz w:val="20"/>
        </w:rPr>
        <w:t xml:space="preserve"> Where provenance metadata is available and technically verifiable, a covered platform shall provide users a reasonable means to inspect or access such information.</w:t>
      </w:r>
    </w:p>
    <w:p>
      <w:pPr>
        <w:pStyle w:val="LegalLevel1"/>
      </w:pPr>
      <w:r>
        <w:rPr>
          <w:rFonts w:ascii="Times New Roman" w:hAnsi="Times New Roman"/>
          <w:b w:val="0"/>
          <w:color w:val="1F2937"/>
          <w:sz w:val="20"/>
        </w:rPr>
        <w:t xml:space="preserve">(c) </w:t>
      </w:r>
      <w:r>
        <w:rPr>
          <w:rFonts w:ascii="Times New Roman" w:hAnsi="Times New Roman"/>
          <w:b/>
          <w:color w:val="1F2937"/>
          <w:sz w:val="20"/>
        </w:rPr>
        <w:t>Limitations.</w:t>
      </w:r>
      <w:r>
        <w:rPr>
          <w:rFonts w:ascii="Times New Roman" w:hAnsi="Times New Roman"/>
          <w:b w:val="0"/>
          <w:color w:val="1F2937"/>
          <w:sz w:val="20"/>
        </w:rPr>
        <w:t xml:space="preserve"> A platform shall not be liable under this section merely because provenance metadata is absent, inaccurate, stripped before upload, technically unverifiable, or incompatible, unless the platform knowingly caused the defect in violation of subsection (a).</w:t>
      </w:r>
    </w:p>
    <w:p>
      <w:pPr>
        <w:pStyle w:val="SectionHeading"/>
      </w:pPr>
      <w:r>
        <w:rPr>
          <w:rFonts w:ascii="Calibri" w:hAnsi="Calibri"/>
          <w:b/>
          <w:color w:val="0B2545"/>
          <w:sz w:val="19"/>
        </w:rPr>
        <w:t>SEC. 503. SYNTHETIC MEDIA LABELING IN PAID, MONETIZED, AND HIGH-DISTRIBUTION CONTEXTS.</w:t>
      </w:r>
    </w:p>
    <w:p>
      <w:pPr>
        <w:pStyle w:val="LegalLevel1"/>
      </w:pPr>
      <w:r>
        <w:rPr>
          <w:rFonts w:ascii="Times New Roman" w:hAnsi="Times New Roman"/>
          <w:b w:val="0"/>
          <w:color w:val="1F2937"/>
          <w:sz w:val="20"/>
        </w:rPr>
        <w:t xml:space="preserve">(a) </w:t>
      </w:r>
      <w:r>
        <w:rPr>
          <w:rFonts w:ascii="Times New Roman" w:hAnsi="Times New Roman"/>
          <w:b/>
          <w:color w:val="1F2937"/>
          <w:sz w:val="20"/>
        </w:rPr>
        <w:t>Mandatory Labeling.</w:t>
      </w:r>
      <w:r>
        <w:rPr>
          <w:rFonts w:ascii="Times New Roman" w:hAnsi="Times New Roman"/>
          <w:b w:val="0"/>
          <w:color w:val="1F2937"/>
          <w:sz w:val="20"/>
        </w:rPr>
        <w:t xml:space="preserve"> A covered platform shall require clear and conspicuous synthetic media disclosure for high-impact synthetic media when the content is:</w:t>
      </w:r>
    </w:p>
    <w:p>
      <w:pPr>
        <w:pStyle w:val="LegalLevel2"/>
      </w:pPr>
      <w:r>
        <w:rPr>
          <w:rFonts w:ascii="Times New Roman" w:hAnsi="Times New Roman"/>
          <w:b w:val="0"/>
          <w:color w:val="1F2937"/>
          <w:sz w:val="20"/>
        </w:rPr>
        <w:t>1. a paid advertisement;</w:t>
      </w:r>
    </w:p>
    <w:p>
      <w:pPr>
        <w:pStyle w:val="LegalLevel2"/>
      </w:pPr>
      <w:r>
        <w:rPr>
          <w:rFonts w:ascii="Times New Roman" w:hAnsi="Times New Roman"/>
          <w:b w:val="0"/>
          <w:color w:val="1F2937"/>
          <w:sz w:val="20"/>
        </w:rPr>
        <w:t>2. sponsored content;</w:t>
      </w:r>
    </w:p>
    <w:p>
      <w:pPr>
        <w:pStyle w:val="LegalLevel2"/>
      </w:pPr>
      <w:r>
        <w:rPr>
          <w:rFonts w:ascii="Times New Roman" w:hAnsi="Times New Roman"/>
          <w:b w:val="0"/>
          <w:color w:val="1F2937"/>
          <w:sz w:val="20"/>
        </w:rPr>
        <w:t>3. distributed by a monetized account and reaches high-distribution content thresholds;</w:t>
      </w:r>
    </w:p>
    <w:p>
      <w:pPr>
        <w:pStyle w:val="LegalLevel2"/>
      </w:pPr>
      <w:r>
        <w:rPr>
          <w:rFonts w:ascii="Times New Roman" w:hAnsi="Times New Roman"/>
          <w:b w:val="0"/>
          <w:color w:val="1F2937"/>
          <w:sz w:val="20"/>
        </w:rPr>
        <w:t>4. used to sell, promote, or endorse a product, service, investment, employment opportunity, health claim, or financial transaction;</w:t>
      </w:r>
    </w:p>
    <w:p>
      <w:pPr>
        <w:pStyle w:val="LegalLevel2"/>
      </w:pPr>
      <w:r>
        <w:rPr>
          <w:rFonts w:ascii="Times New Roman" w:hAnsi="Times New Roman"/>
          <w:b w:val="0"/>
          <w:color w:val="1F2937"/>
          <w:sz w:val="20"/>
        </w:rPr>
        <w:t>5. materially likely to mislead a reasonable consumer about the identity, endorsement, or conduct of a real person in commerce.</w:t>
      </w:r>
    </w:p>
    <w:p>
      <w:pPr>
        <w:pStyle w:val="LegalLevel1"/>
      </w:pPr>
      <w:r>
        <w:rPr>
          <w:rFonts w:ascii="Times New Roman" w:hAnsi="Times New Roman"/>
          <w:b w:val="0"/>
          <w:color w:val="1F2937"/>
          <w:sz w:val="20"/>
        </w:rPr>
        <w:t xml:space="preserve">(b) </w:t>
      </w:r>
      <w:r>
        <w:rPr>
          <w:rFonts w:ascii="Times New Roman" w:hAnsi="Times New Roman"/>
          <w:b/>
          <w:color w:val="1F2937"/>
          <w:sz w:val="20"/>
        </w:rPr>
        <w:t>Disclosure Content.</w:t>
      </w:r>
      <w:r>
        <w:rPr>
          <w:rFonts w:ascii="Times New Roman" w:hAnsi="Times New Roman"/>
          <w:b w:val="0"/>
          <w:color w:val="1F2937"/>
          <w:sz w:val="20"/>
        </w:rPr>
        <w:t xml:space="preserve"> The disclosure shall be factual and limited to creation or alteration method, such as: “Synthetic or digitally altered media.”</w:t>
      </w:r>
    </w:p>
    <w:p>
      <w:pPr>
        <w:pStyle w:val="LegalLevel1"/>
      </w:pPr>
      <w:r>
        <w:rPr>
          <w:rFonts w:ascii="Times New Roman" w:hAnsi="Times New Roman"/>
          <w:b w:val="0"/>
          <w:color w:val="1F2937"/>
          <w:sz w:val="20"/>
        </w:rPr>
        <w:t xml:space="preserve">(c) </w:t>
      </w:r>
      <w:r>
        <w:rPr>
          <w:rFonts w:ascii="Times New Roman" w:hAnsi="Times New Roman"/>
          <w:b/>
          <w:color w:val="1F2937"/>
          <w:sz w:val="20"/>
        </w:rPr>
        <w:t>No Opinion Labeling.</w:t>
      </w:r>
      <w:r>
        <w:rPr>
          <w:rFonts w:ascii="Times New Roman" w:hAnsi="Times New Roman"/>
          <w:b w:val="0"/>
          <w:color w:val="1F2937"/>
          <w:sz w:val="20"/>
        </w:rPr>
        <w:t xml:space="preserve"> A synthetic media label shall not state or imply that the viewpoint, message, argument, satire, parody, criticism, or opinion expressed in the content is false or disfavored.</w:t>
      </w:r>
    </w:p>
    <w:p>
      <w:pPr>
        <w:pStyle w:val="LegalLevel1"/>
      </w:pPr>
      <w:r>
        <w:rPr>
          <w:rFonts w:ascii="Times New Roman" w:hAnsi="Times New Roman"/>
          <w:b w:val="0"/>
          <w:color w:val="1F2937"/>
          <w:sz w:val="20"/>
        </w:rPr>
        <w:t xml:space="preserve">(d) </w:t>
      </w:r>
      <w:r>
        <w:rPr>
          <w:rFonts w:ascii="Times New Roman" w:hAnsi="Times New Roman"/>
          <w:b/>
          <w:color w:val="1F2937"/>
          <w:sz w:val="20"/>
        </w:rPr>
        <w:t>User Correction.</w:t>
      </w:r>
      <w:r>
        <w:rPr>
          <w:rFonts w:ascii="Times New Roman" w:hAnsi="Times New Roman"/>
          <w:b w:val="0"/>
          <w:color w:val="1F2937"/>
          <w:sz w:val="20"/>
        </w:rPr>
        <w:t xml:space="preserve"> Users and depicted persons shall have a process to contest inaccurate labels or request labels for synthetic impersonation.</w:t>
      </w:r>
    </w:p>
    <w:p>
      <w:pPr>
        <w:pStyle w:val="SectionHeading"/>
      </w:pPr>
      <w:r>
        <w:rPr>
          <w:rFonts w:ascii="Calibri" w:hAnsi="Calibri"/>
          <w:b/>
          <w:color w:val="0B2545"/>
          <w:sz w:val="19"/>
        </w:rPr>
        <w:t>SEC. 504. GENERATIVE MEDIA SERVICE DUTIES.</w:t>
      </w:r>
    </w:p>
    <w:p>
      <w:pPr>
        <w:pStyle w:val="LegalLevel1"/>
      </w:pPr>
      <w:r>
        <w:rPr>
          <w:rFonts w:ascii="Times New Roman" w:hAnsi="Times New Roman"/>
          <w:b w:val="0"/>
          <w:color w:val="1F2937"/>
          <w:sz w:val="20"/>
        </w:rPr>
        <w:t xml:space="preserve">(a) </w:t>
      </w:r>
      <w:r>
        <w:rPr>
          <w:rFonts w:ascii="Times New Roman" w:hAnsi="Times New Roman"/>
          <w:b/>
          <w:color w:val="1F2937"/>
          <w:sz w:val="20"/>
        </w:rPr>
        <w:t>Covered Generative Media Service.</w:t>
      </w:r>
      <w:r>
        <w:rPr>
          <w:rFonts w:ascii="Times New Roman" w:hAnsi="Times New Roman"/>
          <w:b w:val="0"/>
          <w:color w:val="1F2937"/>
          <w:sz w:val="20"/>
        </w:rPr>
        <w:t xml:space="preserve"> This section applies to a commercial service that generates or materially alters image, video, audio, or audiovisual content using artificial intelligence and has:</w:t>
      </w:r>
    </w:p>
    <w:p>
      <w:pPr>
        <w:pStyle w:val="LegalLevel2"/>
      </w:pPr>
      <w:r>
        <w:rPr>
          <w:rFonts w:ascii="Times New Roman" w:hAnsi="Times New Roman"/>
          <w:b w:val="0"/>
          <w:color w:val="1F2937"/>
          <w:sz w:val="20"/>
        </w:rPr>
        <w:t>1. at least 10,000,000 monthly active United States users; or</w:t>
      </w:r>
    </w:p>
    <w:p>
      <w:pPr>
        <w:pStyle w:val="LegalLevel2"/>
      </w:pPr>
      <w:r>
        <w:rPr>
          <w:rFonts w:ascii="Times New Roman" w:hAnsi="Times New Roman"/>
          <w:b w:val="0"/>
          <w:color w:val="1F2937"/>
          <w:sz w:val="20"/>
        </w:rPr>
        <w:t>2. at least $100,000,000 in annual United States revenue from generative media tools.</w:t>
      </w:r>
    </w:p>
    <w:p>
      <w:pPr>
        <w:pStyle w:val="LegalLevel1"/>
      </w:pPr>
      <w:r>
        <w:rPr>
          <w:rFonts w:ascii="Times New Roman" w:hAnsi="Times New Roman"/>
          <w:b w:val="0"/>
          <w:color w:val="1F2937"/>
          <w:sz w:val="20"/>
        </w:rPr>
        <w:t xml:space="preserve">(b) </w:t>
      </w:r>
      <w:r>
        <w:rPr>
          <w:rFonts w:ascii="Times New Roman" w:hAnsi="Times New Roman"/>
          <w:b/>
          <w:color w:val="1F2937"/>
          <w:sz w:val="20"/>
        </w:rPr>
        <w:t>Duties.</w:t>
      </w:r>
      <w:r>
        <w:rPr>
          <w:rFonts w:ascii="Times New Roman" w:hAnsi="Times New Roman"/>
          <w:b w:val="0"/>
          <w:color w:val="1F2937"/>
          <w:sz w:val="20"/>
        </w:rPr>
        <w:t xml:space="preserve"> A covered generative media service shall:</w:t>
      </w:r>
    </w:p>
    <w:p>
      <w:pPr>
        <w:pStyle w:val="LegalLevel2"/>
      </w:pPr>
      <w:r>
        <w:rPr>
          <w:rFonts w:ascii="Times New Roman" w:hAnsi="Times New Roman"/>
          <w:b w:val="0"/>
          <w:color w:val="1F2937"/>
          <w:sz w:val="20"/>
        </w:rPr>
        <w:t>1. provide users with a reasonable means to attach provenance metadata to generated media;</w:t>
      </w:r>
    </w:p>
    <w:p>
      <w:pPr>
        <w:pStyle w:val="LegalLevel2"/>
      </w:pPr>
      <w:r>
        <w:rPr>
          <w:rFonts w:ascii="Times New Roman" w:hAnsi="Times New Roman"/>
          <w:b w:val="0"/>
          <w:color w:val="1F2937"/>
          <w:sz w:val="20"/>
        </w:rPr>
        <w:t>2. apply default provenance signaling for generated image, video, audio, or audiovisual content, unless the user disables it for lawful privacy, safety, security, journalistic, artistic, or other legitimate reasons;</w:t>
      </w:r>
    </w:p>
    <w:p>
      <w:pPr>
        <w:pStyle w:val="LegalLevel2"/>
      </w:pPr>
      <w:r>
        <w:rPr>
          <w:rFonts w:ascii="Times New Roman" w:hAnsi="Times New Roman"/>
          <w:b w:val="0"/>
          <w:color w:val="1F2937"/>
          <w:sz w:val="20"/>
        </w:rPr>
        <w:t>3. provide clear documentation explaining the provenance feature;</w:t>
      </w:r>
    </w:p>
    <w:p>
      <w:pPr>
        <w:pStyle w:val="LegalLevel2"/>
      </w:pPr>
      <w:r>
        <w:rPr>
          <w:rFonts w:ascii="Times New Roman" w:hAnsi="Times New Roman"/>
          <w:b w:val="0"/>
          <w:color w:val="1F2937"/>
          <w:sz w:val="20"/>
        </w:rPr>
        <w:t>4. maintain reasonable safeguards against use of the service for deceptive commercial impersonation;</w:t>
      </w:r>
    </w:p>
    <w:p>
      <w:pPr>
        <w:pStyle w:val="LegalLevel2"/>
      </w:pPr>
      <w:r>
        <w:rPr>
          <w:rFonts w:ascii="Times New Roman" w:hAnsi="Times New Roman"/>
          <w:b w:val="0"/>
          <w:color w:val="1F2937"/>
          <w:sz w:val="20"/>
        </w:rPr>
        <w:t>5. preserve records of enterprise API customers using the service for paid advertising or mass distribution, subject to privacy and security protections.</w:t>
      </w:r>
    </w:p>
    <w:p>
      <w:pPr>
        <w:pStyle w:val="LegalLevel1"/>
      </w:pPr>
      <w:r>
        <w:rPr>
          <w:rFonts w:ascii="Times New Roman" w:hAnsi="Times New Roman"/>
          <w:b w:val="0"/>
          <w:color w:val="1F2937"/>
          <w:sz w:val="20"/>
        </w:rPr>
        <w:t xml:space="preserve">(c) </w:t>
      </w:r>
      <w:r>
        <w:rPr>
          <w:rFonts w:ascii="Times New Roman" w:hAnsi="Times New Roman"/>
          <w:b/>
          <w:color w:val="1F2937"/>
          <w:sz w:val="20"/>
        </w:rPr>
        <w:t>No Ban on Anonymous Speech.</w:t>
      </w:r>
      <w:r>
        <w:rPr>
          <w:rFonts w:ascii="Times New Roman" w:hAnsi="Times New Roman"/>
          <w:b w:val="0"/>
          <w:color w:val="1F2937"/>
          <w:sz w:val="20"/>
        </w:rPr>
        <w:t xml:space="preserve"> Nothing in this section requires a user to disclose personal identity to the public as a condition of creating or publishing lawful expression.</w:t>
      </w:r>
    </w:p>
    <w:p>
      <w:pPr>
        <w:pStyle w:val="SectionHeading"/>
      </w:pPr>
      <w:r>
        <w:rPr>
          <w:rFonts w:ascii="Calibri" w:hAnsi="Calibri"/>
          <w:b/>
          <w:color w:val="0B2545"/>
          <w:sz w:val="19"/>
        </w:rPr>
        <w:t>SEC. 505. IMPERSONATION, MATERIAL DECEPTION, AND APPEAL PROCESS.</w:t>
      </w:r>
    </w:p>
    <w:p>
      <w:pPr>
        <w:pStyle w:val="LegalLevel1"/>
      </w:pPr>
      <w:r>
        <w:rPr>
          <w:rFonts w:ascii="Times New Roman" w:hAnsi="Times New Roman"/>
          <w:b w:val="0"/>
          <w:color w:val="1F2937"/>
          <w:sz w:val="20"/>
        </w:rPr>
        <w:t xml:space="preserve">(a) </w:t>
      </w:r>
      <w:r>
        <w:rPr>
          <w:rFonts w:ascii="Times New Roman" w:hAnsi="Times New Roman"/>
          <w:b/>
          <w:color w:val="1F2937"/>
          <w:sz w:val="20"/>
        </w:rPr>
        <w:t>Impersonation Reporting.</w:t>
      </w:r>
      <w:r>
        <w:rPr>
          <w:rFonts w:ascii="Times New Roman" w:hAnsi="Times New Roman"/>
          <w:b w:val="0"/>
          <w:color w:val="1F2937"/>
          <w:sz w:val="20"/>
        </w:rPr>
        <w:t xml:space="preserve"> Covered platforms shall provide a process for an identifiable person or authorized representative to report high-impact synthetic media that falsely depicts that person in a paid, monetized, or high-distribution context.</w:t>
      </w:r>
    </w:p>
    <w:p>
      <w:pPr>
        <w:pStyle w:val="LegalLevel1"/>
      </w:pPr>
      <w:r>
        <w:rPr>
          <w:rFonts w:ascii="Times New Roman" w:hAnsi="Times New Roman"/>
          <w:b w:val="0"/>
          <w:color w:val="1F2937"/>
          <w:sz w:val="20"/>
        </w:rPr>
        <w:t xml:space="preserve">(b) </w:t>
      </w:r>
      <w:r>
        <w:rPr>
          <w:rFonts w:ascii="Times New Roman" w:hAnsi="Times New Roman"/>
          <w:b/>
          <w:color w:val="1F2937"/>
          <w:sz w:val="20"/>
        </w:rPr>
        <w:t>Available Responses.</w:t>
      </w:r>
      <w:r>
        <w:rPr>
          <w:rFonts w:ascii="Times New Roman" w:hAnsi="Times New Roman"/>
          <w:b w:val="0"/>
          <w:color w:val="1F2937"/>
          <w:sz w:val="20"/>
        </w:rPr>
        <w:t xml:space="preserve"> A platform may respond by labeling, reducing monetization, disabling paid promotion, notifying viewers of provenance status, or taking action under its own policies.</w:t>
      </w:r>
    </w:p>
    <w:p>
      <w:pPr>
        <w:pStyle w:val="LegalLevel1"/>
      </w:pPr>
      <w:r>
        <w:rPr>
          <w:rFonts w:ascii="Times New Roman" w:hAnsi="Times New Roman"/>
          <w:b w:val="0"/>
          <w:color w:val="1F2937"/>
          <w:sz w:val="20"/>
        </w:rPr>
        <w:t xml:space="preserve">(c) </w:t>
      </w:r>
      <w:r>
        <w:rPr>
          <w:rFonts w:ascii="Times New Roman" w:hAnsi="Times New Roman"/>
          <w:b/>
          <w:color w:val="1F2937"/>
          <w:sz w:val="20"/>
        </w:rPr>
        <w:t>No Government Removal Mandate.</w:t>
      </w:r>
      <w:r>
        <w:rPr>
          <w:rFonts w:ascii="Times New Roman" w:hAnsi="Times New Roman"/>
          <w:b w:val="0"/>
          <w:color w:val="1F2937"/>
          <w:sz w:val="20"/>
        </w:rPr>
        <w:t xml:space="preserve"> This section does not require removal of lawful satire, parody, commentary, criticism, news reporting, documentary use, artistic expression, or political expression.</w:t>
      </w:r>
    </w:p>
    <w:p>
      <w:pPr>
        <w:pStyle w:val="LegalLevel1"/>
      </w:pPr>
      <w:r>
        <w:rPr>
          <w:rFonts w:ascii="Times New Roman" w:hAnsi="Times New Roman"/>
          <w:b w:val="0"/>
          <w:color w:val="1F2937"/>
          <w:sz w:val="20"/>
        </w:rPr>
        <w:t xml:space="preserve">(d) </w:t>
      </w:r>
      <w:r>
        <w:rPr>
          <w:rFonts w:ascii="Times New Roman" w:hAnsi="Times New Roman"/>
          <w:b/>
          <w:color w:val="1F2937"/>
          <w:sz w:val="20"/>
        </w:rPr>
        <w:t>Appeal.</w:t>
      </w:r>
      <w:r>
        <w:rPr>
          <w:rFonts w:ascii="Times New Roman" w:hAnsi="Times New Roman"/>
          <w:b w:val="0"/>
          <w:color w:val="1F2937"/>
          <w:sz w:val="20"/>
        </w:rPr>
        <w:t xml:space="preserve"> The uploader shall have a reasonable appeal process.</w:t>
      </w:r>
    </w:p>
    <w:p>
      <w:pPr>
        <w:pStyle w:val="SectionHeading"/>
      </w:pPr>
      <w:r>
        <w:rPr>
          <w:rFonts w:ascii="Calibri" w:hAnsi="Calibri"/>
          <w:b/>
          <w:color w:val="0B2545"/>
          <w:sz w:val="19"/>
        </w:rPr>
        <w:t>SEC. 506. NO DUTY TO JUDGE TRUTH OR OPINION.</w:t>
      </w:r>
    </w:p>
    <w:p>
      <w:pPr>
        <w:pStyle w:val="LegalBody"/>
      </w:pPr>
      <w:r>
        <w:rPr>
          <w:rFonts w:ascii="Times New Roman" w:hAnsi="Times New Roman"/>
          <w:b w:val="0"/>
          <w:color w:val="1F2937"/>
          <w:sz w:val="20"/>
        </w:rPr>
        <w:t>No covered platform, generative media service, agency, court, or grantee shall construe this title to require determination of whether a lawful opinion, prediction, interpretation, satire, parody, or claim in public debate is true or false.</w:t>
      </w:r>
    </w:p>
    <w:p>
      <w:pPr>
        <w:pStyle w:val="Heading1Custom"/>
      </w:pPr>
      <w:r>
        <w:rPr>
          <w:rFonts w:ascii="Calibri" w:hAnsi="Calibri"/>
          <w:b/>
          <w:color w:val="2E74B5"/>
          <w:sz w:val="32"/>
        </w:rPr>
        <w:t>TITLE VI. FORMAT LABELING: NEWS, OPINION, SATIRE, ADVERTISING, AND SYNTHETIC MEDIA</w:t>
      </w:r>
    </w:p>
    <w:p>
      <w:pPr>
        <w:pStyle w:val="SectionHeading"/>
      </w:pPr>
      <w:r>
        <w:rPr>
          <w:rFonts w:ascii="Calibri" w:hAnsi="Calibri"/>
          <w:b/>
          <w:color w:val="0B2545"/>
          <w:sz w:val="19"/>
        </w:rPr>
        <w:t>SEC. 601. STANDARD INFORMATION-FORMAT TAXONOMY.</w:t>
      </w:r>
    </w:p>
    <w:p>
      <w:pPr>
        <w:pStyle w:val="LegalLevel1"/>
      </w:pPr>
      <w:r>
        <w:rPr>
          <w:rFonts w:ascii="Times New Roman" w:hAnsi="Times New Roman"/>
          <w:b w:val="0"/>
          <w:color w:val="1F2937"/>
          <w:sz w:val="20"/>
        </w:rPr>
        <w:t xml:space="preserve">(a) </w:t>
      </w:r>
      <w:r>
        <w:rPr>
          <w:rFonts w:ascii="Times New Roman" w:hAnsi="Times New Roman"/>
          <w:b/>
          <w:color w:val="1F2937"/>
          <w:sz w:val="20"/>
        </w:rPr>
        <w:t>Taxonomy.</w:t>
      </w:r>
      <w:r>
        <w:rPr>
          <w:rFonts w:ascii="Times New Roman" w:hAnsi="Times New Roman"/>
          <w:b w:val="0"/>
          <w:color w:val="1F2937"/>
          <w:sz w:val="20"/>
        </w:rPr>
        <w:t xml:space="preserve"> The Commission, in consultation with the Librarian of Congress, the National Institute of Standards and Technology, the National Endowment for the Humanities, journalists, civil-liberties organizations, educators, publishers, platforms, accessibility experts, and the public, shall develop a voluntary standard taxonomy for information formats.</w:t>
      </w:r>
    </w:p>
    <w:p>
      <w:pPr>
        <w:pStyle w:val="LegalLevel1"/>
      </w:pPr>
      <w:r>
        <w:rPr>
          <w:rFonts w:ascii="Times New Roman" w:hAnsi="Times New Roman"/>
          <w:b w:val="0"/>
          <w:color w:val="1F2937"/>
          <w:sz w:val="20"/>
        </w:rPr>
        <w:t xml:space="preserve">(b) </w:t>
      </w:r>
      <w:r>
        <w:rPr>
          <w:rFonts w:ascii="Times New Roman" w:hAnsi="Times New Roman"/>
          <w:b/>
          <w:color w:val="1F2937"/>
          <w:sz w:val="20"/>
        </w:rPr>
        <w:t>Categories.</w:t>
      </w:r>
      <w:r>
        <w:rPr>
          <w:rFonts w:ascii="Times New Roman" w:hAnsi="Times New Roman"/>
          <w:b w:val="0"/>
          <w:color w:val="1F2937"/>
          <w:sz w:val="20"/>
        </w:rPr>
        <w:t xml:space="preserve"> The taxonomy may include:</w:t>
      </w:r>
    </w:p>
    <w:p>
      <w:pPr>
        <w:pStyle w:val="LegalLevel2"/>
      </w:pPr>
      <w:r>
        <w:rPr>
          <w:rFonts w:ascii="Times New Roman" w:hAnsi="Times New Roman"/>
          <w:b w:val="0"/>
          <w:color w:val="1F2937"/>
          <w:sz w:val="20"/>
        </w:rPr>
        <w:t>1. news reporting;</w:t>
      </w:r>
    </w:p>
    <w:p>
      <w:pPr>
        <w:pStyle w:val="LegalLevel2"/>
      </w:pPr>
      <w:r>
        <w:rPr>
          <w:rFonts w:ascii="Times New Roman" w:hAnsi="Times New Roman"/>
          <w:b w:val="0"/>
          <w:color w:val="1F2937"/>
          <w:sz w:val="20"/>
        </w:rPr>
        <w:t>2. analysis;</w:t>
      </w:r>
    </w:p>
    <w:p>
      <w:pPr>
        <w:pStyle w:val="LegalLevel2"/>
      </w:pPr>
      <w:r>
        <w:rPr>
          <w:rFonts w:ascii="Times New Roman" w:hAnsi="Times New Roman"/>
          <w:b w:val="0"/>
          <w:color w:val="1F2937"/>
          <w:sz w:val="20"/>
        </w:rPr>
        <w:t>3. opinion or commentary;</w:t>
      </w:r>
    </w:p>
    <w:p>
      <w:pPr>
        <w:pStyle w:val="LegalLevel2"/>
      </w:pPr>
      <w:r>
        <w:rPr>
          <w:rFonts w:ascii="Times New Roman" w:hAnsi="Times New Roman"/>
          <w:b w:val="0"/>
          <w:color w:val="1F2937"/>
          <w:sz w:val="20"/>
        </w:rPr>
        <w:t>4. satire or parody;</w:t>
      </w:r>
    </w:p>
    <w:p>
      <w:pPr>
        <w:pStyle w:val="LegalLevel2"/>
      </w:pPr>
      <w:r>
        <w:rPr>
          <w:rFonts w:ascii="Times New Roman" w:hAnsi="Times New Roman"/>
          <w:b w:val="0"/>
          <w:color w:val="1F2937"/>
          <w:sz w:val="20"/>
        </w:rPr>
        <w:t>5. advertising;</w:t>
      </w:r>
    </w:p>
    <w:p>
      <w:pPr>
        <w:pStyle w:val="LegalLevel2"/>
      </w:pPr>
      <w:r>
        <w:rPr>
          <w:rFonts w:ascii="Times New Roman" w:hAnsi="Times New Roman"/>
          <w:b w:val="0"/>
          <w:color w:val="1F2937"/>
          <w:sz w:val="20"/>
        </w:rPr>
        <w:t>6. sponsored content;</w:t>
      </w:r>
    </w:p>
    <w:p>
      <w:pPr>
        <w:pStyle w:val="LegalLevel2"/>
      </w:pPr>
      <w:r>
        <w:rPr>
          <w:rFonts w:ascii="Times New Roman" w:hAnsi="Times New Roman"/>
          <w:b w:val="0"/>
          <w:color w:val="1F2937"/>
          <w:sz w:val="20"/>
        </w:rPr>
        <w:t>7. public service announcement;</w:t>
      </w:r>
    </w:p>
    <w:p>
      <w:pPr>
        <w:pStyle w:val="LegalLevel2"/>
      </w:pPr>
      <w:r>
        <w:rPr>
          <w:rFonts w:ascii="Times New Roman" w:hAnsi="Times New Roman"/>
          <w:b w:val="0"/>
          <w:color w:val="1F2937"/>
          <w:sz w:val="20"/>
        </w:rPr>
        <w:t>8. government communication;</w:t>
      </w:r>
    </w:p>
    <w:p>
      <w:pPr>
        <w:pStyle w:val="LegalLevel2"/>
      </w:pPr>
      <w:r>
        <w:rPr>
          <w:rFonts w:ascii="Times New Roman" w:hAnsi="Times New Roman"/>
          <w:b w:val="0"/>
          <w:color w:val="1F2937"/>
          <w:sz w:val="20"/>
        </w:rPr>
        <w:t>9. user commentary;</w:t>
      </w:r>
    </w:p>
    <w:p>
      <w:pPr>
        <w:pStyle w:val="LegalLevel2"/>
      </w:pPr>
      <w:r>
        <w:rPr>
          <w:rFonts w:ascii="Times New Roman" w:hAnsi="Times New Roman"/>
          <w:b w:val="0"/>
          <w:color w:val="1F2937"/>
          <w:sz w:val="20"/>
        </w:rPr>
        <w:t>10. synthetic or substantially altered media;</w:t>
      </w:r>
    </w:p>
    <w:p>
      <w:pPr>
        <w:pStyle w:val="LegalLevel2"/>
      </w:pPr>
      <w:r>
        <w:rPr>
          <w:rFonts w:ascii="Times New Roman" w:hAnsi="Times New Roman"/>
          <w:b w:val="0"/>
          <w:color w:val="1F2937"/>
          <w:sz w:val="20"/>
        </w:rPr>
        <w:t>11. archived or historical content;</w:t>
      </w:r>
    </w:p>
    <w:p>
      <w:pPr>
        <w:pStyle w:val="LegalLevel2"/>
      </w:pPr>
      <w:r>
        <w:rPr>
          <w:rFonts w:ascii="Times New Roman" w:hAnsi="Times New Roman"/>
          <w:b w:val="0"/>
          <w:color w:val="1F2937"/>
          <w:sz w:val="20"/>
        </w:rPr>
        <w:t>12. emergency information.</w:t>
      </w:r>
    </w:p>
    <w:p>
      <w:pPr>
        <w:pStyle w:val="LegalLevel1"/>
      </w:pPr>
      <w:r>
        <w:rPr>
          <w:rFonts w:ascii="Times New Roman" w:hAnsi="Times New Roman"/>
          <w:b w:val="0"/>
          <w:color w:val="1F2937"/>
          <w:sz w:val="20"/>
        </w:rPr>
        <w:t xml:space="preserve">(c) </w:t>
      </w:r>
      <w:r>
        <w:rPr>
          <w:rFonts w:ascii="Times New Roman" w:hAnsi="Times New Roman"/>
          <w:b/>
          <w:color w:val="1F2937"/>
          <w:sz w:val="20"/>
        </w:rPr>
        <w:t>No Truth Classification.</w:t>
      </w:r>
      <w:r>
        <w:rPr>
          <w:rFonts w:ascii="Times New Roman" w:hAnsi="Times New Roman"/>
          <w:b w:val="0"/>
          <w:color w:val="1F2937"/>
          <w:sz w:val="20"/>
        </w:rPr>
        <w:t xml:space="preserve"> The taxonomy shall classify format, source context, or payment status only and shall not classify truthfulness, reliability, ideology, quality, trustworthiness, or viewpoint.</w:t>
      </w:r>
    </w:p>
    <w:p>
      <w:pPr>
        <w:pStyle w:val="SectionHeading"/>
      </w:pPr>
      <w:r>
        <w:rPr>
          <w:rFonts w:ascii="Calibri" w:hAnsi="Calibri"/>
          <w:b/>
          <w:color w:val="0B2545"/>
          <w:sz w:val="19"/>
        </w:rPr>
        <w:t>SEC. 602. PLATFORM SUPPORT FOR VOLUNTARY FORMAT LABELS.</w:t>
      </w:r>
    </w:p>
    <w:p>
      <w:pPr>
        <w:pStyle w:val="LegalLevel1"/>
      </w:pPr>
      <w:r>
        <w:rPr>
          <w:rFonts w:ascii="Times New Roman" w:hAnsi="Times New Roman"/>
          <w:b w:val="0"/>
          <w:color w:val="1F2937"/>
          <w:sz w:val="20"/>
        </w:rPr>
        <w:t xml:space="preserve">(a) </w:t>
      </w:r>
      <w:r>
        <w:rPr>
          <w:rFonts w:ascii="Times New Roman" w:hAnsi="Times New Roman"/>
          <w:b/>
          <w:color w:val="1F2937"/>
          <w:sz w:val="20"/>
        </w:rPr>
        <w:t>Support Required.</w:t>
      </w:r>
      <w:r>
        <w:rPr>
          <w:rFonts w:ascii="Times New Roman" w:hAnsi="Times New Roman"/>
          <w:b w:val="0"/>
          <w:color w:val="1F2937"/>
          <w:sz w:val="20"/>
        </w:rPr>
        <w:t xml:space="preserve"> Covered platforms shall provide a technically reasonable means for publishers, creators, advertisers, and users to apply voluntary format labels consistent with the taxonomy.</w:t>
      </w:r>
    </w:p>
    <w:p>
      <w:pPr>
        <w:pStyle w:val="LegalLevel1"/>
      </w:pPr>
      <w:r>
        <w:rPr>
          <w:rFonts w:ascii="Times New Roman" w:hAnsi="Times New Roman"/>
          <w:b w:val="0"/>
          <w:color w:val="1F2937"/>
          <w:sz w:val="20"/>
        </w:rPr>
        <w:t xml:space="preserve">(b) </w:t>
      </w:r>
      <w:r>
        <w:rPr>
          <w:rFonts w:ascii="Times New Roman" w:hAnsi="Times New Roman"/>
          <w:b/>
          <w:color w:val="1F2937"/>
          <w:sz w:val="20"/>
        </w:rPr>
        <w:t>Display.</w:t>
      </w:r>
      <w:r>
        <w:rPr>
          <w:rFonts w:ascii="Times New Roman" w:hAnsi="Times New Roman"/>
          <w:b w:val="0"/>
          <w:color w:val="1F2937"/>
          <w:sz w:val="20"/>
        </w:rPr>
        <w:t xml:space="preserve"> Covered platforms shall display voluntary format labels in a clear and accessible manner when provided and technically valid.</w:t>
      </w:r>
    </w:p>
    <w:p>
      <w:pPr>
        <w:pStyle w:val="LegalLevel1"/>
      </w:pPr>
      <w:r>
        <w:rPr>
          <w:rFonts w:ascii="Times New Roman" w:hAnsi="Times New Roman"/>
          <w:b w:val="0"/>
          <w:color w:val="1F2937"/>
          <w:sz w:val="20"/>
        </w:rPr>
        <w:t xml:space="preserve">(c) </w:t>
      </w:r>
      <w:r>
        <w:rPr>
          <w:rFonts w:ascii="Times New Roman" w:hAnsi="Times New Roman"/>
          <w:b/>
          <w:color w:val="1F2937"/>
          <w:sz w:val="20"/>
        </w:rPr>
        <w:t>No Mandatory Label for Ordinary Speech.</w:t>
      </w:r>
      <w:r>
        <w:rPr>
          <w:rFonts w:ascii="Times New Roman" w:hAnsi="Times New Roman"/>
          <w:b w:val="0"/>
          <w:color w:val="1F2937"/>
          <w:sz w:val="20"/>
        </w:rPr>
        <w:t xml:space="preserve"> Except for paid, sponsored, synthetic, or commercial contexts expressly covered by this Act or another law, no person shall be required to label lawful speech as news, opinion, satire, parody, or commentary.</w:t>
      </w:r>
    </w:p>
    <w:p>
      <w:pPr>
        <w:pStyle w:val="SectionHeading"/>
      </w:pPr>
      <w:r>
        <w:rPr>
          <w:rFonts w:ascii="Calibri" w:hAnsi="Calibri"/>
          <w:b/>
          <w:color w:val="0B2545"/>
          <w:sz w:val="19"/>
        </w:rPr>
        <w:t>SEC. 603. MANDATORY LABELING OF PAID AND SPONSORED COMMUNICATIONS.</w:t>
      </w:r>
    </w:p>
    <w:p>
      <w:pPr>
        <w:pStyle w:val="LegalLevel1"/>
      </w:pPr>
      <w:r>
        <w:rPr>
          <w:rFonts w:ascii="Times New Roman" w:hAnsi="Times New Roman"/>
          <w:b w:val="0"/>
          <w:color w:val="1F2937"/>
          <w:sz w:val="20"/>
        </w:rPr>
        <w:t xml:space="preserve">(a) </w:t>
      </w:r>
      <w:r>
        <w:rPr>
          <w:rFonts w:ascii="Times New Roman" w:hAnsi="Times New Roman"/>
          <w:b/>
          <w:color w:val="1F2937"/>
          <w:sz w:val="20"/>
        </w:rPr>
        <w:t>Paid Communications.</w:t>
      </w:r>
      <w:r>
        <w:rPr>
          <w:rFonts w:ascii="Times New Roman" w:hAnsi="Times New Roman"/>
          <w:b w:val="0"/>
          <w:color w:val="1F2937"/>
          <w:sz w:val="20"/>
        </w:rPr>
        <w:t xml:space="preserve"> A covered platform shall require clear and conspicuous labeling of paid advertisements, sponsored content, paid influencer content, affiliate marketing, and other compensated placements.</w:t>
      </w:r>
    </w:p>
    <w:p>
      <w:pPr>
        <w:pStyle w:val="LegalLevel1"/>
      </w:pPr>
      <w:r>
        <w:rPr>
          <w:rFonts w:ascii="Times New Roman" w:hAnsi="Times New Roman"/>
          <w:b w:val="0"/>
          <w:color w:val="1F2937"/>
          <w:sz w:val="20"/>
        </w:rPr>
        <w:t xml:space="preserve">(b) </w:t>
      </w:r>
      <w:r>
        <w:rPr>
          <w:rFonts w:ascii="Times New Roman" w:hAnsi="Times New Roman"/>
          <w:b/>
          <w:color w:val="1F2937"/>
          <w:sz w:val="20"/>
        </w:rPr>
        <w:t>Material Connection.</w:t>
      </w:r>
      <w:r>
        <w:rPr>
          <w:rFonts w:ascii="Times New Roman" w:hAnsi="Times New Roman"/>
          <w:b w:val="0"/>
          <w:color w:val="1F2937"/>
          <w:sz w:val="20"/>
        </w:rPr>
        <w:t xml:space="preserve"> A platform shall require a monetized account or advertiser to disclose material connections where omission would be likely to mislead a reasonable consumer.</w:t>
      </w:r>
    </w:p>
    <w:p>
      <w:pPr>
        <w:pStyle w:val="LegalLevel1"/>
      </w:pPr>
      <w:r>
        <w:rPr>
          <w:rFonts w:ascii="Times New Roman" w:hAnsi="Times New Roman"/>
          <w:b w:val="0"/>
          <w:color w:val="1F2937"/>
          <w:sz w:val="20"/>
        </w:rPr>
        <w:t xml:space="preserve">(c) </w:t>
      </w:r>
      <w:r>
        <w:rPr>
          <w:rFonts w:ascii="Times New Roman" w:hAnsi="Times New Roman"/>
          <w:b/>
          <w:color w:val="1F2937"/>
          <w:sz w:val="20"/>
        </w:rPr>
        <w:t>FTC Authority Preserved.</w:t>
      </w:r>
      <w:r>
        <w:rPr>
          <w:rFonts w:ascii="Times New Roman" w:hAnsi="Times New Roman"/>
          <w:b w:val="0"/>
          <w:color w:val="1F2937"/>
          <w:sz w:val="20"/>
        </w:rPr>
        <w:t xml:space="preserve"> This section supplements, and does not limit, the Commission’s authority over endorsements, testimonials, fake reviews, advertising disclosures, unfair acts, and deceptive practices.</w:t>
      </w:r>
    </w:p>
    <w:p>
      <w:pPr>
        <w:pStyle w:val="SectionHeading"/>
      </w:pPr>
      <w:r>
        <w:rPr>
          <w:rFonts w:ascii="Calibri" w:hAnsi="Calibri"/>
          <w:b/>
          <w:color w:val="0B2545"/>
          <w:sz w:val="19"/>
        </w:rPr>
        <w:t>SEC. 604. SATIRE, PARODY, ART, AND POLITICAL SPEECH PROTECTION.</w:t>
      </w:r>
    </w:p>
    <w:p>
      <w:pPr>
        <w:pStyle w:val="LegalLevel1"/>
      </w:pPr>
      <w:r>
        <w:rPr>
          <w:rFonts w:ascii="Times New Roman" w:hAnsi="Times New Roman"/>
          <w:b w:val="0"/>
          <w:color w:val="1F2937"/>
          <w:sz w:val="20"/>
        </w:rPr>
        <w:t xml:space="preserve">(a) </w:t>
      </w:r>
      <w:r>
        <w:rPr>
          <w:rFonts w:ascii="Times New Roman" w:hAnsi="Times New Roman"/>
          <w:b/>
          <w:color w:val="1F2937"/>
          <w:sz w:val="20"/>
        </w:rPr>
        <w:t>Protection.</w:t>
      </w:r>
      <w:r>
        <w:rPr>
          <w:rFonts w:ascii="Times New Roman" w:hAnsi="Times New Roman"/>
          <w:b w:val="0"/>
          <w:color w:val="1F2937"/>
          <w:sz w:val="20"/>
        </w:rPr>
        <w:t xml:space="preserve"> Satire, parody, humor, dramatic works, artistic works, commentary, criticism, political speech, religious speech, and journalistic expression shall not be penalized under this title for failure to adopt a voluntary format label.</w:t>
      </w:r>
    </w:p>
    <w:p>
      <w:pPr>
        <w:pStyle w:val="LegalLevel1"/>
      </w:pPr>
      <w:r>
        <w:rPr>
          <w:rFonts w:ascii="Times New Roman" w:hAnsi="Times New Roman"/>
          <w:b w:val="0"/>
          <w:color w:val="1F2937"/>
          <w:sz w:val="20"/>
        </w:rPr>
        <w:t xml:space="preserve">(b) </w:t>
      </w:r>
      <w:r>
        <w:rPr>
          <w:rFonts w:ascii="Times New Roman" w:hAnsi="Times New Roman"/>
          <w:b/>
          <w:color w:val="1F2937"/>
          <w:sz w:val="20"/>
        </w:rPr>
        <w:t>No Satire License.</w:t>
      </w:r>
      <w:r>
        <w:rPr>
          <w:rFonts w:ascii="Times New Roman" w:hAnsi="Times New Roman"/>
          <w:b w:val="0"/>
          <w:color w:val="1F2937"/>
          <w:sz w:val="20"/>
        </w:rPr>
        <w:t xml:space="preserve"> No person shall be required to register as a satirist, comedian, artist, commentator, journalist, or political speaker.</w:t>
      </w:r>
    </w:p>
    <w:p>
      <w:pPr>
        <w:pStyle w:val="SectionHeading"/>
      </w:pPr>
      <w:r>
        <w:rPr>
          <w:rFonts w:ascii="Calibri" w:hAnsi="Calibri"/>
          <w:b/>
          <w:color w:val="0B2545"/>
          <w:sz w:val="19"/>
        </w:rPr>
        <w:t>SEC. 605. PROHIBITION ON GOVERNMENT EDITORIAL LICENSING.</w:t>
      </w:r>
    </w:p>
    <w:p>
      <w:pPr>
        <w:pStyle w:val="LegalBody"/>
      </w:pPr>
      <w:r>
        <w:rPr>
          <w:rFonts w:ascii="Times New Roman" w:hAnsi="Times New Roman"/>
          <w:b w:val="0"/>
          <w:color w:val="1F2937"/>
          <w:sz w:val="20"/>
        </w:rPr>
        <w:t>No federal agency may condition access to grants, data, platform services, press credentials, public information, or other benefits under this Act on agreement with any government editorial standard, ideology, viewpoint, or preferred narrative.</w:t>
      </w:r>
    </w:p>
    <w:p>
      <w:pPr>
        <w:pStyle w:val="Heading1Custom"/>
      </w:pPr>
      <w:r>
        <w:rPr>
          <w:rFonts w:ascii="Calibri" w:hAnsi="Calibri"/>
          <w:b/>
          <w:color w:val="2E74B5"/>
          <w:sz w:val="32"/>
        </w:rPr>
        <w:t>TITLE VII. MONETIZATION INTEGRITY AND DECEPTIVE AMPLIFICATION</w:t>
      </w:r>
    </w:p>
    <w:p>
      <w:pPr>
        <w:pStyle w:val="SectionHeading"/>
      </w:pPr>
      <w:r>
        <w:rPr>
          <w:rFonts w:ascii="Calibri" w:hAnsi="Calibri"/>
          <w:b/>
          <w:color w:val="0B2545"/>
          <w:sz w:val="19"/>
        </w:rPr>
        <w:t>SEC. 701. CREATOR MONETIZATION INTEGRITY PROGRAMS.</w:t>
      </w:r>
    </w:p>
    <w:p>
      <w:pPr>
        <w:pStyle w:val="LegalLevel1"/>
      </w:pPr>
      <w:r>
        <w:rPr>
          <w:rFonts w:ascii="Times New Roman" w:hAnsi="Times New Roman"/>
          <w:b w:val="0"/>
          <w:color w:val="1F2937"/>
          <w:sz w:val="20"/>
        </w:rPr>
        <w:t xml:space="preserve">(a) </w:t>
      </w:r>
      <w:r>
        <w:rPr>
          <w:rFonts w:ascii="Times New Roman" w:hAnsi="Times New Roman"/>
          <w:b/>
          <w:color w:val="1F2937"/>
          <w:sz w:val="20"/>
        </w:rPr>
        <w:t>Program Required.</w:t>
      </w:r>
      <w:r>
        <w:rPr>
          <w:rFonts w:ascii="Times New Roman" w:hAnsi="Times New Roman"/>
          <w:b w:val="0"/>
          <w:color w:val="1F2937"/>
          <w:sz w:val="20"/>
        </w:rPr>
        <w:t xml:space="preserve"> Each covered platform operating a monetization program shall maintain a Creator Monetization Integrity Program.</w:t>
      </w:r>
    </w:p>
    <w:p>
      <w:pPr>
        <w:pStyle w:val="LegalLevel1"/>
      </w:pPr>
      <w:r>
        <w:rPr>
          <w:rFonts w:ascii="Times New Roman" w:hAnsi="Times New Roman"/>
          <w:b w:val="0"/>
          <w:color w:val="1F2937"/>
          <w:sz w:val="20"/>
        </w:rPr>
        <w:t xml:space="preserve">(b) </w:t>
      </w:r>
      <w:r>
        <w:rPr>
          <w:rFonts w:ascii="Times New Roman" w:hAnsi="Times New Roman"/>
          <w:b/>
          <w:color w:val="1F2937"/>
          <w:sz w:val="20"/>
        </w:rPr>
        <w:t>Program Elements.</w:t>
      </w:r>
      <w:r>
        <w:rPr>
          <w:rFonts w:ascii="Times New Roman" w:hAnsi="Times New Roman"/>
          <w:b w:val="0"/>
          <w:color w:val="1F2937"/>
          <w:sz w:val="20"/>
        </w:rPr>
        <w:t xml:space="preserve"> The program shall include:</w:t>
      </w:r>
    </w:p>
    <w:p>
      <w:pPr>
        <w:pStyle w:val="LegalLevel2"/>
      </w:pPr>
      <w:r>
        <w:rPr>
          <w:rFonts w:ascii="Times New Roman" w:hAnsi="Times New Roman"/>
          <w:b w:val="0"/>
          <w:color w:val="1F2937"/>
          <w:sz w:val="20"/>
        </w:rPr>
        <w:t>1. written monetization eligibility standards;</w:t>
      </w:r>
    </w:p>
    <w:p>
      <w:pPr>
        <w:pStyle w:val="LegalLevel2"/>
      </w:pPr>
      <w:r>
        <w:rPr>
          <w:rFonts w:ascii="Times New Roman" w:hAnsi="Times New Roman"/>
          <w:b w:val="0"/>
          <w:color w:val="1F2937"/>
          <w:sz w:val="20"/>
        </w:rPr>
        <w:t>2. disclosure of material payment formulas at a general level;</w:t>
      </w:r>
    </w:p>
    <w:p>
      <w:pPr>
        <w:pStyle w:val="LegalLevel2"/>
      </w:pPr>
      <w:r>
        <w:rPr>
          <w:rFonts w:ascii="Times New Roman" w:hAnsi="Times New Roman"/>
          <w:b w:val="0"/>
          <w:color w:val="1F2937"/>
          <w:sz w:val="20"/>
        </w:rPr>
        <w:t>3. internal controls against fake engagement, bot-driven payouts, undisclosed paid promotion, synthetic impersonation, sanctions evasion, and deceptive commercial content;</w:t>
      </w:r>
    </w:p>
    <w:p>
      <w:pPr>
        <w:pStyle w:val="LegalLevel2"/>
      </w:pPr>
      <w:r>
        <w:rPr>
          <w:rFonts w:ascii="Times New Roman" w:hAnsi="Times New Roman"/>
          <w:b w:val="0"/>
          <w:color w:val="1F2937"/>
          <w:sz w:val="20"/>
        </w:rPr>
        <w:t>4. risk-based review of high-payout accounts;</w:t>
      </w:r>
    </w:p>
    <w:p>
      <w:pPr>
        <w:pStyle w:val="LegalLevel2"/>
      </w:pPr>
      <w:r>
        <w:rPr>
          <w:rFonts w:ascii="Times New Roman" w:hAnsi="Times New Roman"/>
          <w:b w:val="0"/>
          <w:color w:val="1F2937"/>
          <w:sz w:val="20"/>
        </w:rPr>
        <w:t>5. advertiser controls concerning placement next to monetized content;</w:t>
      </w:r>
    </w:p>
    <w:p>
      <w:pPr>
        <w:pStyle w:val="LegalLevel2"/>
      </w:pPr>
      <w:r>
        <w:rPr>
          <w:rFonts w:ascii="Times New Roman" w:hAnsi="Times New Roman"/>
          <w:b w:val="0"/>
          <w:color w:val="1F2937"/>
          <w:sz w:val="20"/>
        </w:rPr>
        <w:t>6. an appeal process for suspension or termination from monetization;</w:t>
      </w:r>
    </w:p>
    <w:p>
      <w:pPr>
        <w:pStyle w:val="LegalLevel2"/>
      </w:pPr>
      <w:r>
        <w:rPr>
          <w:rFonts w:ascii="Times New Roman" w:hAnsi="Times New Roman"/>
          <w:b w:val="0"/>
          <w:color w:val="1F2937"/>
          <w:sz w:val="20"/>
        </w:rPr>
        <w:t>7. annual audit testing.</w:t>
      </w:r>
    </w:p>
    <w:p>
      <w:pPr>
        <w:pStyle w:val="LegalLevel1"/>
      </w:pPr>
      <w:r>
        <w:rPr>
          <w:rFonts w:ascii="Times New Roman" w:hAnsi="Times New Roman"/>
          <w:b w:val="0"/>
          <w:color w:val="1F2937"/>
          <w:sz w:val="20"/>
        </w:rPr>
        <w:t xml:space="preserve">(c) </w:t>
      </w:r>
      <w:r>
        <w:rPr>
          <w:rFonts w:ascii="Times New Roman" w:hAnsi="Times New Roman"/>
          <w:b/>
          <w:color w:val="1F2937"/>
          <w:sz w:val="20"/>
        </w:rPr>
        <w:t>No Viewpoint Discrimination Requirement.</w:t>
      </w:r>
      <w:r>
        <w:rPr>
          <w:rFonts w:ascii="Times New Roman" w:hAnsi="Times New Roman"/>
          <w:b w:val="0"/>
          <w:color w:val="1F2937"/>
          <w:sz w:val="20"/>
        </w:rPr>
        <w:t xml:space="preserve"> The program may not be required by the Commission to favor or disfavor any lawful viewpoint.</w:t>
      </w:r>
    </w:p>
    <w:p>
      <w:pPr>
        <w:pStyle w:val="SectionHeading"/>
      </w:pPr>
      <w:r>
        <w:rPr>
          <w:rFonts w:ascii="Calibri" w:hAnsi="Calibri"/>
          <w:b/>
          <w:color w:val="0B2545"/>
          <w:sz w:val="19"/>
        </w:rPr>
        <w:t>SEC. 702. KNOW-YOUR-PAYEE REQUIREMENTS FOR LARGE PAYOUTS.</w:t>
      </w:r>
    </w:p>
    <w:p>
      <w:pPr>
        <w:pStyle w:val="LegalLevel1"/>
      </w:pPr>
      <w:r>
        <w:rPr>
          <w:rFonts w:ascii="Times New Roman" w:hAnsi="Times New Roman"/>
          <w:b w:val="0"/>
          <w:color w:val="1F2937"/>
          <w:sz w:val="20"/>
        </w:rPr>
        <w:t xml:space="preserve">(a) </w:t>
      </w:r>
      <w:r>
        <w:rPr>
          <w:rFonts w:ascii="Times New Roman" w:hAnsi="Times New Roman"/>
          <w:b/>
          <w:color w:val="1F2937"/>
          <w:sz w:val="20"/>
        </w:rPr>
        <w:t>Verification.</w:t>
      </w:r>
      <w:r>
        <w:rPr>
          <w:rFonts w:ascii="Times New Roman" w:hAnsi="Times New Roman"/>
          <w:b w:val="0"/>
          <w:color w:val="1F2937"/>
          <w:sz w:val="20"/>
        </w:rPr>
        <w:t xml:space="preserve"> A covered platform shall conduct reasonable payee verification for any monetized account receiving more than $10,000 in a calendar year from the platform.</w:t>
      </w:r>
    </w:p>
    <w:p>
      <w:pPr>
        <w:pStyle w:val="LegalLevel1"/>
      </w:pPr>
      <w:r>
        <w:rPr>
          <w:rFonts w:ascii="Times New Roman" w:hAnsi="Times New Roman"/>
          <w:b w:val="0"/>
          <w:color w:val="1F2937"/>
          <w:sz w:val="20"/>
        </w:rPr>
        <w:t xml:space="preserve">(b) </w:t>
      </w:r>
      <w:r>
        <w:rPr>
          <w:rFonts w:ascii="Times New Roman" w:hAnsi="Times New Roman"/>
          <w:b/>
          <w:color w:val="1F2937"/>
          <w:sz w:val="20"/>
        </w:rPr>
        <w:t>Required Information.</w:t>
      </w:r>
      <w:r>
        <w:rPr>
          <w:rFonts w:ascii="Times New Roman" w:hAnsi="Times New Roman"/>
          <w:b w:val="0"/>
          <w:color w:val="1F2937"/>
          <w:sz w:val="20"/>
        </w:rPr>
        <w:t xml:space="preserve"> Verification may include legal name, tax identification information, payment destination, country of residence or organization, beneficial ownership for entities, and sanctions-screening information.</w:t>
      </w:r>
    </w:p>
    <w:p>
      <w:pPr>
        <w:pStyle w:val="LegalLevel1"/>
      </w:pPr>
      <w:r>
        <w:rPr>
          <w:rFonts w:ascii="Times New Roman" w:hAnsi="Times New Roman"/>
          <w:b w:val="0"/>
          <w:color w:val="1F2937"/>
          <w:sz w:val="20"/>
        </w:rPr>
        <w:t xml:space="preserve">(c) </w:t>
      </w:r>
      <w:r>
        <w:rPr>
          <w:rFonts w:ascii="Times New Roman" w:hAnsi="Times New Roman"/>
          <w:b/>
          <w:color w:val="1F2937"/>
          <w:sz w:val="20"/>
        </w:rPr>
        <w:t>Public Disclosure.</w:t>
      </w:r>
      <w:r>
        <w:rPr>
          <w:rFonts w:ascii="Times New Roman" w:hAnsi="Times New Roman"/>
          <w:b w:val="0"/>
          <w:color w:val="1F2937"/>
          <w:sz w:val="20"/>
        </w:rPr>
        <w:t xml:space="preserve"> A platform shall not publicly disclose personal identity information under this section, except that it may display whether an account is monetized and the country of operation at a general level for high-distribution monetized accounts.</w:t>
      </w:r>
    </w:p>
    <w:p>
      <w:pPr>
        <w:pStyle w:val="LegalLevel1"/>
      </w:pPr>
      <w:r>
        <w:rPr>
          <w:rFonts w:ascii="Times New Roman" w:hAnsi="Times New Roman"/>
          <w:b w:val="0"/>
          <w:color w:val="1F2937"/>
          <w:sz w:val="20"/>
        </w:rPr>
        <w:t xml:space="preserve">(d) </w:t>
      </w:r>
      <w:r>
        <w:rPr>
          <w:rFonts w:ascii="Times New Roman" w:hAnsi="Times New Roman"/>
          <w:b/>
          <w:color w:val="1F2937"/>
          <w:sz w:val="20"/>
        </w:rPr>
        <w:t>Privacy Protection.</w:t>
      </w:r>
      <w:r>
        <w:rPr>
          <w:rFonts w:ascii="Times New Roman" w:hAnsi="Times New Roman"/>
          <w:b w:val="0"/>
          <w:color w:val="1F2937"/>
          <w:sz w:val="20"/>
        </w:rPr>
        <w:t xml:space="preserve"> Payee data shall be protected through reasonable security safeguards and used only for compliance, tax, payment, fraud, sanctions, and legal purposes.</w:t>
      </w:r>
    </w:p>
    <w:p>
      <w:pPr>
        <w:pStyle w:val="SectionHeading"/>
      </w:pPr>
      <w:r>
        <w:rPr>
          <w:rFonts w:ascii="Calibri" w:hAnsi="Calibri"/>
          <w:b/>
          <w:color w:val="0B2545"/>
          <w:sz w:val="19"/>
        </w:rPr>
        <w:t>SEC. 703. DECEPTIVE AMPLIFICATION AND FAKE ENGAGEMENT.</w:t>
      </w:r>
    </w:p>
    <w:p>
      <w:pPr>
        <w:pStyle w:val="LegalLevel1"/>
      </w:pPr>
      <w:r>
        <w:rPr>
          <w:rFonts w:ascii="Times New Roman" w:hAnsi="Times New Roman"/>
          <w:b w:val="0"/>
          <w:color w:val="1F2937"/>
          <w:sz w:val="20"/>
        </w:rPr>
        <w:t xml:space="preserve">(a) </w:t>
      </w:r>
      <w:r>
        <w:rPr>
          <w:rFonts w:ascii="Times New Roman" w:hAnsi="Times New Roman"/>
          <w:b/>
          <w:color w:val="1F2937"/>
          <w:sz w:val="20"/>
        </w:rPr>
        <w:t>Unfair or Deceptive Practice.</w:t>
      </w:r>
      <w:r>
        <w:rPr>
          <w:rFonts w:ascii="Times New Roman" w:hAnsi="Times New Roman"/>
          <w:b w:val="0"/>
          <w:color w:val="1F2937"/>
          <w:sz w:val="20"/>
        </w:rPr>
        <w:t xml:space="preserve"> It shall be an unfair or deceptive act or practice for a covered platform, monetized account, advertiser, broker, or vendor knowingly to sell, purchase, generate, broker, or materially benefit from fake engagement or deceptive amplification in commerce.</w:t>
      </w:r>
    </w:p>
    <w:p>
      <w:pPr>
        <w:pStyle w:val="LegalLevel1"/>
      </w:pPr>
      <w:r>
        <w:rPr>
          <w:rFonts w:ascii="Times New Roman" w:hAnsi="Times New Roman"/>
          <w:b w:val="0"/>
          <w:color w:val="1F2937"/>
          <w:sz w:val="20"/>
        </w:rPr>
        <w:t xml:space="preserve">(b) </w:t>
      </w:r>
      <w:r>
        <w:rPr>
          <w:rFonts w:ascii="Times New Roman" w:hAnsi="Times New Roman"/>
          <w:b/>
          <w:color w:val="1F2937"/>
          <w:sz w:val="20"/>
        </w:rPr>
        <w:t>Covered Conduct.</w:t>
      </w:r>
      <w:r>
        <w:rPr>
          <w:rFonts w:ascii="Times New Roman" w:hAnsi="Times New Roman"/>
          <w:b w:val="0"/>
          <w:color w:val="1F2937"/>
          <w:sz w:val="20"/>
        </w:rPr>
        <w:t xml:space="preserve"> Covered conduct includes:</w:t>
      </w:r>
    </w:p>
    <w:p>
      <w:pPr>
        <w:pStyle w:val="LegalLevel2"/>
      </w:pPr>
      <w:r>
        <w:rPr>
          <w:rFonts w:ascii="Times New Roman" w:hAnsi="Times New Roman"/>
          <w:b w:val="0"/>
          <w:color w:val="1F2937"/>
          <w:sz w:val="20"/>
        </w:rPr>
        <w:t>1. fake followers, views, likes, shares, comments, saves, ratings, or reviews;</w:t>
      </w:r>
    </w:p>
    <w:p>
      <w:pPr>
        <w:pStyle w:val="LegalLevel2"/>
      </w:pPr>
      <w:r>
        <w:rPr>
          <w:rFonts w:ascii="Times New Roman" w:hAnsi="Times New Roman"/>
          <w:b w:val="0"/>
          <w:color w:val="1F2937"/>
          <w:sz w:val="20"/>
        </w:rPr>
        <w:t>2. bot networks materially misrepresented as human engagement;</w:t>
      </w:r>
    </w:p>
    <w:p>
      <w:pPr>
        <w:pStyle w:val="LegalLevel2"/>
      </w:pPr>
      <w:r>
        <w:rPr>
          <w:rFonts w:ascii="Times New Roman" w:hAnsi="Times New Roman"/>
          <w:b w:val="0"/>
          <w:color w:val="1F2937"/>
          <w:sz w:val="20"/>
        </w:rPr>
        <w:t>3. undisclosed paid engagement pods;</w:t>
      </w:r>
    </w:p>
    <w:p>
      <w:pPr>
        <w:pStyle w:val="LegalLevel2"/>
      </w:pPr>
      <w:r>
        <w:rPr>
          <w:rFonts w:ascii="Times New Roman" w:hAnsi="Times New Roman"/>
          <w:b w:val="0"/>
          <w:color w:val="1F2937"/>
          <w:sz w:val="20"/>
        </w:rPr>
        <w:t>4. deceptive mass account creation;</w:t>
      </w:r>
    </w:p>
    <w:p>
      <w:pPr>
        <w:pStyle w:val="LegalLevel2"/>
      </w:pPr>
      <w:r>
        <w:rPr>
          <w:rFonts w:ascii="Times New Roman" w:hAnsi="Times New Roman"/>
          <w:b w:val="0"/>
          <w:color w:val="1F2937"/>
          <w:sz w:val="20"/>
        </w:rPr>
        <w:t>5. paid impersonation;</w:t>
      </w:r>
    </w:p>
    <w:p>
      <w:pPr>
        <w:pStyle w:val="LegalLevel2"/>
      </w:pPr>
      <w:r>
        <w:rPr>
          <w:rFonts w:ascii="Times New Roman" w:hAnsi="Times New Roman"/>
          <w:b w:val="0"/>
          <w:color w:val="1F2937"/>
          <w:sz w:val="20"/>
        </w:rPr>
        <w:t>6. manipulated metrics sold or represented as authentic;</w:t>
      </w:r>
    </w:p>
    <w:p>
      <w:pPr>
        <w:pStyle w:val="LegalLevel2"/>
      </w:pPr>
      <w:r>
        <w:rPr>
          <w:rFonts w:ascii="Times New Roman" w:hAnsi="Times New Roman"/>
          <w:b w:val="0"/>
          <w:color w:val="1F2937"/>
          <w:sz w:val="20"/>
        </w:rPr>
        <w:t>7. monetization claims based on engagement that the claimant knows or should know is fake.</w:t>
      </w:r>
    </w:p>
    <w:p>
      <w:pPr>
        <w:pStyle w:val="LegalLevel1"/>
      </w:pPr>
      <w:r>
        <w:rPr>
          <w:rFonts w:ascii="Times New Roman" w:hAnsi="Times New Roman"/>
          <w:b w:val="0"/>
          <w:color w:val="1F2937"/>
          <w:sz w:val="20"/>
        </w:rPr>
        <w:t xml:space="preserve">(c) </w:t>
      </w:r>
      <w:r>
        <w:rPr>
          <w:rFonts w:ascii="Times New Roman" w:hAnsi="Times New Roman"/>
          <w:b/>
          <w:color w:val="1F2937"/>
          <w:sz w:val="20"/>
        </w:rPr>
        <w:t>Platform Duty.</w:t>
      </w:r>
      <w:r>
        <w:rPr>
          <w:rFonts w:ascii="Times New Roman" w:hAnsi="Times New Roman"/>
          <w:b w:val="0"/>
          <w:color w:val="1F2937"/>
          <w:sz w:val="20"/>
        </w:rPr>
        <w:t xml:space="preserve"> A covered platform shall maintain reasonable systems to detect, prevent, investigate, and remediate fake engagement that materially affects monetization, advertising, or public metrics.</w:t>
      </w:r>
    </w:p>
    <w:p>
      <w:pPr>
        <w:pStyle w:val="LegalLevel1"/>
      </w:pPr>
      <w:r>
        <w:rPr>
          <w:rFonts w:ascii="Times New Roman" w:hAnsi="Times New Roman"/>
          <w:b w:val="0"/>
          <w:color w:val="1F2937"/>
          <w:sz w:val="20"/>
        </w:rPr>
        <w:t xml:space="preserve">(d) </w:t>
      </w:r>
      <w:r>
        <w:rPr>
          <w:rFonts w:ascii="Times New Roman" w:hAnsi="Times New Roman"/>
          <w:b/>
          <w:color w:val="1F2937"/>
          <w:sz w:val="20"/>
        </w:rPr>
        <w:t>No Liability for Ordinary Users.</w:t>
      </w:r>
      <w:r>
        <w:rPr>
          <w:rFonts w:ascii="Times New Roman" w:hAnsi="Times New Roman"/>
          <w:b w:val="0"/>
          <w:color w:val="1F2937"/>
          <w:sz w:val="20"/>
        </w:rPr>
        <w:t xml:space="preserve"> Ordinary users shall not be liable under this section for good-faith personal expression, parody, pseudonymous speech, or noncommercial sharing.</w:t>
      </w:r>
    </w:p>
    <w:p>
      <w:pPr>
        <w:pStyle w:val="SectionHeading"/>
      </w:pPr>
      <w:r>
        <w:rPr>
          <w:rFonts w:ascii="Calibri" w:hAnsi="Calibri"/>
          <w:b/>
          <w:color w:val="0B2545"/>
          <w:sz w:val="19"/>
        </w:rPr>
        <w:t>SEC. 704. MONETIZATION TRANSPARENCY FOR USERS AND ADVERTISERS.</w:t>
      </w:r>
    </w:p>
    <w:p>
      <w:pPr>
        <w:pStyle w:val="LegalLevel1"/>
      </w:pPr>
      <w:r>
        <w:rPr>
          <w:rFonts w:ascii="Times New Roman" w:hAnsi="Times New Roman"/>
          <w:b w:val="0"/>
          <w:color w:val="1F2937"/>
          <w:sz w:val="20"/>
        </w:rPr>
        <w:t xml:space="preserve">(a) </w:t>
      </w:r>
      <w:r>
        <w:rPr>
          <w:rFonts w:ascii="Times New Roman" w:hAnsi="Times New Roman"/>
          <w:b/>
          <w:color w:val="1F2937"/>
          <w:sz w:val="20"/>
        </w:rPr>
        <w:t>User Disclosure.</w:t>
      </w:r>
      <w:r>
        <w:rPr>
          <w:rFonts w:ascii="Times New Roman" w:hAnsi="Times New Roman"/>
          <w:b w:val="0"/>
          <w:color w:val="1F2937"/>
          <w:sz w:val="20"/>
        </w:rPr>
        <w:t xml:space="preserve"> Covered platforms shall provide users a clear indication when an account is monetized by platform payments, subscriptions, gifts, affiliate links, or paid sponsorship, where technically feasible and material to a reasonable user.</w:t>
      </w:r>
    </w:p>
    <w:p>
      <w:pPr>
        <w:pStyle w:val="LegalLevel1"/>
      </w:pPr>
      <w:r>
        <w:rPr>
          <w:rFonts w:ascii="Times New Roman" w:hAnsi="Times New Roman"/>
          <w:b w:val="0"/>
          <w:color w:val="1F2937"/>
          <w:sz w:val="20"/>
        </w:rPr>
        <w:t xml:space="preserve">(b) </w:t>
      </w:r>
      <w:r>
        <w:rPr>
          <w:rFonts w:ascii="Times New Roman" w:hAnsi="Times New Roman"/>
          <w:b/>
          <w:color w:val="1F2937"/>
          <w:sz w:val="20"/>
        </w:rPr>
        <w:t>Advertiser Disclosure.</w:t>
      </w:r>
      <w:r>
        <w:rPr>
          <w:rFonts w:ascii="Times New Roman" w:hAnsi="Times New Roman"/>
          <w:b w:val="0"/>
          <w:color w:val="1F2937"/>
          <w:sz w:val="20"/>
        </w:rPr>
        <w:t xml:space="preserve"> Covered platforms shall provide advertisers aggregate information concerning placement adjacent to monetized content, synthetic media labels, and known brand-safety categories selected by the advertiser.</w:t>
      </w:r>
    </w:p>
    <w:p>
      <w:pPr>
        <w:pStyle w:val="LegalLevel1"/>
      </w:pPr>
      <w:r>
        <w:rPr>
          <w:rFonts w:ascii="Times New Roman" w:hAnsi="Times New Roman"/>
          <w:b w:val="0"/>
          <w:color w:val="1F2937"/>
          <w:sz w:val="20"/>
        </w:rPr>
        <w:t xml:space="preserve">(c) </w:t>
      </w:r>
      <w:r>
        <w:rPr>
          <w:rFonts w:ascii="Times New Roman" w:hAnsi="Times New Roman"/>
          <w:b/>
          <w:color w:val="1F2937"/>
          <w:sz w:val="20"/>
        </w:rPr>
        <w:t>Public Aggregate Report.</w:t>
      </w:r>
      <w:r>
        <w:rPr>
          <w:rFonts w:ascii="Times New Roman" w:hAnsi="Times New Roman"/>
          <w:b w:val="0"/>
          <w:color w:val="1F2937"/>
          <w:sz w:val="20"/>
        </w:rPr>
        <w:t xml:space="preserve"> Covered platforms shall annually report:</w:t>
      </w:r>
    </w:p>
    <w:p>
      <w:pPr>
        <w:pStyle w:val="LegalLevel2"/>
      </w:pPr>
      <w:r>
        <w:rPr>
          <w:rFonts w:ascii="Times New Roman" w:hAnsi="Times New Roman"/>
          <w:b w:val="0"/>
          <w:color w:val="1F2937"/>
          <w:sz w:val="20"/>
        </w:rPr>
        <w:t>1. total United States creator monetization payouts;</w:t>
      </w:r>
    </w:p>
    <w:p>
      <w:pPr>
        <w:pStyle w:val="LegalLevel2"/>
      </w:pPr>
      <w:r>
        <w:rPr>
          <w:rFonts w:ascii="Times New Roman" w:hAnsi="Times New Roman"/>
          <w:b w:val="0"/>
          <w:color w:val="1F2937"/>
          <w:sz w:val="20"/>
        </w:rPr>
        <w:t>2. payout distribution by account percentile;</w:t>
      </w:r>
    </w:p>
    <w:p>
      <w:pPr>
        <w:pStyle w:val="LegalLevel2"/>
      </w:pPr>
      <w:r>
        <w:rPr>
          <w:rFonts w:ascii="Times New Roman" w:hAnsi="Times New Roman"/>
          <w:b w:val="0"/>
          <w:color w:val="1F2937"/>
          <w:sz w:val="20"/>
        </w:rPr>
        <w:t>3. number of accounts removed from monetization for fake engagement, undisclosed sponsorship, impersonation, or synthetic deception;</w:t>
      </w:r>
    </w:p>
    <w:p>
      <w:pPr>
        <w:pStyle w:val="LegalLevel2"/>
      </w:pPr>
      <w:r>
        <w:rPr>
          <w:rFonts w:ascii="Times New Roman" w:hAnsi="Times New Roman"/>
          <w:b w:val="0"/>
          <w:color w:val="1F2937"/>
          <w:sz w:val="20"/>
        </w:rPr>
        <w:t>4. appeals and reinstatement rates;</w:t>
      </w:r>
    </w:p>
    <w:p>
      <w:pPr>
        <w:pStyle w:val="LegalLevel2"/>
      </w:pPr>
      <w:r>
        <w:rPr>
          <w:rFonts w:ascii="Times New Roman" w:hAnsi="Times New Roman"/>
          <w:b w:val="0"/>
          <w:color w:val="1F2937"/>
          <w:sz w:val="20"/>
        </w:rPr>
        <w:t>5. estimated revenue associated with high-distribution monetized content.</w:t>
      </w:r>
    </w:p>
    <w:p>
      <w:pPr>
        <w:pStyle w:val="SectionHeading"/>
      </w:pPr>
      <w:r>
        <w:rPr>
          <w:rFonts w:ascii="Calibri" w:hAnsi="Calibri"/>
          <w:b/>
          <w:color w:val="0B2545"/>
          <w:sz w:val="19"/>
        </w:rPr>
        <w:t>SEC. 705. REVENUE-RISK ASSESSMENT FOR ENGAGEMENT-BASED PAYMENT SYSTEMS.</w:t>
      </w:r>
    </w:p>
    <w:p>
      <w:pPr>
        <w:pStyle w:val="LegalLevel1"/>
      </w:pPr>
      <w:r>
        <w:rPr>
          <w:rFonts w:ascii="Times New Roman" w:hAnsi="Times New Roman"/>
          <w:b w:val="0"/>
          <w:color w:val="1F2937"/>
          <w:sz w:val="20"/>
        </w:rPr>
        <w:t xml:space="preserve">(a) </w:t>
      </w:r>
      <w:r>
        <w:rPr>
          <w:rFonts w:ascii="Times New Roman" w:hAnsi="Times New Roman"/>
          <w:b/>
          <w:color w:val="1F2937"/>
          <w:sz w:val="20"/>
        </w:rPr>
        <w:t>Assessment Required.</w:t>
      </w:r>
      <w:r>
        <w:rPr>
          <w:rFonts w:ascii="Times New Roman" w:hAnsi="Times New Roman"/>
          <w:b w:val="0"/>
          <w:color w:val="1F2937"/>
          <w:sz w:val="20"/>
        </w:rPr>
        <w:t xml:space="preserve"> Each covered platform shall conduct an annual revenue-risk assessment of any payment, ranking, bonus, creator fund, revenue-share, or advertising system that materially rewards engagement, watch time, shares, comments, or outrage-sensitive interaction metrics.</w:t>
      </w:r>
    </w:p>
    <w:p>
      <w:pPr>
        <w:pStyle w:val="LegalLevel1"/>
      </w:pPr>
      <w:r>
        <w:rPr>
          <w:rFonts w:ascii="Times New Roman" w:hAnsi="Times New Roman"/>
          <w:b w:val="0"/>
          <w:color w:val="1F2937"/>
          <w:sz w:val="20"/>
        </w:rPr>
        <w:t xml:space="preserve">(b) </w:t>
      </w:r>
      <w:r>
        <w:rPr>
          <w:rFonts w:ascii="Times New Roman" w:hAnsi="Times New Roman"/>
          <w:b/>
          <w:color w:val="1F2937"/>
          <w:sz w:val="20"/>
        </w:rPr>
        <w:t>Assessment Contents.</w:t>
      </w:r>
      <w:r>
        <w:rPr>
          <w:rFonts w:ascii="Times New Roman" w:hAnsi="Times New Roman"/>
          <w:b w:val="0"/>
          <w:color w:val="1F2937"/>
          <w:sz w:val="20"/>
        </w:rPr>
        <w:t xml:space="preserve"> The assessment shall evaluate whether the system materially incentivizes:</w:t>
      </w:r>
    </w:p>
    <w:p>
      <w:pPr>
        <w:pStyle w:val="LegalLevel2"/>
      </w:pPr>
      <w:r>
        <w:rPr>
          <w:rFonts w:ascii="Times New Roman" w:hAnsi="Times New Roman"/>
          <w:b w:val="0"/>
          <w:color w:val="1F2937"/>
          <w:sz w:val="20"/>
        </w:rPr>
        <w:t>1. fake engagement;</w:t>
      </w:r>
    </w:p>
    <w:p>
      <w:pPr>
        <w:pStyle w:val="LegalLevel2"/>
      </w:pPr>
      <w:r>
        <w:rPr>
          <w:rFonts w:ascii="Times New Roman" w:hAnsi="Times New Roman"/>
          <w:b w:val="0"/>
          <w:color w:val="1F2937"/>
          <w:sz w:val="20"/>
        </w:rPr>
        <w:t>2. deceptive amplification;</w:t>
      </w:r>
    </w:p>
    <w:p>
      <w:pPr>
        <w:pStyle w:val="LegalLevel2"/>
      </w:pPr>
      <w:r>
        <w:rPr>
          <w:rFonts w:ascii="Times New Roman" w:hAnsi="Times New Roman"/>
          <w:b w:val="0"/>
          <w:color w:val="1F2937"/>
          <w:sz w:val="20"/>
        </w:rPr>
        <w:t>3. undisclosed paid influence;</w:t>
      </w:r>
    </w:p>
    <w:p>
      <w:pPr>
        <w:pStyle w:val="LegalLevel2"/>
      </w:pPr>
      <w:r>
        <w:rPr>
          <w:rFonts w:ascii="Times New Roman" w:hAnsi="Times New Roman"/>
          <w:b w:val="0"/>
          <w:color w:val="1F2937"/>
          <w:sz w:val="20"/>
        </w:rPr>
        <w:t>4. synthetic impersonation;</w:t>
      </w:r>
    </w:p>
    <w:p>
      <w:pPr>
        <w:pStyle w:val="LegalLevel2"/>
      </w:pPr>
      <w:r>
        <w:rPr>
          <w:rFonts w:ascii="Times New Roman" w:hAnsi="Times New Roman"/>
          <w:b w:val="0"/>
          <w:color w:val="1F2937"/>
          <w:sz w:val="20"/>
        </w:rPr>
        <w:t>5. harassment-for-profit;</w:t>
      </w:r>
    </w:p>
    <w:p>
      <w:pPr>
        <w:pStyle w:val="LegalLevel2"/>
      </w:pPr>
      <w:r>
        <w:rPr>
          <w:rFonts w:ascii="Times New Roman" w:hAnsi="Times New Roman"/>
          <w:b w:val="0"/>
          <w:color w:val="1F2937"/>
          <w:sz w:val="20"/>
        </w:rPr>
        <w:t>6. repeated violation of the platform’s own monetization standards;</w:t>
      </w:r>
    </w:p>
    <w:p>
      <w:pPr>
        <w:pStyle w:val="LegalLevel2"/>
      </w:pPr>
      <w:r>
        <w:rPr>
          <w:rFonts w:ascii="Times New Roman" w:hAnsi="Times New Roman"/>
          <w:b w:val="0"/>
          <w:color w:val="1F2937"/>
          <w:sz w:val="20"/>
        </w:rPr>
        <w:t>7. bulk redistribution designed primarily to manipulate attention metrics.</w:t>
      </w:r>
    </w:p>
    <w:p>
      <w:pPr>
        <w:pStyle w:val="LegalLevel1"/>
      </w:pPr>
      <w:r>
        <w:rPr>
          <w:rFonts w:ascii="Times New Roman" w:hAnsi="Times New Roman"/>
          <w:b w:val="0"/>
          <w:color w:val="1F2937"/>
          <w:sz w:val="20"/>
        </w:rPr>
        <w:t xml:space="preserve">(c) </w:t>
      </w:r>
      <w:r>
        <w:rPr>
          <w:rFonts w:ascii="Times New Roman" w:hAnsi="Times New Roman"/>
          <w:b/>
          <w:color w:val="1F2937"/>
          <w:sz w:val="20"/>
        </w:rPr>
        <w:t>Controls.</w:t>
      </w:r>
      <w:r>
        <w:rPr>
          <w:rFonts w:ascii="Times New Roman" w:hAnsi="Times New Roman"/>
          <w:b w:val="0"/>
          <w:color w:val="1F2937"/>
          <w:sz w:val="20"/>
        </w:rPr>
        <w:t xml:space="preserve"> The platform shall adopt reasonable controls to mitigate identified risks, which may include payment holds, verification, advertiser controls, reduced payment weight for suspicious engagement, human review of high-payout accounts, and removal from monetization.</w:t>
      </w:r>
    </w:p>
    <w:p>
      <w:pPr>
        <w:pStyle w:val="LegalLevel1"/>
      </w:pPr>
      <w:r>
        <w:rPr>
          <w:rFonts w:ascii="Times New Roman" w:hAnsi="Times New Roman"/>
          <w:b w:val="0"/>
          <w:color w:val="1F2937"/>
          <w:sz w:val="20"/>
        </w:rPr>
        <w:t xml:space="preserve">(d) </w:t>
      </w:r>
      <w:r>
        <w:rPr>
          <w:rFonts w:ascii="Times New Roman" w:hAnsi="Times New Roman"/>
          <w:b/>
          <w:color w:val="1F2937"/>
          <w:sz w:val="20"/>
        </w:rPr>
        <w:t>No Content-Based Mandate.</w:t>
      </w:r>
      <w:r>
        <w:rPr>
          <w:rFonts w:ascii="Times New Roman" w:hAnsi="Times New Roman"/>
          <w:b w:val="0"/>
          <w:color w:val="1F2937"/>
          <w:sz w:val="20"/>
        </w:rPr>
        <w:t xml:space="preserve"> The Commission may not require a platform to define “rage,” “outrage,” “harmful opinion,” “political extremism,” or any similar content category as a basis for monetization action.</w:t>
      </w:r>
    </w:p>
    <w:p>
      <w:pPr>
        <w:pStyle w:val="SectionHeading"/>
      </w:pPr>
      <w:r>
        <w:rPr>
          <w:rFonts w:ascii="Calibri" w:hAnsi="Calibri"/>
          <w:b/>
          <w:color w:val="0B2545"/>
          <w:sz w:val="19"/>
        </w:rPr>
        <w:t>SEC. 706. CORRECTIVE ACTION PLANS AND INDEPENDENT MONITORS.</w:t>
      </w:r>
    </w:p>
    <w:p>
      <w:pPr>
        <w:pStyle w:val="LegalLevel1"/>
      </w:pPr>
      <w:r>
        <w:rPr>
          <w:rFonts w:ascii="Times New Roman" w:hAnsi="Times New Roman"/>
          <w:b w:val="0"/>
          <w:color w:val="1F2937"/>
          <w:sz w:val="20"/>
        </w:rPr>
        <w:t xml:space="preserve">(a) </w:t>
      </w:r>
      <w:r>
        <w:rPr>
          <w:rFonts w:ascii="Times New Roman" w:hAnsi="Times New Roman"/>
          <w:b/>
          <w:color w:val="1F2937"/>
          <w:sz w:val="20"/>
        </w:rPr>
        <w:t>Material Failure.</w:t>
      </w:r>
      <w:r>
        <w:rPr>
          <w:rFonts w:ascii="Times New Roman" w:hAnsi="Times New Roman"/>
          <w:b w:val="0"/>
          <w:color w:val="1F2937"/>
          <w:sz w:val="20"/>
        </w:rPr>
        <w:t xml:space="preserve"> If an audit identifies a material failure in monetization integrity, the Commission may require a corrective action plan.</w:t>
      </w:r>
    </w:p>
    <w:p>
      <w:pPr>
        <w:pStyle w:val="LegalLevel1"/>
      </w:pPr>
      <w:r>
        <w:rPr>
          <w:rFonts w:ascii="Times New Roman" w:hAnsi="Times New Roman"/>
          <w:b w:val="0"/>
          <w:color w:val="1F2937"/>
          <w:sz w:val="20"/>
        </w:rPr>
        <w:t xml:space="preserve">(b) </w:t>
      </w:r>
      <w:r>
        <w:rPr>
          <w:rFonts w:ascii="Times New Roman" w:hAnsi="Times New Roman"/>
          <w:b/>
          <w:color w:val="1F2937"/>
          <w:sz w:val="20"/>
        </w:rPr>
        <w:t>Independent Monitor.</w:t>
      </w:r>
      <w:r>
        <w:rPr>
          <w:rFonts w:ascii="Times New Roman" w:hAnsi="Times New Roman"/>
          <w:b w:val="0"/>
          <w:color w:val="1F2937"/>
          <w:sz w:val="20"/>
        </w:rPr>
        <w:t xml:space="preserve"> For repeated knowing violations, the Commission may require appointment of an independent compliance monitor for not more than 3 years.</w:t>
      </w:r>
    </w:p>
    <w:p>
      <w:pPr>
        <w:pStyle w:val="LegalLevel1"/>
      </w:pPr>
      <w:r>
        <w:rPr>
          <w:rFonts w:ascii="Times New Roman" w:hAnsi="Times New Roman"/>
          <w:b w:val="0"/>
          <w:color w:val="1F2937"/>
          <w:sz w:val="20"/>
        </w:rPr>
        <w:t xml:space="preserve">(c) </w:t>
      </w:r>
      <w:r>
        <w:rPr>
          <w:rFonts w:ascii="Times New Roman" w:hAnsi="Times New Roman"/>
          <w:b/>
          <w:color w:val="1F2937"/>
          <w:sz w:val="20"/>
        </w:rPr>
        <w:t>Scope.</w:t>
      </w:r>
      <w:r>
        <w:rPr>
          <w:rFonts w:ascii="Times New Roman" w:hAnsi="Times New Roman"/>
          <w:b w:val="0"/>
          <w:color w:val="1F2937"/>
          <w:sz w:val="20"/>
        </w:rPr>
        <w:t xml:space="preserve"> The monitor shall evaluate compliance with this Act and shall not direct editorial, ranking, viewpoint, or content-moderation decisions.</w:t>
      </w:r>
    </w:p>
    <w:p>
      <w:pPr>
        <w:pStyle w:val="Heading1Custom"/>
      </w:pPr>
      <w:r>
        <w:rPr>
          <w:rFonts w:ascii="Calibri" w:hAnsi="Calibri"/>
          <w:b/>
          <w:color w:val="2E74B5"/>
          <w:sz w:val="32"/>
        </w:rPr>
        <w:t>TITLE VIII. RESEARCH ACCESS, DATA GOVERNANCE, AND WHISTLEBLOWER PROTECTION</w:t>
      </w:r>
    </w:p>
    <w:p>
      <w:pPr>
        <w:pStyle w:val="SectionHeading"/>
      </w:pPr>
      <w:r>
        <w:rPr>
          <w:rFonts w:ascii="Calibri" w:hAnsi="Calibri"/>
          <w:b/>
          <w:color w:val="0B2545"/>
          <w:sz w:val="19"/>
        </w:rPr>
        <w:t>SEC. 801. VETTED RESEARCHER ACCESS PROGRAM.</w:t>
      </w:r>
    </w:p>
    <w:p>
      <w:pPr>
        <w:pStyle w:val="LegalLevel1"/>
      </w:pPr>
      <w:r>
        <w:rPr>
          <w:rFonts w:ascii="Times New Roman" w:hAnsi="Times New Roman"/>
          <w:b w:val="0"/>
          <w:color w:val="1F2937"/>
          <w:sz w:val="20"/>
        </w:rPr>
        <w:t xml:space="preserve">(a) </w:t>
      </w:r>
      <w:r>
        <w:rPr>
          <w:rFonts w:ascii="Times New Roman" w:hAnsi="Times New Roman"/>
          <w:b/>
          <w:color w:val="1F2937"/>
          <w:sz w:val="20"/>
        </w:rPr>
        <w:t>Program Established.</w:t>
      </w:r>
      <w:r>
        <w:rPr>
          <w:rFonts w:ascii="Times New Roman" w:hAnsi="Times New Roman"/>
          <w:b w:val="0"/>
          <w:color w:val="1F2937"/>
          <w:sz w:val="20"/>
        </w:rPr>
        <w:t xml:space="preserve"> The Commission, in consultation with the National Science Foundation, shall establish a program through which vetted researchers may request access to platform data necessary to study systemic information-distribution risks.</w:t>
      </w:r>
    </w:p>
    <w:p>
      <w:pPr>
        <w:pStyle w:val="LegalLevel1"/>
      </w:pPr>
      <w:r>
        <w:rPr>
          <w:rFonts w:ascii="Times New Roman" w:hAnsi="Times New Roman"/>
          <w:b w:val="0"/>
          <w:color w:val="1F2937"/>
          <w:sz w:val="20"/>
        </w:rPr>
        <w:t xml:space="preserve">(b) </w:t>
      </w:r>
      <w:r>
        <w:rPr>
          <w:rFonts w:ascii="Times New Roman" w:hAnsi="Times New Roman"/>
          <w:b/>
          <w:color w:val="1F2937"/>
          <w:sz w:val="20"/>
        </w:rPr>
        <w:t>Eligible Research.</w:t>
      </w:r>
      <w:r>
        <w:rPr>
          <w:rFonts w:ascii="Times New Roman" w:hAnsi="Times New Roman"/>
          <w:b w:val="0"/>
          <w:color w:val="1F2937"/>
          <w:sz w:val="20"/>
        </w:rPr>
        <w:t xml:space="preserve"> Eligible research may concern:</w:t>
      </w:r>
    </w:p>
    <w:p>
      <w:pPr>
        <w:pStyle w:val="LegalLevel2"/>
      </w:pPr>
      <w:r>
        <w:rPr>
          <w:rFonts w:ascii="Times New Roman" w:hAnsi="Times New Roman"/>
          <w:b w:val="0"/>
          <w:color w:val="1F2937"/>
          <w:sz w:val="20"/>
        </w:rPr>
        <w:t>1. recommender-system distribution patterns;</w:t>
      </w:r>
    </w:p>
    <w:p>
      <w:pPr>
        <w:pStyle w:val="LegalLevel2"/>
      </w:pPr>
      <w:r>
        <w:rPr>
          <w:rFonts w:ascii="Times New Roman" w:hAnsi="Times New Roman"/>
          <w:b w:val="0"/>
          <w:color w:val="1F2937"/>
          <w:sz w:val="20"/>
        </w:rPr>
        <w:t>2. sharing friction;</w:t>
      </w:r>
    </w:p>
    <w:p>
      <w:pPr>
        <w:pStyle w:val="LegalLevel2"/>
      </w:pPr>
      <w:r>
        <w:rPr>
          <w:rFonts w:ascii="Times New Roman" w:hAnsi="Times New Roman"/>
          <w:b w:val="0"/>
          <w:color w:val="1F2937"/>
          <w:sz w:val="20"/>
        </w:rPr>
        <w:t>3. synthetic media provenance;</w:t>
      </w:r>
    </w:p>
    <w:p>
      <w:pPr>
        <w:pStyle w:val="LegalLevel2"/>
      </w:pPr>
      <w:r>
        <w:rPr>
          <w:rFonts w:ascii="Times New Roman" w:hAnsi="Times New Roman"/>
          <w:b w:val="0"/>
          <w:color w:val="1F2937"/>
          <w:sz w:val="20"/>
        </w:rPr>
        <w:t>4. fake engagement;</w:t>
      </w:r>
    </w:p>
    <w:p>
      <w:pPr>
        <w:pStyle w:val="LegalLevel2"/>
      </w:pPr>
      <w:r>
        <w:rPr>
          <w:rFonts w:ascii="Times New Roman" w:hAnsi="Times New Roman"/>
          <w:b w:val="0"/>
          <w:color w:val="1F2937"/>
          <w:sz w:val="20"/>
        </w:rPr>
        <w:t>5. deceptive amplification;</w:t>
      </w:r>
    </w:p>
    <w:p>
      <w:pPr>
        <w:pStyle w:val="LegalLevel2"/>
      </w:pPr>
      <w:r>
        <w:rPr>
          <w:rFonts w:ascii="Times New Roman" w:hAnsi="Times New Roman"/>
          <w:b w:val="0"/>
          <w:color w:val="1F2937"/>
          <w:sz w:val="20"/>
        </w:rPr>
        <w:t>6. advertising transparency;</w:t>
      </w:r>
    </w:p>
    <w:p>
      <w:pPr>
        <w:pStyle w:val="LegalLevel2"/>
      </w:pPr>
      <w:r>
        <w:rPr>
          <w:rFonts w:ascii="Times New Roman" w:hAnsi="Times New Roman"/>
          <w:b w:val="0"/>
          <w:color w:val="1F2937"/>
          <w:sz w:val="20"/>
        </w:rPr>
        <w:t>7. creator monetization incentives;</w:t>
      </w:r>
    </w:p>
    <w:p>
      <w:pPr>
        <w:pStyle w:val="LegalLevel2"/>
      </w:pPr>
      <w:r>
        <w:rPr>
          <w:rFonts w:ascii="Times New Roman" w:hAnsi="Times New Roman"/>
          <w:b w:val="0"/>
          <w:color w:val="1F2937"/>
          <w:sz w:val="20"/>
        </w:rPr>
        <w:t>8. media literacy interventions;</w:t>
      </w:r>
    </w:p>
    <w:p>
      <w:pPr>
        <w:pStyle w:val="LegalLevel2"/>
      </w:pPr>
      <w:r>
        <w:rPr>
          <w:rFonts w:ascii="Times New Roman" w:hAnsi="Times New Roman"/>
          <w:b w:val="0"/>
          <w:color w:val="1F2937"/>
          <w:sz w:val="20"/>
        </w:rPr>
        <w:t>9. public-interest journalism distribution;</w:t>
      </w:r>
    </w:p>
    <w:p>
      <w:pPr>
        <w:pStyle w:val="LegalLevel2"/>
      </w:pPr>
      <w:r>
        <w:rPr>
          <w:rFonts w:ascii="Times New Roman" w:hAnsi="Times New Roman"/>
          <w:b w:val="0"/>
          <w:color w:val="1F2937"/>
          <w:sz w:val="20"/>
        </w:rPr>
        <w:t>10. privacy-protective measurement methods.</w:t>
      </w:r>
    </w:p>
    <w:p>
      <w:pPr>
        <w:pStyle w:val="LegalLevel1"/>
      </w:pPr>
      <w:r>
        <w:rPr>
          <w:rFonts w:ascii="Times New Roman" w:hAnsi="Times New Roman"/>
          <w:b w:val="0"/>
          <w:color w:val="1F2937"/>
          <w:sz w:val="20"/>
        </w:rPr>
        <w:t xml:space="preserve">(c) </w:t>
      </w:r>
      <w:r>
        <w:rPr>
          <w:rFonts w:ascii="Times New Roman" w:hAnsi="Times New Roman"/>
          <w:b/>
          <w:color w:val="1F2937"/>
          <w:sz w:val="20"/>
        </w:rPr>
        <w:t>No Viewpoint Policing.</w:t>
      </w:r>
      <w:r>
        <w:rPr>
          <w:rFonts w:ascii="Times New Roman" w:hAnsi="Times New Roman"/>
          <w:b w:val="0"/>
          <w:color w:val="1F2937"/>
          <w:sz w:val="20"/>
        </w:rPr>
        <w:t xml:space="preserve"> Research access may not be used to create government lists of disfavored speakers, viewpoints, ideologies, publications, journalists, or lawful content.</w:t>
      </w:r>
    </w:p>
    <w:p>
      <w:pPr>
        <w:pStyle w:val="SectionHeading"/>
      </w:pPr>
      <w:r>
        <w:rPr>
          <w:rFonts w:ascii="Calibri" w:hAnsi="Calibri"/>
          <w:b/>
          <w:color w:val="0B2545"/>
          <w:sz w:val="19"/>
        </w:rPr>
        <w:t>SEC. 802. SECURE DATA ROOMS AND PRIVACY SAFEGUARDS.</w:t>
      </w:r>
    </w:p>
    <w:p>
      <w:pPr>
        <w:pStyle w:val="LegalLevel1"/>
      </w:pPr>
      <w:r>
        <w:rPr>
          <w:rFonts w:ascii="Times New Roman" w:hAnsi="Times New Roman"/>
          <w:b w:val="0"/>
          <w:color w:val="1F2937"/>
          <w:sz w:val="20"/>
        </w:rPr>
        <w:t xml:space="preserve">(a) </w:t>
      </w:r>
      <w:r>
        <w:rPr>
          <w:rFonts w:ascii="Times New Roman" w:hAnsi="Times New Roman"/>
          <w:b/>
          <w:color w:val="1F2937"/>
          <w:sz w:val="20"/>
        </w:rPr>
        <w:t>Secure Access.</w:t>
      </w:r>
      <w:r>
        <w:rPr>
          <w:rFonts w:ascii="Times New Roman" w:hAnsi="Times New Roman"/>
          <w:b w:val="0"/>
          <w:color w:val="1F2937"/>
          <w:sz w:val="20"/>
        </w:rPr>
        <w:t xml:space="preserve"> Covered platforms shall provide approved researchers access through secure data rooms, privacy-preserving APIs, aggregated datasets, synthetic datasets, or other approved methods.</w:t>
      </w:r>
    </w:p>
    <w:p>
      <w:pPr>
        <w:pStyle w:val="LegalLevel1"/>
      </w:pPr>
      <w:r>
        <w:rPr>
          <w:rFonts w:ascii="Times New Roman" w:hAnsi="Times New Roman"/>
          <w:b w:val="0"/>
          <w:color w:val="1F2937"/>
          <w:sz w:val="20"/>
        </w:rPr>
        <w:t xml:space="preserve">(b) </w:t>
      </w:r>
      <w:r>
        <w:rPr>
          <w:rFonts w:ascii="Times New Roman" w:hAnsi="Times New Roman"/>
          <w:b/>
          <w:color w:val="1F2937"/>
          <w:sz w:val="20"/>
        </w:rPr>
        <w:t>Data Minimization.</w:t>
      </w:r>
      <w:r>
        <w:rPr>
          <w:rFonts w:ascii="Times New Roman" w:hAnsi="Times New Roman"/>
          <w:b w:val="0"/>
          <w:color w:val="1F2937"/>
          <w:sz w:val="20"/>
        </w:rPr>
        <w:t xml:space="preserve"> Access shall be limited to data reasonably necessary for approved research.</w:t>
      </w:r>
    </w:p>
    <w:p>
      <w:pPr>
        <w:pStyle w:val="LegalLevel1"/>
      </w:pPr>
      <w:r>
        <w:rPr>
          <w:rFonts w:ascii="Times New Roman" w:hAnsi="Times New Roman"/>
          <w:b w:val="0"/>
          <w:color w:val="1F2937"/>
          <w:sz w:val="20"/>
        </w:rPr>
        <w:t xml:space="preserve">(c) </w:t>
      </w:r>
      <w:r>
        <w:rPr>
          <w:rFonts w:ascii="Times New Roman" w:hAnsi="Times New Roman"/>
          <w:b/>
          <w:color w:val="1F2937"/>
          <w:sz w:val="20"/>
        </w:rPr>
        <w:t>Prohibited Disclosure.</w:t>
      </w:r>
      <w:r>
        <w:rPr>
          <w:rFonts w:ascii="Times New Roman" w:hAnsi="Times New Roman"/>
          <w:b w:val="0"/>
          <w:color w:val="1F2937"/>
          <w:sz w:val="20"/>
        </w:rPr>
        <w:t xml:space="preserve"> Researchers may not disclose personal information, trade secrets, security-sensitive information, or data that would facilitate abuse.</w:t>
      </w:r>
    </w:p>
    <w:p>
      <w:pPr>
        <w:pStyle w:val="LegalLevel1"/>
      </w:pPr>
      <w:r>
        <w:rPr>
          <w:rFonts w:ascii="Times New Roman" w:hAnsi="Times New Roman"/>
          <w:b w:val="0"/>
          <w:color w:val="1F2937"/>
          <w:sz w:val="20"/>
        </w:rPr>
        <w:t xml:space="preserve">(d) </w:t>
      </w:r>
      <w:r>
        <w:rPr>
          <w:rFonts w:ascii="Times New Roman" w:hAnsi="Times New Roman"/>
          <w:b/>
          <w:color w:val="1F2937"/>
          <w:sz w:val="20"/>
        </w:rPr>
        <w:t>Independent Review.</w:t>
      </w:r>
      <w:r>
        <w:rPr>
          <w:rFonts w:ascii="Times New Roman" w:hAnsi="Times New Roman"/>
          <w:b w:val="0"/>
          <w:color w:val="1F2937"/>
          <w:sz w:val="20"/>
        </w:rPr>
        <w:t xml:space="preserve"> Research protocols involving personal data shall be reviewed by an institutional review board or equivalent ethics body.</w:t>
      </w:r>
    </w:p>
    <w:p>
      <w:pPr>
        <w:pStyle w:val="SectionHeading"/>
      </w:pPr>
      <w:r>
        <w:rPr>
          <w:rFonts w:ascii="Calibri" w:hAnsi="Calibri"/>
          <w:b/>
          <w:color w:val="0B2545"/>
          <w:sz w:val="19"/>
        </w:rPr>
        <w:t>SEC. 803. PUBLIC INTEREST RESEARCH PRIORITIES.</w:t>
      </w:r>
    </w:p>
    <w:p>
      <w:pPr>
        <w:pStyle w:val="LegalBody"/>
      </w:pPr>
      <w:r>
        <w:rPr>
          <w:rFonts w:ascii="Times New Roman" w:hAnsi="Times New Roman"/>
          <w:b w:val="0"/>
          <w:color w:val="1F2937"/>
          <w:sz w:val="20"/>
        </w:rPr>
        <w:t>The Commission and National Science Foundation shall publish biennial research priorities concerning information-system transparency, privacy-preserving measurement, provenance, synthetic media, deceptive amplification, media literacy, and monetization incentives.</w:t>
      </w:r>
    </w:p>
    <w:p>
      <w:pPr>
        <w:pStyle w:val="SectionHeading"/>
      </w:pPr>
      <w:r>
        <w:rPr>
          <w:rFonts w:ascii="Calibri" w:hAnsi="Calibri"/>
          <w:b/>
          <w:color w:val="0B2545"/>
          <w:sz w:val="19"/>
        </w:rPr>
        <w:t>SEC. 804. WHISTLEBLOWER PROTECTIONS.</w:t>
      </w:r>
    </w:p>
    <w:p>
      <w:pPr>
        <w:pStyle w:val="LegalLevel1"/>
      </w:pPr>
      <w:r>
        <w:rPr>
          <w:rFonts w:ascii="Times New Roman" w:hAnsi="Times New Roman"/>
          <w:b w:val="0"/>
          <w:color w:val="1F2937"/>
          <w:sz w:val="20"/>
        </w:rPr>
        <w:t xml:space="preserve">(a) </w:t>
      </w:r>
      <w:r>
        <w:rPr>
          <w:rFonts w:ascii="Times New Roman" w:hAnsi="Times New Roman"/>
          <w:b/>
          <w:color w:val="1F2937"/>
          <w:sz w:val="20"/>
        </w:rPr>
        <w:t>Protected Disclosure.</w:t>
      </w:r>
      <w:r>
        <w:rPr>
          <w:rFonts w:ascii="Times New Roman" w:hAnsi="Times New Roman"/>
          <w:b w:val="0"/>
          <w:color w:val="1F2937"/>
          <w:sz w:val="20"/>
        </w:rPr>
        <w:t xml:space="preserve"> A covered platform may not discharge, demote, suspend, threaten, harass, blacklist, or otherwise discriminate against an employee, contractor, auditor, or researcher because that person lawfully disclosed information reasonably believed to show a violation of this Act.</w:t>
      </w:r>
    </w:p>
    <w:p>
      <w:pPr>
        <w:pStyle w:val="LegalLevel1"/>
      </w:pPr>
      <w:r>
        <w:rPr>
          <w:rFonts w:ascii="Times New Roman" w:hAnsi="Times New Roman"/>
          <w:b w:val="0"/>
          <w:color w:val="1F2937"/>
          <w:sz w:val="20"/>
        </w:rPr>
        <w:t xml:space="preserve">(b) </w:t>
      </w:r>
      <w:r>
        <w:rPr>
          <w:rFonts w:ascii="Times New Roman" w:hAnsi="Times New Roman"/>
          <w:b/>
          <w:color w:val="1F2937"/>
          <w:sz w:val="20"/>
        </w:rPr>
        <w:t>Recipient.</w:t>
      </w:r>
      <w:r>
        <w:rPr>
          <w:rFonts w:ascii="Times New Roman" w:hAnsi="Times New Roman"/>
          <w:b w:val="0"/>
          <w:color w:val="1F2937"/>
          <w:sz w:val="20"/>
        </w:rPr>
        <w:t xml:space="preserve"> Protected disclosures may be made to:</w:t>
      </w:r>
    </w:p>
    <w:p>
      <w:pPr>
        <w:pStyle w:val="LegalLevel2"/>
      </w:pPr>
      <w:r>
        <w:rPr>
          <w:rFonts w:ascii="Times New Roman" w:hAnsi="Times New Roman"/>
          <w:b w:val="0"/>
          <w:color w:val="1F2937"/>
          <w:sz w:val="20"/>
        </w:rPr>
        <w:t>1. the Commission;</w:t>
      </w:r>
    </w:p>
    <w:p>
      <w:pPr>
        <w:pStyle w:val="LegalLevel2"/>
      </w:pPr>
      <w:r>
        <w:rPr>
          <w:rFonts w:ascii="Times New Roman" w:hAnsi="Times New Roman"/>
          <w:b w:val="0"/>
          <w:color w:val="1F2937"/>
          <w:sz w:val="20"/>
        </w:rPr>
        <w:t>2. Congress;</w:t>
      </w:r>
    </w:p>
    <w:p>
      <w:pPr>
        <w:pStyle w:val="LegalLevel2"/>
      </w:pPr>
      <w:r>
        <w:rPr>
          <w:rFonts w:ascii="Times New Roman" w:hAnsi="Times New Roman"/>
          <w:b w:val="0"/>
          <w:color w:val="1F2937"/>
          <w:sz w:val="20"/>
        </w:rPr>
        <w:t>3. an Inspector General;</w:t>
      </w:r>
    </w:p>
    <w:p>
      <w:pPr>
        <w:pStyle w:val="LegalLevel2"/>
      </w:pPr>
      <w:r>
        <w:rPr>
          <w:rFonts w:ascii="Times New Roman" w:hAnsi="Times New Roman"/>
          <w:b w:val="0"/>
          <w:color w:val="1F2937"/>
          <w:sz w:val="20"/>
        </w:rPr>
        <w:t>4. a state attorney general;</w:t>
      </w:r>
    </w:p>
    <w:p>
      <w:pPr>
        <w:pStyle w:val="LegalLevel2"/>
      </w:pPr>
      <w:r>
        <w:rPr>
          <w:rFonts w:ascii="Times New Roman" w:hAnsi="Times New Roman"/>
          <w:b w:val="0"/>
          <w:color w:val="1F2937"/>
          <w:sz w:val="20"/>
        </w:rPr>
        <w:t>5. an internal compliance officer;</w:t>
      </w:r>
    </w:p>
    <w:p>
      <w:pPr>
        <w:pStyle w:val="LegalLevel2"/>
      </w:pPr>
      <w:r>
        <w:rPr>
          <w:rFonts w:ascii="Times New Roman" w:hAnsi="Times New Roman"/>
          <w:b w:val="0"/>
          <w:color w:val="1F2937"/>
          <w:sz w:val="20"/>
        </w:rPr>
        <w:t>6. an independent auditor;</w:t>
      </w:r>
    </w:p>
    <w:p>
      <w:pPr>
        <w:pStyle w:val="LegalLevel2"/>
      </w:pPr>
      <w:r>
        <w:rPr>
          <w:rFonts w:ascii="Times New Roman" w:hAnsi="Times New Roman"/>
          <w:b w:val="0"/>
          <w:color w:val="1F2937"/>
          <w:sz w:val="20"/>
        </w:rPr>
        <w:t>7. a court or administrative tribunal.</w:t>
      </w:r>
    </w:p>
    <w:p>
      <w:pPr>
        <w:pStyle w:val="LegalLevel1"/>
      </w:pPr>
      <w:r>
        <w:rPr>
          <w:rFonts w:ascii="Times New Roman" w:hAnsi="Times New Roman"/>
          <w:b w:val="0"/>
          <w:color w:val="1F2937"/>
          <w:sz w:val="20"/>
        </w:rPr>
        <w:t xml:space="preserve">(c) </w:t>
      </w:r>
      <w:r>
        <w:rPr>
          <w:rFonts w:ascii="Times New Roman" w:hAnsi="Times New Roman"/>
          <w:b/>
          <w:color w:val="1F2937"/>
          <w:sz w:val="20"/>
        </w:rPr>
        <w:t>Remedies.</w:t>
      </w:r>
      <w:r>
        <w:rPr>
          <w:rFonts w:ascii="Times New Roman" w:hAnsi="Times New Roman"/>
          <w:b w:val="0"/>
          <w:color w:val="1F2937"/>
          <w:sz w:val="20"/>
        </w:rPr>
        <w:t xml:space="preserve"> A prevailing whistleblower may receive reinstatement, double back pay, compensatory damages, attorney’s fees, and such equitable relief as a court considers appropriate.</w:t>
      </w:r>
    </w:p>
    <w:p>
      <w:pPr>
        <w:pStyle w:val="SectionHeading"/>
      </w:pPr>
      <w:r>
        <w:rPr>
          <w:rFonts w:ascii="Calibri" w:hAnsi="Calibri"/>
          <w:b/>
          <w:color w:val="0B2545"/>
          <w:sz w:val="19"/>
        </w:rPr>
        <w:t>SEC. 805. ANNUAL PUBLIC REPOSITORY.</w:t>
      </w:r>
    </w:p>
    <w:p>
      <w:pPr>
        <w:pStyle w:val="LegalBody"/>
      </w:pPr>
      <w:r>
        <w:rPr>
          <w:rFonts w:ascii="Times New Roman" w:hAnsi="Times New Roman"/>
          <w:b w:val="0"/>
          <w:color w:val="1F2937"/>
          <w:sz w:val="20"/>
        </w:rPr>
        <w:t>The Commission shall maintain a public repository containing:</w:t>
      </w:r>
    </w:p>
    <w:p>
      <w:pPr>
        <w:pStyle w:val="LegalLevel2"/>
      </w:pPr>
      <w:r>
        <w:rPr>
          <w:rFonts w:ascii="Times New Roman" w:hAnsi="Times New Roman"/>
          <w:b w:val="0"/>
          <w:color w:val="1F2937"/>
          <w:sz w:val="20"/>
        </w:rPr>
        <w:t>1. platform registrations;</w:t>
      </w:r>
    </w:p>
    <w:p>
      <w:pPr>
        <w:pStyle w:val="LegalLevel2"/>
      </w:pPr>
      <w:r>
        <w:rPr>
          <w:rFonts w:ascii="Times New Roman" w:hAnsi="Times New Roman"/>
          <w:b w:val="0"/>
          <w:color w:val="1F2937"/>
          <w:sz w:val="20"/>
        </w:rPr>
        <w:t>2. public transparency reports;</w:t>
      </w:r>
    </w:p>
    <w:p>
      <w:pPr>
        <w:pStyle w:val="LegalLevel2"/>
      </w:pPr>
      <w:r>
        <w:rPr>
          <w:rFonts w:ascii="Times New Roman" w:hAnsi="Times New Roman"/>
          <w:b w:val="0"/>
          <w:color w:val="1F2937"/>
          <w:sz w:val="20"/>
        </w:rPr>
        <w:t>3. system cards;</w:t>
      </w:r>
    </w:p>
    <w:p>
      <w:pPr>
        <w:pStyle w:val="LegalLevel2"/>
      </w:pPr>
      <w:r>
        <w:rPr>
          <w:rFonts w:ascii="Times New Roman" w:hAnsi="Times New Roman"/>
          <w:b w:val="0"/>
          <w:color w:val="1F2937"/>
          <w:sz w:val="20"/>
        </w:rPr>
        <w:t>4. audit summaries;</w:t>
      </w:r>
    </w:p>
    <w:p>
      <w:pPr>
        <w:pStyle w:val="LegalLevel2"/>
      </w:pPr>
      <w:r>
        <w:rPr>
          <w:rFonts w:ascii="Times New Roman" w:hAnsi="Times New Roman"/>
          <w:b w:val="0"/>
          <w:color w:val="1F2937"/>
          <w:sz w:val="20"/>
        </w:rPr>
        <w:t>5. enforcement orders;</w:t>
      </w:r>
    </w:p>
    <w:p>
      <w:pPr>
        <w:pStyle w:val="LegalLevel2"/>
      </w:pPr>
      <w:r>
        <w:rPr>
          <w:rFonts w:ascii="Times New Roman" w:hAnsi="Times New Roman"/>
          <w:b w:val="0"/>
          <w:color w:val="1F2937"/>
          <w:sz w:val="20"/>
        </w:rPr>
        <w:t>6. rulemaking materials;</w:t>
      </w:r>
    </w:p>
    <w:p>
      <w:pPr>
        <w:pStyle w:val="LegalLevel2"/>
      </w:pPr>
      <w:r>
        <w:rPr>
          <w:rFonts w:ascii="Times New Roman" w:hAnsi="Times New Roman"/>
          <w:b w:val="0"/>
          <w:color w:val="1F2937"/>
          <w:sz w:val="20"/>
        </w:rPr>
        <w:t>7. researcher-access statistics;</w:t>
      </w:r>
    </w:p>
    <w:p>
      <w:pPr>
        <w:pStyle w:val="LegalLevel2"/>
      </w:pPr>
      <w:r>
        <w:rPr>
          <w:rFonts w:ascii="Times New Roman" w:hAnsi="Times New Roman"/>
          <w:b w:val="0"/>
          <w:color w:val="1F2937"/>
          <w:sz w:val="20"/>
        </w:rPr>
        <w:t>8. agency communication logs required under section 105.</w:t>
      </w:r>
    </w:p>
    <w:p>
      <w:pPr>
        <w:pStyle w:val="Heading1Custom"/>
      </w:pPr>
      <w:r>
        <w:rPr>
          <w:rFonts w:ascii="Calibri" w:hAnsi="Calibri"/>
          <w:b/>
          <w:color w:val="2E74B5"/>
          <w:sz w:val="32"/>
        </w:rPr>
        <w:t>TITLE IX. MEDIA LITERACY AND CIVIC INFORMATION EDUCATION</w:t>
      </w:r>
    </w:p>
    <w:p>
      <w:pPr>
        <w:pStyle w:val="SectionHeading"/>
      </w:pPr>
      <w:r>
        <w:rPr>
          <w:rFonts w:ascii="Calibri" w:hAnsi="Calibri"/>
          <w:b/>
          <w:color w:val="0B2545"/>
          <w:sz w:val="19"/>
        </w:rPr>
        <w:t>SEC. 901. NATIONAL MEDIA-LITERACY GRANT PROGRAM.</w:t>
      </w:r>
    </w:p>
    <w:p>
      <w:pPr>
        <w:pStyle w:val="LegalLevel1"/>
      </w:pPr>
      <w:r>
        <w:rPr>
          <w:rFonts w:ascii="Times New Roman" w:hAnsi="Times New Roman"/>
          <w:b w:val="0"/>
          <w:color w:val="1F2937"/>
          <w:sz w:val="20"/>
        </w:rPr>
        <w:t xml:space="preserve">(a) </w:t>
      </w:r>
      <w:r>
        <w:rPr>
          <w:rFonts w:ascii="Times New Roman" w:hAnsi="Times New Roman"/>
          <w:b/>
          <w:color w:val="1F2937"/>
          <w:sz w:val="20"/>
        </w:rPr>
        <w:t>Establishment.</w:t>
      </w:r>
      <w:r>
        <w:rPr>
          <w:rFonts w:ascii="Times New Roman" w:hAnsi="Times New Roman"/>
          <w:b w:val="0"/>
          <w:color w:val="1F2937"/>
          <w:sz w:val="20"/>
        </w:rPr>
        <w:t xml:space="preserve"> The Secretary of Education shall establish a National Media-Literacy Grant Program.</w:t>
      </w:r>
    </w:p>
    <w:p>
      <w:pPr>
        <w:pStyle w:val="LegalLevel1"/>
      </w:pPr>
      <w:r>
        <w:rPr>
          <w:rFonts w:ascii="Times New Roman" w:hAnsi="Times New Roman"/>
          <w:b w:val="0"/>
          <w:color w:val="1F2937"/>
          <w:sz w:val="20"/>
        </w:rPr>
        <w:t xml:space="preserve">(b) </w:t>
      </w:r>
      <w:r>
        <w:rPr>
          <w:rFonts w:ascii="Times New Roman" w:hAnsi="Times New Roman"/>
          <w:b/>
          <w:color w:val="1F2937"/>
          <w:sz w:val="20"/>
        </w:rPr>
        <w:t>Eligible Recipients.</w:t>
      </w:r>
      <w:r>
        <w:rPr>
          <w:rFonts w:ascii="Times New Roman" w:hAnsi="Times New Roman"/>
          <w:b w:val="0"/>
          <w:color w:val="1F2937"/>
          <w:sz w:val="20"/>
        </w:rPr>
        <w:t xml:space="preserve"> Grants may be awarded to states, local educational agencies, tribal educational agencies, public libraries, institutions of higher education, nonprofit educational organizations, public media organizations, and consortia thereof.</w:t>
      </w:r>
    </w:p>
    <w:p>
      <w:pPr>
        <w:pStyle w:val="LegalLevel1"/>
      </w:pPr>
      <w:r>
        <w:rPr>
          <w:rFonts w:ascii="Times New Roman" w:hAnsi="Times New Roman"/>
          <w:b w:val="0"/>
          <w:color w:val="1F2937"/>
          <w:sz w:val="20"/>
        </w:rPr>
        <w:t xml:space="preserve">(c) </w:t>
      </w:r>
      <w:r>
        <w:rPr>
          <w:rFonts w:ascii="Times New Roman" w:hAnsi="Times New Roman"/>
          <w:b/>
          <w:color w:val="1F2937"/>
          <w:sz w:val="20"/>
        </w:rPr>
        <w:t>Permissible Uses.</w:t>
      </w:r>
      <w:r>
        <w:rPr>
          <w:rFonts w:ascii="Times New Roman" w:hAnsi="Times New Roman"/>
          <w:b w:val="0"/>
          <w:color w:val="1F2937"/>
          <w:sz w:val="20"/>
        </w:rPr>
        <w:t xml:space="preserve"> Grants may support:</w:t>
      </w:r>
    </w:p>
    <w:p>
      <w:pPr>
        <w:pStyle w:val="LegalLevel2"/>
      </w:pPr>
      <w:r>
        <w:rPr>
          <w:rFonts w:ascii="Times New Roman" w:hAnsi="Times New Roman"/>
          <w:b w:val="0"/>
          <w:color w:val="1F2937"/>
          <w:sz w:val="20"/>
        </w:rPr>
        <w:t>1. age-appropriate media literacy beginning in elementary school;</w:t>
      </w:r>
    </w:p>
    <w:p>
      <w:pPr>
        <w:pStyle w:val="LegalLevel2"/>
      </w:pPr>
      <w:r>
        <w:rPr>
          <w:rFonts w:ascii="Times New Roman" w:hAnsi="Times New Roman"/>
          <w:b w:val="0"/>
          <w:color w:val="1F2937"/>
          <w:sz w:val="20"/>
        </w:rPr>
        <w:t>2. source evaluation;</w:t>
      </w:r>
    </w:p>
    <w:p>
      <w:pPr>
        <w:pStyle w:val="LegalLevel2"/>
      </w:pPr>
      <w:r>
        <w:rPr>
          <w:rFonts w:ascii="Times New Roman" w:hAnsi="Times New Roman"/>
          <w:b w:val="0"/>
          <w:color w:val="1F2937"/>
          <w:sz w:val="20"/>
        </w:rPr>
        <w:t>3. distinction between advertising, sponsored content, opinion, analysis, satire, news reporting, and synthetic media;</w:t>
      </w:r>
    </w:p>
    <w:p>
      <w:pPr>
        <w:pStyle w:val="LegalLevel2"/>
      </w:pPr>
      <w:r>
        <w:rPr>
          <w:rFonts w:ascii="Times New Roman" w:hAnsi="Times New Roman"/>
          <w:b w:val="0"/>
          <w:color w:val="1F2937"/>
          <w:sz w:val="20"/>
        </w:rPr>
        <w:t>4. understanding algorithms and digital attention systems;</w:t>
      </w:r>
    </w:p>
    <w:p>
      <w:pPr>
        <w:pStyle w:val="LegalLevel2"/>
      </w:pPr>
      <w:r>
        <w:rPr>
          <w:rFonts w:ascii="Times New Roman" w:hAnsi="Times New Roman"/>
          <w:b w:val="0"/>
          <w:color w:val="1F2937"/>
          <w:sz w:val="20"/>
        </w:rPr>
        <w:t>5. recognizing fake engagement and undisclosed paid influence;</w:t>
      </w:r>
    </w:p>
    <w:p>
      <w:pPr>
        <w:pStyle w:val="LegalLevel2"/>
      </w:pPr>
      <w:r>
        <w:rPr>
          <w:rFonts w:ascii="Times New Roman" w:hAnsi="Times New Roman"/>
          <w:b w:val="0"/>
          <w:color w:val="1F2937"/>
          <w:sz w:val="20"/>
        </w:rPr>
        <w:t>6. privacy and data literacy;</w:t>
      </w:r>
    </w:p>
    <w:p>
      <w:pPr>
        <w:pStyle w:val="LegalLevel2"/>
      </w:pPr>
      <w:r>
        <w:rPr>
          <w:rFonts w:ascii="Times New Roman" w:hAnsi="Times New Roman"/>
          <w:b w:val="0"/>
          <w:color w:val="1F2937"/>
          <w:sz w:val="20"/>
        </w:rPr>
        <w:t>7. civil disagreement and evidence evaluation;</w:t>
      </w:r>
    </w:p>
    <w:p>
      <w:pPr>
        <w:pStyle w:val="LegalLevel2"/>
      </w:pPr>
      <w:r>
        <w:rPr>
          <w:rFonts w:ascii="Times New Roman" w:hAnsi="Times New Roman"/>
          <w:b w:val="0"/>
          <w:color w:val="1F2937"/>
          <w:sz w:val="20"/>
        </w:rPr>
        <w:t>8. teacher and librarian training;</w:t>
      </w:r>
    </w:p>
    <w:p>
      <w:pPr>
        <w:pStyle w:val="LegalLevel2"/>
      </w:pPr>
      <w:r>
        <w:rPr>
          <w:rFonts w:ascii="Times New Roman" w:hAnsi="Times New Roman"/>
          <w:b w:val="0"/>
          <w:color w:val="1F2937"/>
          <w:sz w:val="20"/>
        </w:rPr>
        <w:t>9. family and community education;</w:t>
      </w:r>
    </w:p>
    <w:p>
      <w:pPr>
        <w:pStyle w:val="LegalLevel2"/>
      </w:pPr>
      <w:r>
        <w:rPr>
          <w:rFonts w:ascii="Times New Roman" w:hAnsi="Times New Roman"/>
          <w:b w:val="0"/>
          <w:color w:val="1F2937"/>
          <w:sz w:val="20"/>
        </w:rPr>
        <w:t>10. accessibility for students with disabilities and English learners.</w:t>
      </w:r>
    </w:p>
    <w:p>
      <w:pPr>
        <w:pStyle w:val="SectionHeading"/>
      </w:pPr>
      <w:r>
        <w:rPr>
          <w:rFonts w:ascii="Calibri" w:hAnsi="Calibri"/>
          <w:b/>
          <w:color w:val="0B2545"/>
          <w:sz w:val="19"/>
        </w:rPr>
        <w:t>SEC. 902. CURRICULUM GUARDRAILS.</w:t>
      </w:r>
    </w:p>
    <w:p>
      <w:pPr>
        <w:pStyle w:val="LegalLevel1"/>
      </w:pPr>
      <w:r>
        <w:rPr>
          <w:rFonts w:ascii="Times New Roman" w:hAnsi="Times New Roman"/>
          <w:b w:val="0"/>
          <w:color w:val="1F2937"/>
          <w:sz w:val="20"/>
        </w:rPr>
        <w:t xml:space="preserve">(a) </w:t>
      </w:r>
      <w:r>
        <w:rPr>
          <w:rFonts w:ascii="Times New Roman" w:hAnsi="Times New Roman"/>
          <w:b/>
          <w:color w:val="1F2937"/>
          <w:sz w:val="20"/>
        </w:rPr>
        <w:t>Viewpoint Neutrality.</w:t>
      </w:r>
      <w:r>
        <w:rPr>
          <w:rFonts w:ascii="Times New Roman" w:hAnsi="Times New Roman"/>
          <w:b w:val="0"/>
          <w:color w:val="1F2937"/>
          <w:sz w:val="20"/>
        </w:rPr>
        <w:t xml:space="preserve"> Curriculum funded under this title shall not promote, oppose, endorse, or penalize any political party, candidate, religion, ideology, lawful viewpoint, or position on public policy.</w:t>
      </w:r>
    </w:p>
    <w:p>
      <w:pPr>
        <w:pStyle w:val="LegalLevel1"/>
      </w:pPr>
      <w:r>
        <w:rPr>
          <w:rFonts w:ascii="Times New Roman" w:hAnsi="Times New Roman"/>
          <w:b w:val="0"/>
          <w:color w:val="1F2937"/>
          <w:sz w:val="20"/>
        </w:rPr>
        <w:t xml:space="preserve">(b) </w:t>
      </w:r>
      <w:r>
        <w:rPr>
          <w:rFonts w:ascii="Times New Roman" w:hAnsi="Times New Roman"/>
          <w:b/>
          <w:color w:val="1F2937"/>
          <w:sz w:val="20"/>
        </w:rPr>
        <w:t>No Official Truth Lists.</w:t>
      </w:r>
      <w:r>
        <w:rPr>
          <w:rFonts w:ascii="Times New Roman" w:hAnsi="Times New Roman"/>
          <w:b w:val="0"/>
          <w:color w:val="1F2937"/>
          <w:sz w:val="20"/>
        </w:rPr>
        <w:t xml:space="preserve"> Curriculum may teach methods for evaluating sources and claims but may not require students to accept a government list of approved or disapproved speakers, publications, or viewpoints.</w:t>
      </w:r>
    </w:p>
    <w:p>
      <w:pPr>
        <w:pStyle w:val="LegalLevel1"/>
      </w:pPr>
      <w:r>
        <w:rPr>
          <w:rFonts w:ascii="Times New Roman" w:hAnsi="Times New Roman"/>
          <w:b w:val="0"/>
          <w:color w:val="1F2937"/>
          <w:sz w:val="20"/>
        </w:rPr>
        <w:t xml:space="preserve">(c) </w:t>
      </w:r>
      <w:r>
        <w:rPr>
          <w:rFonts w:ascii="Times New Roman" w:hAnsi="Times New Roman"/>
          <w:b/>
          <w:color w:val="1F2937"/>
          <w:sz w:val="20"/>
        </w:rPr>
        <w:t>Local Control.</w:t>
      </w:r>
      <w:r>
        <w:rPr>
          <w:rFonts w:ascii="Times New Roman" w:hAnsi="Times New Roman"/>
          <w:b w:val="0"/>
          <w:color w:val="1F2937"/>
          <w:sz w:val="20"/>
        </w:rPr>
        <w:t xml:space="preserve"> Nothing in this title authorizes the Secretary of Education to mandate a national curriculum.</w:t>
      </w:r>
    </w:p>
    <w:p>
      <w:pPr>
        <w:pStyle w:val="SectionHeading"/>
      </w:pPr>
      <w:r>
        <w:rPr>
          <w:rFonts w:ascii="Calibri" w:hAnsi="Calibri"/>
          <w:b/>
          <w:color w:val="0B2545"/>
          <w:sz w:val="19"/>
        </w:rPr>
        <w:t>SEC. 903. TEACHER, LIBRARIAN, AND COMMUNITY TRAINING.</w:t>
      </w:r>
    </w:p>
    <w:p>
      <w:pPr>
        <w:pStyle w:val="LegalBody"/>
      </w:pPr>
      <w:r>
        <w:rPr>
          <w:rFonts w:ascii="Times New Roman" w:hAnsi="Times New Roman"/>
          <w:b w:val="0"/>
          <w:color w:val="1F2937"/>
          <w:sz w:val="20"/>
        </w:rPr>
        <w:t>The Secretary of Education shall prioritize grants that provide practical training to teachers, librarians, school counselors, youth workers, and community educators.</w:t>
      </w:r>
    </w:p>
    <w:p>
      <w:pPr>
        <w:pStyle w:val="SectionHeading"/>
      </w:pPr>
      <w:r>
        <w:rPr>
          <w:rFonts w:ascii="Calibri" w:hAnsi="Calibri"/>
          <w:b/>
          <w:color w:val="0B2545"/>
          <w:sz w:val="19"/>
        </w:rPr>
        <w:t>SEC. 904. ADULT AND SENIOR MEDIA-LITERACY PROGRAMS.</w:t>
      </w:r>
    </w:p>
    <w:p>
      <w:pPr>
        <w:pStyle w:val="LegalBody"/>
      </w:pPr>
      <w:r>
        <w:rPr>
          <w:rFonts w:ascii="Times New Roman" w:hAnsi="Times New Roman"/>
          <w:b w:val="0"/>
          <w:color w:val="1F2937"/>
          <w:sz w:val="20"/>
        </w:rPr>
        <w:t>The Institute of Museum and Library Services shall administer grants for adult and senior media-literacy programs through public libraries, community colleges, senior centers, veterans organizations, and community nonprofits.</w:t>
      </w:r>
    </w:p>
    <w:p>
      <w:pPr>
        <w:pStyle w:val="SectionHeading"/>
      </w:pPr>
      <w:r>
        <w:rPr>
          <w:rFonts w:ascii="Calibri" w:hAnsi="Calibri"/>
          <w:b/>
          <w:color w:val="0B2545"/>
          <w:sz w:val="19"/>
        </w:rPr>
        <w:t>SEC. 905. EVALUATION AND REPORTING.</w:t>
      </w:r>
    </w:p>
    <w:p>
      <w:pPr>
        <w:pStyle w:val="LegalBody"/>
      </w:pPr>
      <w:r>
        <w:rPr>
          <w:rFonts w:ascii="Times New Roman" w:hAnsi="Times New Roman"/>
          <w:b w:val="0"/>
          <w:color w:val="1F2937"/>
          <w:sz w:val="20"/>
        </w:rPr>
        <w:t>Grant recipients shall report aggregate outcomes, including participation, curriculum adoption, educator training, and evidence of improved media-literacy competencies, without collecting unnecessary personal information.</w:t>
      </w:r>
    </w:p>
    <w:p>
      <w:pPr>
        <w:pStyle w:val="Heading1Custom"/>
      </w:pPr>
      <w:r>
        <w:rPr>
          <w:rFonts w:ascii="Calibri" w:hAnsi="Calibri"/>
          <w:b/>
          <w:color w:val="2E74B5"/>
          <w:sz w:val="32"/>
        </w:rPr>
        <w:t>TITLE X. PUBLIC-INTEREST JOURNALISM AND CIVIC INFORMATION SUPPORT</w:t>
      </w:r>
    </w:p>
    <w:p>
      <w:pPr>
        <w:pStyle w:val="SectionHeading"/>
      </w:pPr>
      <w:r>
        <w:rPr>
          <w:rFonts w:ascii="Calibri" w:hAnsi="Calibri"/>
          <w:b/>
          <w:color w:val="0B2545"/>
          <w:sz w:val="19"/>
        </w:rPr>
        <w:t>SEC. 1001. PUBLIC INTEREST JOURNALISM FUND.</w:t>
      </w:r>
    </w:p>
    <w:p>
      <w:pPr>
        <w:pStyle w:val="LegalLevel1"/>
      </w:pPr>
      <w:r>
        <w:rPr>
          <w:rFonts w:ascii="Times New Roman" w:hAnsi="Times New Roman"/>
          <w:b w:val="0"/>
          <w:color w:val="1F2937"/>
          <w:sz w:val="20"/>
        </w:rPr>
        <w:t xml:space="preserve">(a) </w:t>
      </w:r>
      <w:r>
        <w:rPr>
          <w:rFonts w:ascii="Times New Roman" w:hAnsi="Times New Roman"/>
          <w:b/>
          <w:color w:val="1F2937"/>
          <w:sz w:val="20"/>
        </w:rPr>
        <w:t>Establishment.</w:t>
      </w:r>
      <w:r>
        <w:rPr>
          <w:rFonts w:ascii="Times New Roman" w:hAnsi="Times New Roman"/>
          <w:b w:val="0"/>
          <w:color w:val="1F2937"/>
          <w:sz w:val="20"/>
        </w:rPr>
        <w:t xml:space="preserve"> There is established in the Treasury the Public Interest Journalism Fund.</w:t>
      </w:r>
    </w:p>
    <w:p>
      <w:pPr>
        <w:pStyle w:val="LegalLevel1"/>
      </w:pPr>
      <w:r>
        <w:rPr>
          <w:rFonts w:ascii="Times New Roman" w:hAnsi="Times New Roman"/>
          <w:b w:val="0"/>
          <w:color w:val="1F2937"/>
          <w:sz w:val="20"/>
        </w:rPr>
        <w:t xml:space="preserve">(b) </w:t>
      </w:r>
      <w:r>
        <w:rPr>
          <w:rFonts w:ascii="Times New Roman" w:hAnsi="Times New Roman"/>
          <w:b/>
          <w:color w:val="1F2937"/>
          <w:sz w:val="20"/>
        </w:rPr>
        <w:t>Purpose.</w:t>
      </w:r>
      <w:r>
        <w:rPr>
          <w:rFonts w:ascii="Times New Roman" w:hAnsi="Times New Roman"/>
          <w:b w:val="0"/>
          <w:color w:val="1F2937"/>
          <w:sz w:val="20"/>
        </w:rPr>
        <w:t xml:space="preserve"> The Fund shall support viewpoint-neutral grants, fellowships, tax credits, public records assistance, civic information infrastructure, and local journalism capacity.</w:t>
      </w:r>
    </w:p>
    <w:p>
      <w:pPr>
        <w:pStyle w:val="LegalLevel1"/>
      </w:pPr>
      <w:r>
        <w:rPr>
          <w:rFonts w:ascii="Times New Roman" w:hAnsi="Times New Roman"/>
          <w:b w:val="0"/>
          <w:color w:val="1F2937"/>
          <w:sz w:val="20"/>
        </w:rPr>
        <w:t xml:space="preserve">(c) </w:t>
      </w:r>
      <w:r>
        <w:rPr>
          <w:rFonts w:ascii="Times New Roman" w:hAnsi="Times New Roman"/>
          <w:b/>
          <w:color w:val="1F2937"/>
          <w:sz w:val="20"/>
        </w:rPr>
        <w:t>Administration.</w:t>
      </w:r>
      <w:r>
        <w:rPr>
          <w:rFonts w:ascii="Times New Roman" w:hAnsi="Times New Roman"/>
          <w:b w:val="0"/>
          <w:color w:val="1F2937"/>
          <w:sz w:val="20"/>
        </w:rPr>
        <w:t xml:space="preserve"> The Fund shall be administered by the Public Interest Journalism Board established under section 1002.</w:t>
      </w:r>
    </w:p>
    <w:p>
      <w:pPr>
        <w:pStyle w:val="SectionHeading"/>
      </w:pPr>
      <w:r>
        <w:rPr>
          <w:rFonts w:ascii="Calibri" w:hAnsi="Calibri"/>
          <w:b/>
          <w:color w:val="0B2545"/>
          <w:sz w:val="19"/>
        </w:rPr>
        <w:t>SEC. 1002. INDEPENDENT BOARD AND EDITORIAL FIREWALL.</w:t>
      </w:r>
    </w:p>
    <w:p>
      <w:pPr>
        <w:pStyle w:val="LegalLevel1"/>
      </w:pPr>
      <w:r>
        <w:rPr>
          <w:rFonts w:ascii="Times New Roman" w:hAnsi="Times New Roman"/>
          <w:b w:val="0"/>
          <w:color w:val="1F2937"/>
          <w:sz w:val="20"/>
        </w:rPr>
        <w:t xml:space="preserve">(a) </w:t>
      </w:r>
      <w:r>
        <w:rPr>
          <w:rFonts w:ascii="Times New Roman" w:hAnsi="Times New Roman"/>
          <w:b/>
          <w:color w:val="1F2937"/>
          <w:sz w:val="20"/>
        </w:rPr>
        <w:t>Board Established.</w:t>
      </w:r>
      <w:r>
        <w:rPr>
          <w:rFonts w:ascii="Times New Roman" w:hAnsi="Times New Roman"/>
          <w:b w:val="0"/>
          <w:color w:val="1F2937"/>
          <w:sz w:val="20"/>
        </w:rPr>
        <w:t xml:space="preserve"> There is established an independent Public Interest Journalism Board.</w:t>
      </w:r>
    </w:p>
    <w:p>
      <w:pPr>
        <w:pStyle w:val="LegalLevel1"/>
      </w:pPr>
      <w:r>
        <w:rPr>
          <w:rFonts w:ascii="Times New Roman" w:hAnsi="Times New Roman"/>
          <w:b w:val="0"/>
          <w:color w:val="1F2937"/>
          <w:sz w:val="20"/>
        </w:rPr>
        <w:t xml:space="preserve">(b) </w:t>
      </w:r>
      <w:r>
        <w:rPr>
          <w:rFonts w:ascii="Times New Roman" w:hAnsi="Times New Roman"/>
          <w:b/>
          <w:color w:val="1F2937"/>
          <w:sz w:val="20"/>
        </w:rPr>
        <w:t>Composition.</w:t>
      </w:r>
      <w:r>
        <w:rPr>
          <w:rFonts w:ascii="Times New Roman" w:hAnsi="Times New Roman"/>
          <w:b w:val="0"/>
          <w:color w:val="1F2937"/>
          <w:sz w:val="20"/>
        </w:rPr>
        <w:t xml:space="preserve"> The Board shall consist of 11 members appointed by the President with the advice and consent of the Senate, including individuals with experience in journalism, local news, nonprofit governance, public media, libraries, First Amendment law, rural communities, tribal communities, media literacy, financial management, and technology.</w:t>
      </w:r>
    </w:p>
    <w:p>
      <w:pPr>
        <w:pStyle w:val="LegalLevel1"/>
      </w:pPr>
      <w:r>
        <w:rPr>
          <w:rFonts w:ascii="Times New Roman" w:hAnsi="Times New Roman"/>
          <w:b w:val="0"/>
          <w:color w:val="1F2937"/>
          <w:sz w:val="20"/>
        </w:rPr>
        <w:t xml:space="preserve">(c) </w:t>
      </w:r>
      <w:r>
        <w:rPr>
          <w:rFonts w:ascii="Times New Roman" w:hAnsi="Times New Roman"/>
          <w:b/>
          <w:color w:val="1F2937"/>
          <w:sz w:val="20"/>
        </w:rPr>
        <w:t>Political Balance.</w:t>
      </w:r>
      <w:r>
        <w:rPr>
          <w:rFonts w:ascii="Times New Roman" w:hAnsi="Times New Roman"/>
          <w:b w:val="0"/>
          <w:color w:val="1F2937"/>
          <w:sz w:val="20"/>
        </w:rPr>
        <w:t xml:space="preserve"> Not more than 6 members may be affiliated with the same political party.</w:t>
      </w:r>
    </w:p>
    <w:p>
      <w:pPr>
        <w:pStyle w:val="LegalLevel1"/>
      </w:pPr>
      <w:r>
        <w:rPr>
          <w:rFonts w:ascii="Times New Roman" w:hAnsi="Times New Roman"/>
          <w:b w:val="0"/>
          <w:color w:val="1F2937"/>
          <w:sz w:val="20"/>
        </w:rPr>
        <w:t xml:space="preserve">(d) </w:t>
      </w:r>
      <w:r>
        <w:rPr>
          <w:rFonts w:ascii="Times New Roman" w:hAnsi="Times New Roman"/>
          <w:b/>
          <w:color w:val="1F2937"/>
          <w:sz w:val="20"/>
        </w:rPr>
        <w:t>Editorial Firewall.</w:t>
      </w:r>
      <w:r>
        <w:rPr>
          <w:rFonts w:ascii="Times New Roman" w:hAnsi="Times New Roman"/>
          <w:b w:val="0"/>
          <w:color w:val="1F2937"/>
          <w:sz w:val="20"/>
        </w:rPr>
        <w:t xml:space="preserve"> The Board, federal agencies, and grant administrators may not direct, supervise, approve, disapprove, preview, alter, suppress, retaliate against, or otherwise influence editorial content.</w:t>
      </w:r>
    </w:p>
    <w:p>
      <w:pPr>
        <w:pStyle w:val="LegalLevel1"/>
      </w:pPr>
      <w:r>
        <w:rPr>
          <w:rFonts w:ascii="Times New Roman" w:hAnsi="Times New Roman"/>
          <w:b w:val="0"/>
          <w:color w:val="1F2937"/>
          <w:sz w:val="20"/>
        </w:rPr>
        <w:t xml:space="preserve">(e) </w:t>
      </w:r>
      <w:r>
        <w:rPr>
          <w:rFonts w:ascii="Times New Roman" w:hAnsi="Times New Roman"/>
          <w:b/>
          <w:color w:val="1F2937"/>
          <w:sz w:val="20"/>
        </w:rPr>
        <w:t>Term.</w:t>
      </w:r>
      <w:r>
        <w:rPr>
          <w:rFonts w:ascii="Times New Roman" w:hAnsi="Times New Roman"/>
          <w:b w:val="0"/>
          <w:color w:val="1F2937"/>
          <w:sz w:val="20"/>
        </w:rPr>
        <w:t xml:space="preserve"> Members shall serve staggered 6-year terms.</w:t>
      </w:r>
    </w:p>
    <w:p>
      <w:pPr>
        <w:pStyle w:val="SectionHeading"/>
      </w:pPr>
      <w:r>
        <w:rPr>
          <w:rFonts w:ascii="Calibri" w:hAnsi="Calibri"/>
          <w:b/>
          <w:color w:val="0B2545"/>
          <w:sz w:val="19"/>
        </w:rPr>
        <w:t>SEC. 1003. ELIGIBLE USES.</w:t>
      </w:r>
    </w:p>
    <w:p>
      <w:pPr>
        <w:pStyle w:val="LegalBody"/>
      </w:pPr>
      <w:r>
        <w:rPr>
          <w:rFonts w:ascii="Times New Roman" w:hAnsi="Times New Roman"/>
          <w:b w:val="0"/>
          <w:color w:val="1F2937"/>
          <w:sz w:val="20"/>
        </w:rPr>
        <w:t>Funds may be used for:</w:t>
      </w:r>
    </w:p>
    <w:p>
      <w:pPr>
        <w:pStyle w:val="LegalLevel2"/>
      </w:pPr>
      <w:r>
        <w:rPr>
          <w:rFonts w:ascii="Times New Roman" w:hAnsi="Times New Roman"/>
          <w:b w:val="0"/>
          <w:color w:val="1F2937"/>
          <w:sz w:val="20"/>
        </w:rPr>
        <w:t>1. local reporting positions;</w:t>
      </w:r>
    </w:p>
    <w:p>
      <w:pPr>
        <w:pStyle w:val="LegalLevel2"/>
      </w:pPr>
      <w:r>
        <w:rPr>
          <w:rFonts w:ascii="Times New Roman" w:hAnsi="Times New Roman"/>
          <w:b w:val="0"/>
          <w:color w:val="1F2937"/>
          <w:sz w:val="20"/>
        </w:rPr>
        <w:t>2. court, school board, city council, county, tribal, statehouse, and public-agency coverage;</w:t>
      </w:r>
    </w:p>
    <w:p>
      <w:pPr>
        <w:pStyle w:val="LegalLevel2"/>
      </w:pPr>
      <w:r>
        <w:rPr>
          <w:rFonts w:ascii="Times New Roman" w:hAnsi="Times New Roman"/>
          <w:b w:val="0"/>
          <w:color w:val="1F2937"/>
          <w:sz w:val="20"/>
        </w:rPr>
        <w:t>3. investigative reporting;</w:t>
      </w:r>
    </w:p>
    <w:p>
      <w:pPr>
        <w:pStyle w:val="LegalLevel2"/>
      </w:pPr>
      <w:r>
        <w:rPr>
          <w:rFonts w:ascii="Times New Roman" w:hAnsi="Times New Roman"/>
          <w:b w:val="0"/>
          <w:color w:val="1F2937"/>
          <w:sz w:val="20"/>
        </w:rPr>
        <w:t>4. public records litigation and access;</w:t>
      </w:r>
    </w:p>
    <w:p>
      <w:pPr>
        <w:pStyle w:val="LegalLevel2"/>
      </w:pPr>
      <w:r>
        <w:rPr>
          <w:rFonts w:ascii="Times New Roman" w:hAnsi="Times New Roman"/>
          <w:b w:val="0"/>
          <w:color w:val="1F2937"/>
          <w:sz w:val="20"/>
        </w:rPr>
        <w:t>5. translation and accessibility;</w:t>
      </w:r>
    </w:p>
    <w:p>
      <w:pPr>
        <w:pStyle w:val="LegalLevel2"/>
      </w:pPr>
      <w:r>
        <w:rPr>
          <w:rFonts w:ascii="Times New Roman" w:hAnsi="Times New Roman"/>
          <w:b w:val="0"/>
          <w:color w:val="1F2937"/>
          <w:sz w:val="20"/>
        </w:rPr>
        <w:t>6. rural and underserved community reporting;</w:t>
      </w:r>
    </w:p>
    <w:p>
      <w:pPr>
        <w:pStyle w:val="LegalLevel2"/>
      </w:pPr>
      <w:r>
        <w:rPr>
          <w:rFonts w:ascii="Times New Roman" w:hAnsi="Times New Roman"/>
          <w:b w:val="0"/>
          <w:color w:val="1F2937"/>
          <w:sz w:val="20"/>
        </w:rPr>
        <w:t>7. emergency and disaster information;</w:t>
      </w:r>
    </w:p>
    <w:p>
      <w:pPr>
        <w:pStyle w:val="LegalLevel2"/>
      </w:pPr>
      <w:r>
        <w:rPr>
          <w:rFonts w:ascii="Times New Roman" w:hAnsi="Times New Roman"/>
          <w:b w:val="0"/>
          <w:color w:val="1F2937"/>
          <w:sz w:val="20"/>
        </w:rPr>
        <w:t>8. newsroom cybersecurity;</w:t>
      </w:r>
    </w:p>
    <w:p>
      <w:pPr>
        <w:pStyle w:val="LegalLevel2"/>
      </w:pPr>
      <w:r>
        <w:rPr>
          <w:rFonts w:ascii="Times New Roman" w:hAnsi="Times New Roman"/>
          <w:b w:val="0"/>
          <w:color w:val="1F2937"/>
          <w:sz w:val="20"/>
        </w:rPr>
        <w:t>9. journalism apprenticeships;</w:t>
      </w:r>
    </w:p>
    <w:p>
      <w:pPr>
        <w:pStyle w:val="LegalLevel2"/>
      </w:pPr>
      <w:r>
        <w:rPr>
          <w:rFonts w:ascii="Times New Roman" w:hAnsi="Times New Roman"/>
          <w:b w:val="0"/>
          <w:color w:val="1F2937"/>
          <w:sz w:val="20"/>
        </w:rPr>
        <w:t>10. civic data infrastructure;</w:t>
      </w:r>
    </w:p>
    <w:p>
      <w:pPr>
        <w:pStyle w:val="LegalLevel2"/>
      </w:pPr>
      <w:r>
        <w:rPr>
          <w:rFonts w:ascii="Times New Roman" w:hAnsi="Times New Roman"/>
          <w:b w:val="0"/>
          <w:color w:val="1F2937"/>
          <w:sz w:val="20"/>
        </w:rPr>
        <w:t>11. nonprofit newsroom capacity;</w:t>
      </w:r>
    </w:p>
    <w:p>
      <w:pPr>
        <w:pStyle w:val="LegalLevel2"/>
      </w:pPr>
      <w:r>
        <w:rPr>
          <w:rFonts w:ascii="Times New Roman" w:hAnsi="Times New Roman"/>
          <w:b w:val="0"/>
          <w:color w:val="1F2937"/>
          <w:sz w:val="20"/>
        </w:rPr>
        <w:t>12. public media local reporting.</w:t>
      </w:r>
    </w:p>
    <w:p>
      <w:pPr>
        <w:pStyle w:val="SectionHeading"/>
      </w:pPr>
      <w:r>
        <w:rPr>
          <w:rFonts w:ascii="Calibri" w:hAnsi="Calibri"/>
          <w:b/>
          <w:color w:val="0B2545"/>
          <w:sz w:val="19"/>
        </w:rPr>
        <w:t>SEC. 1004. VIEWPOINT-NEUTRAL GRANT CRITERIA.</w:t>
      </w:r>
    </w:p>
    <w:p>
      <w:pPr>
        <w:pStyle w:val="LegalLevel1"/>
      </w:pPr>
      <w:r>
        <w:rPr>
          <w:rFonts w:ascii="Times New Roman" w:hAnsi="Times New Roman"/>
          <w:b w:val="0"/>
          <w:color w:val="1F2937"/>
          <w:sz w:val="20"/>
        </w:rPr>
        <w:t xml:space="preserve">(a) </w:t>
      </w:r>
      <w:r>
        <w:rPr>
          <w:rFonts w:ascii="Times New Roman" w:hAnsi="Times New Roman"/>
          <w:b/>
          <w:color w:val="1F2937"/>
          <w:sz w:val="20"/>
        </w:rPr>
        <w:t>Criteria.</w:t>
      </w:r>
      <w:r>
        <w:rPr>
          <w:rFonts w:ascii="Times New Roman" w:hAnsi="Times New Roman"/>
          <w:b w:val="0"/>
          <w:color w:val="1F2937"/>
          <w:sz w:val="20"/>
        </w:rPr>
        <w:t xml:space="preserve"> Grants shall be awarded based on objective criteria, including:</w:t>
      </w:r>
    </w:p>
    <w:p>
      <w:pPr>
        <w:pStyle w:val="LegalLevel2"/>
      </w:pPr>
      <w:r>
        <w:rPr>
          <w:rFonts w:ascii="Times New Roman" w:hAnsi="Times New Roman"/>
          <w:b w:val="0"/>
          <w:color w:val="1F2937"/>
          <w:sz w:val="20"/>
        </w:rPr>
        <w:t>1. local information need;</w:t>
      </w:r>
    </w:p>
    <w:p>
      <w:pPr>
        <w:pStyle w:val="LegalLevel2"/>
      </w:pPr>
      <w:r>
        <w:rPr>
          <w:rFonts w:ascii="Times New Roman" w:hAnsi="Times New Roman"/>
          <w:b w:val="0"/>
          <w:color w:val="1F2937"/>
          <w:sz w:val="20"/>
        </w:rPr>
        <w:t>2. demonstrated reporting capacity;</w:t>
      </w:r>
    </w:p>
    <w:p>
      <w:pPr>
        <w:pStyle w:val="LegalLevel2"/>
      </w:pPr>
      <w:r>
        <w:rPr>
          <w:rFonts w:ascii="Times New Roman" w:hAnsi="Times New Roman"/>
          <w:b w:val="0"/>
          <w:color w:val="1F2937"/>
          <w:sz w:val="20"/>
        </w:rPr>
        <w:t>3. editorial independence;</w:t>
      </w:r>
    </w:p>
    <w:p>
      <w:pPr>
        <w:pStyle w:val="LegalLevel2"/>
      </w:pPr>
      <w:r>
        <w:rPr>
          <w:rFonts w:ascii="Times New Roman" w:hAnsi="Times New Roman"/>
          <w:b w:val="0"/>
          <w:color w:val="1F2937"/>
          <w:sz w:val="20"/>
        </w:rPr>
        <w:t>4. financial need;</w:t>
      </w:r>
    </w:p>
    <w:p>
      <w:pPr>
        <w:pStyle w:val="LegalLevel2"/>
      </w:pPr>
      <w:r>
        <w:rPr>
          <w:rFonts w:ascii="Times New Roman" w:hAnsi="Times New Roman"/>
          <w:b w:val="0"/>
          <w:color w:val="1F2937"/>
          <w:sz w:val="20"/>
        </w:rPr>
        <w:t>5. community service;</w:t>
      </w:r>
    </w:p>
    <w:p>
      <w:pPr>
        <w:pStyle w:val="LegalLevel2"/>
      </w:pPr>
      <w:r>
        <w:rPr>
          <w:rFonts w:ascii="Times New Roman" w:hAnsi="Times New Roman"/>
          <w:b w:val="0"/>
          <w:color w:val="1F2937"/>
          <w:sz w:val="20"/>
        </w:rPr>
        <w:t>6. transparency of ownership and funding;</w:t>
      </w:r>
    </w:p>
    <w:p>
      <w:pPr>
        <w:pStyle w:val="LegalLevel2"/>
      </w:pPr>
      <w:r>
        <w:rPr>
          <w:rFonts w:ascii="Times New Roman" w:hAnsi="Times New Roman"/>
          <w:b w:val="0"/>
          <w:color w:val="1F2937"/>
          <w:sz w:val="20"/>
        </w:rPr>
        <w:t>7. correction policy;</w:t>
      </w:r>
    </w:p>
    <w:p>
      <w:pPr>
        <w:pStyle w:val="LegalLevel2"/>
      </w:pPr>
      <w:r>
        <w:rPr>
          <w:rFonts w:ascii="Times New Roman" w:hAnsi="Times New Roman"/>
          <w:b w:val="0"/>
          <w:color w:val="1F2937"/>
          <w:sz w:val="20"/>
        </w:rPr>
        <w:t>8. non-discrimination compliance;</w:t>
      </w:r>
    </w:p>
    <w:p>
      <w:pPr>
        <w:pStyle w:val="LegalLevel2"/>
      </w:pPr>
      <w:r>
        <w:rPr>
          <w:rFonts w:ascii="Times New Roman" w:hAnsi="Times New Roman"/>
          <w:b w:val="0"/>
          <w:color w:val="1F2937"/>
          <w:sz w:val="20"/>
        </w:rPr>
        <w:t>9. sustainability plan;</w:t>
      </w:r>
    </w:p>
    <w:p>
      <w:pPr>
        <w:pStyle w:val="LegalLevel2"/>
      </w:pPr>
      <w:r>
        <w:rPr>
          <w:rFonts w:ascii="Times New Roman" w:hAnsi="Times New Roman"/>
          <w:b w:val="0"/>
          <w:color w:val="1F2937"/>
          <w:sz w:val="20"/>
        </w:rPr>
        <w:t>10. avoidance of conflicts of interest.</w:t>
      </w:r>
    </w:p>
    <w:p>
      <w:pPr>
        <w:pStyle w:val="LegalLevel1"/>
      </w:pPr>
      <w:r>
        <w:rPr>
          <w:rFonts w:ascii="Times New Roman" w:hAnsi="Times New Roman"/>
          <w:b w:val="0"/>
          <w:color w:val="1F2937"/>
          <w:sz w:val="20"/>
        </w:rPr>
        <w:t xml:space="preserve">(b) </w:t>
      </w:r>
      <w:r>
        <w:rPr>
          <w:rFonts w:ascii="Times New Roman" w:hAnsi="Times New Roman"/>
          <w:b/>
          <w:color w:val="1F2937"/>
          <w:sz w:val="20"/>
        </w:rPr>
        <w:t>Prohibited Criteria.</w:t>
      </w:r>
      <w:r>
        <w:rPr>
          <w:rFonts w:ascii="Times New Roman" w:hAnsi="Times New Roman"/>
          <w:b w:val="0"/>
          <w:color w:val="1F2937"/>
          <w:sz w:val="20"/>
        </w:rPr>
        <w:t xml:space="preserve"> Grants may not be awarded or denied based on viewpoint, ideology, party affiliation, endorsement decisions, editorial position, criticism of government, or coverage favorable or unfavorable to any person.</w:t>
      </w:r>
    </w:p>
    <w:p>
      <w:pPr>
        <w:pStyle w:val="SectionHeading"/>
      </w:pPr>
      <w:r>
        <w:rPr>
          <w:rFonts w:ascii="Calibri" w:hAnsi="Calibri"/>
          <w:b/>
          <w:color w:val="0B2545"/>
          <w:sz w:val="19"/>
        </w:rPr>
        <w:t>SEC. 1005. LOCAL JOURNALISM PAYROLL CREDIT.</w:t>
      </w:r>
    </w:p>
    <w:p>
      <w:pPr>
        <w:pStyle w:val="LegalLevel1"/>
      </w:pPr>
      <w:r>
        <w:rPr>
          <w:rFonts w:ascii="Times New Roman" w:hAnsi="Times New Roman"/>
          <w:b w:val="0"/>
          <w:color w:val="1F2937"/>
          <w:sz w:val="20"/>
        </w:rPr>
        <w:t xml:space="preserve">(a) </w:t>
      </w:r>
      <w:r>
        <w:rPr>
          <w:rFonts w:ascii="Times New Roman" w:hAnsi="Times New Roman"/>
          <w:b/>
          <w:color w:val="1F2937"/>
          <w:sz w:val="20"/>
        </w:rPr>
        <w:t>Credit Established.</w:t>
      </w:r>
      <w:r>
        <w:rPr>
          <w:rFonts w:ascii="Times New Roman" w:hAnsi="Times New Roman"/>
          <w:b w:val="0"/>
          <w:color w:val="1F2937"/>
          <w:sz w:val="20"/>
        </w:rPr>
        <w:t xml:space="preserve"> The Internal Revenue Code of 1986 is amended to allow an eligible local journalism employer a refundable payroll tax credit for qualified local journalist wages.</w:t>
      </w:r>
    </w:p>
    <w:p>
      <w:pPr>
        <w:pStyle w:val="LegalLevel1"/>
      </w:pPr>
      <w:r>
        <w:rPr>
          <w:rFonts w:ascii="Times New Roman" w:hAnsi="Times New Roman"/>
          <w:b w:val="0"/>
          <w:color w:val="1F2937"/>
          <w:sz w:val="20"/>
        </w:rPr>
        <w:t xml:space="preserve">(b) </w:t>
      </w:r>
      <w:r>
        <w:rPr>
          <w:rFonts w:ascii="Times New Roman" w:hAnsi="Times New Roman"/>
          <w:b/>
          <w:color w:val="1F2937"/>
          <w:sz w:val="20"/>
        </w:rPr>
        <w:t>Eligible Employer.</w:t>
      </w:r>
      <w:r>
        <w:rPr>
          <w:rFonts w:ascii="Times New Roman" w:hAnsi="Times New Roman"/>
          <w:b w:val="0"/>
          <w:color w:val="1F2937"/>
          <w:sz w:val="20"/>
        </w:rPr>
        <w:t xml:space="preserve"> An eligible local journalism employer is an employer that:</w:t>
      </w:r>
    </w:p>
    <w:p>
      <w:pPr>
        <w:pStyle w:val="LegalLevel2"/>
      </w:pPr>
      <w:r>
        <w:rPr>
          <w:rFonts w:ascii="Times New Roman" w:hAnsi="Times New Roman"/>
          <w:b w:val="0"/>
          <w:color w:val="1F2937"/>
          <w:sz w:val="20"/>
        </w:rPr>
        <w:t>1. produces original local journalism;</w:t>
      </w:r>
    </w:p>
    <w:p>
      <w:pPr>
        <w:pStyle w:val="LegalLevel2"/>
      </w:pPr>
      <w:r>
        <w:rPr>
          <w:rFonts w:ascii="Times New Roman" w:hAnsi="Times New Roman"/>
          <w:b w:val="0"/>
          <w:color w:val="1F2937"/>
          <w:sz w:val="20"/>
        </w:rPr>
        <w:t>2. employs fewer than 750 employees;</w:t>
      </w:r>
    </w:p>
    <w:p>
      <w:pPr>
        <w:pStyle w:val="LegalLevel2"/>
      </w:pPr>
      <w:r>
        <w:rPr>
          <w:rFonts w:ascii="Times New Roman" w:hAnsi="Times New Roman"/>
          <w:b w:val="0"/>
          <w:color w:val="1F2937"/>
          <w:sz w:val="20"/>
        </w:rPr>
        <w:t>3. publicly discloses ownership;</w:t>
      </w:r>
    </w:p>
    <w:p>
      <w:pPr>
        <w:pStyle w:val="LegalLevel2"/>
      </w:pPr>
      <w:r>
        <w:rPr>
          <w:rFonts w:ascii="Times New Roman" w:hAnsi="Times New Roman"/>
          <w:b w:val="0"/>
          <w:color w:val="1F2937"/>
          <w:sz w:val="20"/>
        </w:rPr>
        <w:t>4. maintains editorial independence;</w:t>
      </w:r>
    </w:p>
    <w:p>
      <w:pPr>
        <w:pStyle w:val="LegalLevel2"/>
      </w:pPr>
      <w:r>
        <w:rPr>
          <w:rFonts w:ascii="Times New Roman" w:hAnsi="Times New Roman"/>
          <w:b w:val="0"/>
          <w:color w:val="1F2937"/>
          <w:sz w:val="20"/>
        </w:rPr>
        <w:t>5. is not controlled by a political party, candidate committee, government agency, foreign government, or platform subject to title II.</w:t>
      </w:r>
    </w:p>
    <w:p>
      <w:pPr>
        <w:pStyle w:val="LegalLevel1"/>
      </w:pPr>
      <w:r>
        <w:rPr>
          <w:rFonts w:ascii="Times New Roman" w:hAnsi="Times New Roman"/>
          <w:b w:val="0"/>
          <w:color w:val="1F2937"/>
          <w:sz w:val="20"/>
        </w:rPr>
        <w:t xml:space="preserve">(c) </w:t>
      </w:r>
      <w:r>
        <w:rPr>
          <w:rFonts w:ascii="Times New Roman" w:hAnsi="Times New Roman"/>
          <w:b/>
          <w:color w:val="1F2937"/>
          <w:sz w:val="20"/>
        </w:rPr>
        <w:t>Credit Amount.</w:t>
      </w:r>
      <w:r>
        <w:rPr>
          <w:rFonts w:ascii="Times New Roman" w:hAnsi="Times New Roman"/>
          <w:b w:val="0"/>
          <w:color w:val="1F2937"/>
          <w:sz w:val="20"/>
        </w:rPr>
        <w:t xml:space="preserve"> The credit shall equal 50 percent of the first $60,000 of annual qualified wages paid to each qualified local journalist, reduced to 30 percent after the first 2 years of the employee’s covered service.</w:t>
      </w:r>
    </w:p>
    <w:p>
      <w:pPr>
        <w:pStyle w:val="LegalLevel1"/>
      </w:pPr>
      <w:r>
        <w:rPr>
          <w:rFonts w:ascii="Times New Roman" w:hAnsi="Times New Roman"/>
          <w:b w:val="0"/>
          <w:color w:val="1F2937"/>
          <w:sz w:val="20"/>
        </w:rPr>
        <w:t xml:space="preserve">(d) </w:t>
      </w:r>
      <w:r>
        <w:rPr>
          <w:rFonts w:ascii="Times New Roman" w:hAnsi="Times New Roman"/>
          <w:b/>
          <w:color w:val="1F2937"/>
          <w:sz w:val="20"/>
        </w:rPr>
        <w:t>Sunset.</w:t>
      </w:r>
      <w:r>
        <w:rPr>
          <w:rFonts w:ascii="Times New Roman" w:hAnsi="Times New Roman"/>
          <w:b w:val="0"/>
          <w:color w:val="1F2937"/>
          <w:sz w:val="20"/>
        </w:rPr>
        <w:t xml:space="preserve"> This section shall sunset 10 years after enactment unless reauthorized.</w:t>
      </w:r>
    </w:p>
    <w:p>
      <w:pPr>
        <w:pStyle w:val="SectionHeading"/>
      </w:pPr>
      <w:r>
        <w:rPr>
          <w:rFonts w:ascii="Calibri" w:hAnsi="Calibri"/>
          <w:b/>
          <w:color w:val="0B2545"/>
          <w:sz w:val="19"/>
        </w:rPr>
        <w:t>SEC. 1006. PUBLIC RECORDS AND CIVIC INFORMATION ASSISTANCE.</w:t>
      </w:r>
    </w:p>
    <w:p>
      <w:pPr>
        <w:pStyle w:val="LegalLevel1"/>
      </w:pPr>
      <w:r>
        <w:rPr>
          <w:rFonts w:ascii="Times New Roman" w:hAnsi="Times New Roman"/>
          <w:b w:val="0"/>
          <w:color w:val="1F2937"/>
          <w:sz w:val="20"/>
        </w:rPr>
        <w:t xml:space="preserve">(a) </w:t>
      </w:r>
      <w:r>
        <w:rPr>
          <w:rFonts w:ascii="Times New Roman" w:hAnsi="Times New Roman"/>
          <w:b/>
          <w:color w:val="1F2937"/>
          <w:sz w:val="20"/>
        </w:rPr>
        <w:t>Program.</w:t>
      </w:r>
      <w:r>
        <w:rPr>
          <w:rFonts w:ascii="Times New Roman" w:hAnsi="Times New Roman"/>
          <w:b w:val="0"/>
          <w:color w:val="1F2937"/>
          <w:sz w:val="20"/>
        </w:rPr>
        <w:t xml:space="preserve"> The Board shall fund legal and technical assistance for public records access, open meetings coverage, civic data access, and public-interest records preservation.</w:t>
      </w:r>
    </w:p>
    <w:p>
      <w:pPr>
        <w:pStyle w:val="LegalLevel1"/>
      </w:pPr>
      <w:r>
        <w:rPr>
          <w:rFonts w:ascii="Times New Roman" w:hAnsi="Times New Roman"/>
          <w:b w:val="0"/>
          <w:color w:val="1F2937"/>
          <w:sz w:val="20"/>
        </w:rPr>
        <w:t xml:space="preserve">(b) </w:t>
      </w:r>
      <w:r>
        <w:rPr>
          <w:rFonts w:ascii="Times New Roman" w:hAnsi="Times New Roman"/>
          <w:b/>
          <w:color w:val="1F2937"/>
          <w:sz w:val="20"/>
        </w:rPr>
        <w:t>No Editorial Control.</w:t>
      </w:r>
      <w:r>
        <w:rPr>
          <w:rFonts w:ascii="Times New Roman" w:hAnsi="Times New Roman"/>
          <w:b w:val="0"/>
          <w:color w:val="1F2937"/>
          <w:sz w:val="20"/>
        </w:rPr>
        <w:t xml:space="preserve"> Assistance may not be conditioned on editorial viewpoint.</w:t>
      </w:r>
    </w:p>
    <w:p>
      <w:pPr>
        <w:pStyle w:val="SectionHeading"/>
      </w:pPr>
      <w:r>
        <w:rPr>
          <w:rFonts w:ascii="Calibri" w:hAnsi="Calibri"/>
          <w:b/>
          <w:color w:val="0B2545"/>
          <w:sz w:val="19"/>
        </w:rPr>
        <w:t>SEC. 1007. PROHIBITED CONDITIONS.</w:t>
      </w:r>
    </w:p>
    <w:p>
      <w:pPr>
        <w:pStyle w:val="LegalBody"/>
      </w:pPr>
      <w:r>
        <w:rPr>
          <w:rFonts w:ascii="Times New Roman" w:hAnsi="Times New Roman"/>
          <w:b w:val="0"/>
          <w:color w:val="1F2937"/>
          <w:sz w:val="20"/>
        </w:rPr>
        <w:t>No recipient of funds under this title shall be required to publish, suppress, endorse, reject, investigate, avoid, promote, or criticize any story, viewpoint, person, candidate, party, government, corporation, union, religion, ideology, or policy.</w:t>
      </w:r>
    </w:p>
    <w:p>
      <w:pPr>
        <w:pStyle w:val="Heading1Custom"/>
      </w:pPr>
      <w:r>
        <w:rPr>
          <w:rFonts w:ascii="Calibri" w:hAnsi="Calibri"/>
          <w:b/>
          <w:color w:val="2E74B5"/>
          <w:sz w:val="32"/>
        </w:rPr>
        <w:t>TITLE XI. DIGITAL INFORMATION RESILIENCE ASSESSMENT</w:t>
      </w:r>
    </w:p>
    <w:p>
      <w:pPr>
        <w:pStyle w:val="SectionHeading"/>
      </w:pPr>
      <w:r>
        <w:rPr>
          <w:rFonts w:ascii="Calibri" w:hAnsi="Calibri"/>
          <w:b/>
          <w:color w:val="0B2545"/>
          <w:sz w:val="19"/>
        </w:rPr>
        <w:t>SEC. 1101. ANNUAL ASSESSMENT ON COVERED DIGITAL ATTENTION REVENUE.</w:t>
      </w:r>
    </w:p>
    <w:p>
      <w:pPr>
        <w:pStyle w:val="LegalLevel1"/>
      </w:pPr>
      <w:r>
        <w:rPr>
          <w:rFonts w:ascii="Times New Roman" w:hAnsi="Times New Roman"/>
          <w:b w:val="0"/>
          <w:color w:val="1F2937"/>
          <w:sz w:val="20"/>
        </w:rPr>
        <w:t xml:space="preserve">(a) </w:t>
      </w:r>
      <w:r>
        <w:rPr>
          <w:rFonts w:ascii="Times New Roman" w:hAnsi="Times New Roman"/>
          <w:b/>
          <w:color w:val="1F2937"/>
          <w:sz w:val="20"/>
        </w:rPr>
        <w:t>Assessment.</w:t>
      </w:r>
      <w:r>
        <w:rPr>
          <w:rFonts w:ascii="Times New Roman" w:hAnsi="Times New Roman"/>
          <w:b w:val="0"/>
          <w:color w:val="1F2937"/>
          <w:sz w:val="20"/>
        </w:rPr>
        <w:t xml:space="preserve"> Each covered platform with more than $2,000,000,000 in annual covered digital attention revenue in the United States shall pay an annual Digital Information Resilience Assessment.</w:t>
      </w:r>
    </w:p>
    <w:p>
      <w:pPr>
        <w:pStyle w:val="LegalLevel1"/>
      </w:pPr>
      <w:r>
        <w:rPr>
          <w:rFonts w:ascii="Times New Roman" w:hAnsi="Times New Roman"/>
          <w:b w:val="0"/>
          <w:color w:val="1F2937"/>
          <w:sz w:val="20"/>
        </w:rPr>
        <w:t xml:space="preserve">(b) </w:t>
      </w:r>
      <w:r>
        <w:rPr>
          <w:rFonts w:ascii="Times New Roman" w:hAnsi="Times New Roman"/>
          <w:b/>
          <w:color w:val="1F2937"/>
          <w:sz w:val="20"/>
        </w:rPr>
        <w:t>Amount.</w:t>
      </w:r>
      <w:r>
        <w:rPr>
          <w:rFonts w:ascii="Times New Roman" w:hAnsi="Times New Roman"/>
          <w:b w:val="0"/>
          <w:color w:val="1F2937"/>
          <w:sz w:val="20"/>
        </w:rPr>
        <w:t xml:space="preserve"> The assessment shall equal:</w:t>
      </w:r>
    </w:p>
    <w:p>
      <w:pPr>
        <w:pStyle w:val="LegalLevel2"/>
      </w:pPr>
      <w:r>
        <w:rPr>
          <w:rFonts w:ascii="Times New Roman" w:hAnsi="Times New Roman"/>
          <w:b w:val="0"/>
          <w:color w:val="1F2937"/>
          <w:sz w:val="20"/>
        </w:rPr>
        <w:t>1. 0 percent of the first $2,000,000,000 in annual covered digital attention revenue;</w:t>
      </w:r>
    </w:p>
    <w:p>
      <w:pPr>
        <w:pStyle w:val="LegalLevel2"/>
      </w:pPr>
      <w:r>
        <w:rPr>
          <w:rFonts w:ascii="Times New Roman" w:hAnsi="Times New Roman"/>
          <w:b w:val="0"/>
          <w:color w:val="1F2937"/>
          <w:sz w:val="20"/>
        </w:rPr>
        <w:t>2. 0.35 percent of annual covered digital attention revenue greater than $2,000,000,000 and not greater than $10,000,000,000;</w:t>
      </w:r>
    </w:p>
    <w:p>
      <w:pPr>
        <w:pStyle w:val="LegalLevel2"/>
      </w:pPr>
      <w:r>
        <w:rPr>
          <w:rFonts w:ascii="Times New Roman" w:hAnsi="Times New Roman"/>
          <w:b w:val="0"/>
          <w:color w:val="1F2937"/>
          <w:sz w:val="20"/>
        </w:rPr>
        <w:t>3. 0.75 percent of annual covered digital attention revenue greater than $10,000,000,000.</w:t>
      </w:r>
    </w:p>
    <w:p>
      <w:pPr>
        <w:pStyle w:val="LegalLevel1"/>
      </w:pPr>
      <w:r>
        <w:rPr>
          <w:rFonts w:ascii="Times New Roman" w:hAnsi="Times New Roman"/>
          <w:b w:val="0"/>
          <w:color w:val="1F2937"/>
          <w:sz w:val="20"/>
        </w:rPr>
        <w:t xml:space="preserve">(c) </w:t>
      </w:r>
      <w:r>
        <w:rPr>
          <w:rFonts w:ascii="Times New Roman" w:hAnsi="Times New Roman"/>
          <w:b/>
          <w:color w:val="1F2937"/>
          <w:sz w:val="20"/>
        </w:rPr>
        <w:t>Purpose.</w:t>
      </w:r>
      <w:r>
        <w:rPr>
          <w:rFonts w:ascii="Times New Roman" w:hAnsi="Times New Roman"/>
          <w:b w:val="0"/>
          <w:color w:val="1F2937"/>
          <w:sz w:val="20"/>
        </w:rPr>
        <w:t xml:space="preserve"> The assessment is imposed to recover public costs associated with digital attention market transparency, synthetic media provenance, media literacy, independent research, and public-interest civic information.</w:t>
      </w:r>
    </w:p>
    <w:p>
      <w:pPr>
        <w:pStyle w:val="LegalLevel1"/>
      </w:pPr>
      <w:r>
        <w:rPr>
          <w:rFonts w:ascii="Times New Roman" w:hAnsi="Times New Roman"/>
          <w:b w:val="0"/>
          <w:color w:val="1F2937"/>
          <w:sz w:val="20"/>
        </w:rPr>
        <w:t xml:space="preserve">(d) </w:t>
      </w:r>
      <w:r>
        <w:rPr>
          <w:rFonts w:ascii="Times New Roman" w:hAnsi="Times New Roman"/>
          <w:b/>
          <w:color w:val="1F2937"/>
          <w:sz w:val="20"/>
        </w:rPr>
        <w:t>No Content Basis.</w:t>
      </w:r>
      <w:r>
        <w:rPr>
          <w:rFonts w:ascii="Times New Roman" w:hAnsi="Times New Roman"/>
          <w:b w:val="0"/>
          <w:color w:val="1F2937"/>
          <w:sz w:val="20"/>
        </w:rPr>
        <w:t xml:space="preserve"> The assessment shall not vary based on viewpoint, ideology, content category, editorial policy, moderation policy, political affiliation, or treatment of lawful speech.</w:t>
      </w:r>
    </w:p>
    <w:p>
      <w:pPr>
        <w:pStyle w:val="SectionHeading"/>
      </w:pPr>
      <w:r>
        <w:rPr>
          <w:rFonts w:ascii="Calibri" w:hAnsi="Calibri"/>
          <w:b/>
          <w:color w:val="0B2545"/>
          <w:sz w:val="19"/>
        </w:rPr>
        <w:t>SEC. 1102. DEPOSIT AND AVAILABILITY OF FUNDS.</w:t>
      </w:r>
    </w:p>
    <w:p>
      <w:pPr>
        <w:pStyle w:val="LegalLevel1"/>
      </w:pPr>
      <w:r>
        <w:rPr>
          <w:rFonts w:ascii="Times New Roman" w:hAnsi="Times New Roman"/>
          <w:b w:val="0"/>
          <w:color w:val="1F2937"/>
          <w:sz w:val="20"/>
        </w:rPr>
        <w:t xml:space="preserve">(a) </w:t>
      </w:r>
      <w:r>
        <w:rPr>
          <w:rFonts w:ascii="Times New Roman" w:hAnsi="Times New Roman"/>
          <w:b/>
          <w:color w:val="1F2937"/>
          <w:sz w:val="20"/>
        </w:rPr>
        <w:t>Deposit.</w:t>
      </w:r>
      <w:r>
        <w:rPr>
          <w:rFonts w:ascii="Times New Roman" w:hAnsi="Times New Roman"/>
          <w:b w:val="0"/>
          <w:color w:val="1F2937"/>
          <w:sz w:val="20"/>
        </w:rPr>
        <w:t xml:space="preserve"> Amounts collected shall be deposited in the Digital Information Resilience Account in the Treasury.</w:t>
      </w:r>
    </w:p>
    <w:p>
      <w:pPr>
        <w:pStyle w:val="LegalLevel1"/>
      </w:pPr>
      <w:r>
        <w:rPr>
          <w:rFonts w:ascii="Times New Roman" w:hAnsi="Times New Roman"/>
          <w:b w:val="0"/>
          <w:color w:val="1F2937"/>
          <w:sz w:val="20"/>
        </w:rPr>
        <w:t xml:space="preserve">(b) </w:t>
      </w:r>
      <w:r>
        <w:rPr>
          <w:rFonts w:ascii="Times New Roman" w:hAnsi="Times New Roman"/>
          <w:b/>
          <w:color w:val="1F2937"/>
          <w:sz w:val="20"/>
        </w:rPr>
        <w:t>Availability.</w:t>
      </w:r>
      <w:r>
        <w:rPr>
          <w:rFonts w:ascii="Times New Roman" w:hAnsi="Times New Roman"/>
          <w:b w:val="0"/>
          <w:color w:val="1F2937"/>
          <w:sz w:val="20"/>
        </w:rPr>
        <w:t xml:space="preserve"> Amounts shall be available, subject to appropriation, for:</w:t>
      </w:r>
    </w:p>
    <w:p>
      <w:pPr>
        <w:pStyle w:val="LegalLevel2"/>
      </w:pPr>
      <w:r>
        <w:rPr>
          <w:rFonts w:ascii="Times New Roman" w:hAnsi="Times New Roman"/>
          <w:b w:val="0"/>
          <w:color w:val="1F2937"/>
          <w:sz w:val="20"/>
        </w:rPr>
        <w:t>1. Commission enforcement and technical capacity;</w:t>
      </w:r>
    </w:p>
    <w:p>
      <w:pPr>
        <w:pStyle w:val="LegalLevel2"/>
      </w:pPr>
      <w:r>
        <w:rPr>
          <w:rFonts w:ascii="Times New Roman" w:hAnsi="Times New Roman"/>
          <w:b w:val="0"/>
          <w:color w:val="1F2937"/>
          <w:sz w:val="20"/>
        </w:rPr>
        <w:t>2. NIST provenance standards;</w:t>
      </w:r>
    </w:p>
    <w:p>
      <w:pPr>
        <w:pStyle w:val="LegalLevel2"/>
      </w:pPr>
      <w:r>
        <w:rPr>
          <w:rFonts w:ascii="Times New Roman" w:hAnsi="Times New Roman"/>
          <w:b w:val="0"/>
          <w:color w:val="1F2937"/>
          <w:sz w:val="20"/>
        </w:rPr>
        <w:t>3. National Science Foundation research access administration;</w:t>
      </w:r>
    </w:p>
    <w:p>
      <w:pPr>
        <w:pStyle w:val="LegalLevel2"/>
      </w:pPr>
      <w:r>
        <w:rPr>
          <w:rFonts w:ascii="Times New Roman" w:hAnsi="Times New Roman"/>
          <w:b w:val="0"/>
          <w:color w:val="1F2937"/>
          <w:sz w:val="20"/>
        </w:rPr>
        <w:t>4. media-literacy grants;</w:t>
      </w:r>
    </w:p>
    <w:p>
      <w:pPr>
        <w:pStyle w:val="LegalLevel2"/>
      </w:pPr>
      <w:r>
        <w:rPr>
          <w:rFonts w:ascii="Times New Roman" w:hAnsi="Times New Roman"/>
          <w:b w:val="0"/>
          <w:color w:val="1F2937"/>
          <w:sz w:val="20"/>
        </w:rPr>
        <w:t>5. public-interest journalism support;</w:t>
      </w:r>
    </w:p>
    <w:p>
      <w:pPr>
        <w:pStyle w:val="LegalLevel2"/>
      </w:pPr>
      <w:r>
        <w:rPr>
          <w:rFonts w:ascii="Times New Roman" w:hAnsi="Times New Roman"/>
          <w:b w:val="0"/>
          <w:color w:val="1F2937"/>
          <w:sz w:val="20"/>
        </w:rPr>
        <w:t>6. Inspector General oversight.</w:t>
      </w:r>
    </w:p>
    <w:p>
      <w:pPr>
        <w:pStyle w:val="SectionHeading"/>
      </w:pPr>
      <w:r>
        <w:rPr>
          <w:rFonts w:ascii="Calibri" w:hAnsi="Calibri"/>
          <w:b/>
          <w:color w:val="0B2545"/>
          <w:sz w:val="19"/>
        </w:rPr>
        <w:t>SEC. 1103. LIMITATIONS.</w:t>
      </w:r>
    </w:p>
    <w:p>
      <w:pPr>
        <w:pStyle w:val="LegalBody"/>
      </w:pPr>
      <w:r>
        <w:rPr>
          <w:rFonts w:ascii="Times New Roman" w:hAnsi="Times New Roman"/>
          <w:b w:val="0"/>
          <w:color w:val="1F2937"/>
          <w:sz w:val="20"/>
        </w:rPr>
        <w:t>No assessment funds may be used to:</w:t>
      </w:r>
    </w:p>
    <w:p>
      <w:pPr>
        <w:pStyle w:val="LegalLevel2"/>
      </w:pPr>
      <w:r>
        <w:rPr>
          <w:rFonts w:ascii="Times New Roman" w:hAnsi="Times New Roman"/>
          <w:b w:val="0"/>
          <w:color w:val="1F2937"/>
          <w:sz w:val="20"/>
        </w:rPr>
        <w:t>1. create a government truth database;</w:t>
      </w:r>
    </w:p>
    <w:p>
      <w:pPr>
        <w:pStyle w:val="LegalLevel2"/>
      </w:pPr>
      <w:r>
        <w:rPr>
          <w:rFonts w:ascii="Times New Roman" w:hAnsi="Times New Roman"/>
          <w:b w:val="0"/>
          <w:color w:val="1F2937"/>
          <w:sz w:val="20"/>
        </w:rPr>
        <w:t>2. pressure platforms to suppress lawful speech;</w:t>
      </w:r>
    </w:p>
    <w:p>
      <w:pPr>
        <w:pStyle w:val="LegalLevel2"/>
      </w:pPr>
      <w:r>
        <w:rPr>
          <w:rFonts w:ascii="Times New Roman" w:hAnsi="Times New Roman"/>
          <w:b w:val="0"/>
          <w:color w:val="1F2937"/>
          <w:sz w:val="20"/>
        </w:rPr>
        <w:t>3. fund viewpoint-based content monitoring;</w:t>
      </w:r>
    </w:p>
    <w:p>
      <w:pPr>
        <w:pStyle w:val="LegalLevel2"/>
      </w:pPr>
      <w:r>
        <w:rPr>
          <w:rFonts w:ascii="Times New Roman" w:hAnsi="Times New Roman"/>
          <w:b w:val="0"/>
          <w:color w:val="1F2937"/>
          <w:sz w:val="20"/>
        </w:rPr>
        <w:t>4. condition grants on editorial viewpoint;</w:t>
      </w:r>
    </w:p>
    <w:p>
      <w:pPr>
        <w:pStyle w:val="LegalLevel2"/>
      </w:pPr>
      <w:r>
        <w:rPr>
          <w:rFonts w:ascii="Times New Roman" w:hAnsi="Times New Roman"/>
          <w:b w:val="0"/>
          <w:color w:val="1F2937"/>
          <w:sz w:val="20"/>
        </w:rPr>
        <w:t>5. pay for government advertising promoting a political party or candidate.</w:t>
      </w:r>
    </w:p>
    <w:p>
      <w:pPr>
        <w:pStyle w:val="SectionHeading"/>
      </w:pPr>
      <w:r>
        <w:rPr>
          <w:rFonts w:ascii="Calibri" w:hAnsi="Calibri"/>
          <w:b/>
          <w:color w:val="0B2545"/>
          <w:sz w:val="19"/>
        </w:rPr>
        <w:t>SEC. 1104. ANTI-PASS-THROUGH TRANSPARENCY.</w:t>
      </w:r>
    </w:p>
    <w:p>
      <w:pPr>
        <w:pStyle w:val="LegalBody"/>
      </w:pPr>
      <w:r>
        <w:rPr>
          <w:rFonts w:ascii="Times New Roman" w:hAnsi="Times New Roman"/>
          <w:b w:val="0"/>
          <w:color w:val="1F2937"/>
          <w:sz w:val="20"/>
        </w:rPr>
        <w:t>A covered platform that imposes a separate line-item charge on advertisers, creators, or consumers to recover the assessment shall clearly identify the charge and may not falsely represent that the Government required the platform to impose that specific line-item charge.</w:t>
      </w:r>
    </w:p>
    <w:p>
      <w:pPr>
        <w:pStyle w:val="Heading1Custom"/>
      </w:pPr>
      <w:r>
        <w:rPr>
          <w:rFonts w:ascii="Calibri" w:hAnsi="Calibri"/>
          <w:b/>
          <w:color w:val="2E74B5"/>
          <w:sz w:val="32"/>
        </w:rPr>
        <w:t>TITLE XII. ENFORCEMENT, PENALTIES, PREEMPTION, AND EFFECTIVE DATES</w:t>
      </w:r>
    </w:p>
    <w:p>
      <w:pPr>
        <w:pStyle w:val="SectionHeading"/>
      </w:pPr>
      <w:r>
        <w:rPr>
          <w:rFonts w:ascii="Calibri" w:hAnsi="Calibri"/>
          <w:b/>
          <w:color w:val="0B2545"/>
          <w:sz w:val="19"/>
        </w:rPr>
        <w:t>SEC. 1201. ENFORCEMENT BY THE FEDERAL TRADE COMMISSION.</w:t>
      </w:r>
    </w:p>
    <w:p>
      <w:pPr>
        <w:pStyle w:val="LegalLevel1"/>
      </w:pPr>
      <w:r>
        <w:rPr>
          <w:rFonts w:ascii="Times New Roman" w:hAnsi="Times New Roman"/>
          <w:b w:val="0"/>
          <w:color w:val="1F2937"/>
          <w:sz w:val="20"/>
        </w:rPr>
        <w:t xml:space="preserve">(a) </w:t>
      </w:r>
      <w:r>
        <w:rPr>
          <w:rFonts w:ascii="Times New Roman" w:hAnsi="Times New Roman"/>
          <w:b/>
          <w:color w:val="1F2937"/>
          <w:sz w:val="20"/>
        </w:rPr>
        <w:t>Unfair or Deceptive Acts or Practices.</w:t>
      </w:r>
      <w:r>
        <w:rPr>
          <w:rFonts w:ascii="Times New Roman" w:hAnsi="Times New Roman"/>
          <w:b w:val="0"/>
          <w:color w:val="1F2937"/>
          <w:sz w:val="20"/>
        </w:rPr>
        <w:t xml:space="preserve"> A violation of this Act or a rule promulgated under this Act shall be treated as a violation of a rule defining an unfair or deceptive act or practice under section 18 of the Federal Trade Commission Act.</w:t>
      </w:r>
    </w:p>
    <w:p>
      <w:pPr>
        <w:pStyle w:val="LegalLevel1"/>
      </w:pPr>
      <w:r>
        <w:rPr>
          <w:rFonts w:ascii="Times New Roman" w:hAnsi="Times New Roman"/>
          <w:b w:val="0"/>
          <w:color w:val="1F2937"/>
          <w:sz w:val="20"/>
        </w:rPr>
        <w:t xml:space="preserve">(b) </w:t>
      </w:r>
      <w:r>
        <w:rPr>
          <w:rFonts w:ascii="Times New Roman" w:hAnsi="Times New Roman"/>
          <w:b/>
          <w:color w:val="1F2937"/>
          <w:sz w:val="20"/>
        </w:rPr>
        <w:t>Powers.</w:t>
      </w:r>
      <w:r>
        <w:rPr>
          <w:rFonts w:ascii="Times New Roman" w:hAnsi="Times New Roman"/>
          <w:b w:val="0"/>
          <w:color w:val="1F2937"/>
          <w:sz w:val="20"/>
        </w:rPr>
        <w:t xml:space="preserve"> The Commission may use all powers available under the Federal Trade Commission Act, including investigation, civil investigative demands, rulemaking, administrative enforcement, civil penalties, consumer redress where authorized, and injunctive relief.</w:t>
      </w:r>
    </w:p>
    <w:p>
      <w:pPr>
        <w:pStyle w:val="LegalLevel1"/>
      </w:pPr>
      <w:r>
        <w:rPr>
          <w:rFonts w:ascii="Times New Roman" w:hAnsi="Times New Roman"/>
          <w:b w:val="0"/>
          <w:color w:val="1F2937"/>
          <w:sz w:val="20"/>
        </w:rPr>
        <w:t xml:space="preserve">(c) </w:t>
      </w:r>
      <w:r>
        <w:rPr>
          <w:rFonts w:ascii="Times New Roman" w:hAnsi="Times New Roman"/>
          <w:b/>
          <w:color w:val="1F2937"/>
          <w:sz w:val="20"/>
        </w:rPr>
        <w:t>Bureau.</w:t>
      </w:r>
      <w:r>
        <w:rPr>
          <w:rFonts w:ascii="Times New Roman" w:hAnsi="Times New Roman"/>
          <w:b w:val="0"/>
          <w:color w:val="1F2937"/>
          <w:sz w:val="20"/>
        </w:rPr>
        <w:t xml:space="preserve"> The Commission shall establish an Office of Digital Attention Markets to administer this Act.</w:t>
      </w:r>
    </w:p>
    <w:p>
      <w:pPr>
        <w:pStyle w:val="SectionHeading"/>
      </w:pPr>
      <w:r>
        <w:rPr>
          <w:rFonts w:ascii="Calibri" w:hAnsi="Calibri"/>
          <w:b/>
          <w:color w:val="0B2545"/>
          <w:sz w:val="19"/>
        </w:rPr>
        <w:t>SEC. 1202. ENFORCEMENT BY STATE ATTORNEYS GENERAL.</w:t>
      </w:r>
    </w:p>
    <w:p>
      <w:pPr>
        <w:pStyle w:val="LegalLevel1"/>
      </w:pPr>
      <w:r>
        <w:rPr>
          <w:rFonts w:ascii="Times New Roman" w:hAnsi="Times New Roman"/>
          <w:b w:val="0"/>
          <w:color w:val="1F2937"/>
          <w:sz w:val="20"/>
        </w:rPr>
        <w:t xml:space="preserve">(a) </w:t>
      </w:r>
      <w:r>
        <w:rPr>
          <w:rFonts w:ascii="Times New Roman" w:hAnsi="Times New Roman"/>
          <w:b/>
          <w:color w:val="1F2937"/>
          <w:sz w:val="20"/>
        </w:rPr>
        <w:t>Civil Action.</w:t>
      </w:r>
      <w:r>
        <w:rPr>
          <w:rFonts w:ascii="Times New Roman" w:hAnsi="Times New Roman"/>
          <w:b w:val="0"/>
          <w:color w:val="1F2937"/>
          <w:sz w:val="20"/>
        </w:rPr>
        <w:t xml:space="preserve"> A State attorney general may bring a civil action in federal district court to enforce this Act on behalf of residents of the State.</w:t>
      </w:r>
    </w:p>
    <w:p>
      <w:pPr>
        <w:pStyle w:val="LegalLevel1"/>
      </w:pPr>
      <w:r>
        <w:rPr>
          <w:rFonts w:ascii="Times New Roman" w:hAnsi="Times New Roman"/>
          <w:b w:val="0"/>
          <w:color w:val="1F2937"/>
          <w:sz w:val="20"/>
        </w:rPr>
        <w:t xml:space="preserve">(b) </w:t>
      </w:r>
      <w:r>
        <w:rPr>
          <w:rFonts w:ascii="Times New Roman" w:hAnsi="Times New Roman"/>
          <w:b/>
          <w:color w:val="1F2937"/>
          <w:sz w:val="20"/>
        </w:rPr>
        <w:t>Notice.</w:t>
      </w:r>
      <w:r>
        <w:rPr>
          <w:rFonts w:ascii="Times New Roman" w:hAnsi="Times New Roman"/>
          <w:b w:val="0"/>
          <w:color w:val="1F2937"/>
          <w:sz w:val="20"/>
        </w:rPr>
        <w:t xml:space="preserve"> A State attorney general shall provide the Commission with 30 days’ notice before filing, unless immediate action is necessary to prevent substantial injury.</w:t>
      </w:r>
    </w:p>
    <w:p>
      <w:pPr>
        <w:pStyle w:val="LegalLevel1"/>
      </w:pPr>
      <w:r>
        <w:rPr>
          <w:rFonts w:ascii="Times New Roman" w:hAnsi="Times New Roman"/>
          <w:b w:val="0"/>
          <w:color w:val="1F2937"/>
          <w:sz w:val="20"/>
        </w:rPr>
        <w:t xml:space="preserve">(c) </w:t>
      </w:r>
      <w:r>
        <w:rPr>
          <w:rFonts w:ascii="Times New Roman" w:hAnsi="Times New Roman"/>
          <w:b/>
          <w:color w:val="1F2937"/>
          <w:sz w:val="20"/>
        </w:rPr>
        <w:t>Intervention.</w:t>
      </w:r>
      <w:r>
        <w:rPr>
          <w:rFonts w:ascii="Times New Roman" w:hAnsi="Times New Roman"/>
          <w:b w:val="0"/>
          <w:color w:val="1F2937"/>
          <w:sz w:val="20"/>
        </w:rPr>
        <w:t xml:space="preserve"> The Commission may intervene in any action brought under this section.</w:t>
      </w:r>
    </w:p>
    <w:p>
      <w:pPr>
        <w:pStyle w:val="SectionHeading"/>
      </w:pPr>
      <w:r>
        <w:rPr>
          <w:rFonts w:ascii="Calibri" w:hAnsi="Calibri"/>
          <w:b/>
          <w:color w:val="0B2545"/>
          <w:sz w:val="19"/>
        </w:rPr>
        <w:t>SEC. 1203. CIVIL PENALTIES.</w:t>
      </w:r>
    </w:p>
    <w:p>
      <w:pPr>
        <w:pStyle w:val="LegalLevel1"/>
      </w:pPr>
      <w:r>
        <w:rPr>
          <w:rFonts w:ascii="Times New Roman" w:hAnsi="Times New Roman"/>
          <w:b w:val="0"/>
          <w:color w:val="1F2937"/>
          <w:sz w:val="20"/>
        </w:rPr>
        <w:t xml:space="preserve">(a) </w:t>
      </w:r>
      <w:r>
        <w:rPr>
          <w:rFonts w:ascii="Times New Roman" w:hAnsi="Times New Roman"/>
          <w:b/>
          <w:color w:val="1F2937"/>
          <w:sz w:val="20"/>
        </w:rPr>
        <w:t>Ordinary Violations.</w:t>
      </w:r>
      <w:r>
        <w:rPr>
          <w:rFonts w:ascii="Times New Roman" w:hAnsi="Times New Roman"/>
          <w:b w:val="0"/>
          <w:color w:val="1F2937"/>
          <w:sz w:val="20"/>
        </w:rPr>
        <w:t xml:space="preserve"> A person that violates this Act shall be liable for a civil penalty of not more than $50,000 per violation or $1,000,000 per day for a continuing violation, whichever is greater.</w:t>
      </w:r>
    </w:p>
    <w:p>
      <w:pPr>
        <w:pStyle w:val="LegalLevel1"/>
      </w:pPr>
      <w:r>
        <w:rPr>
          <w:rFonts w:ascii="Times New Roman" w:hAnsi="Times New Roman"/>
          <w:b w:val="0"/>
          <w:color w:val="1F2937"/>
          <w:sz w:val="20"/>
        </w:rPr>
        <w:t xml:space="preserve">(b) </w:t>
      </w:r>
      <w:r>
        <w:rPr>
          <w:rFonts w:ascii="Times New Roman" w:hAnsi="Times New Roman"/>
          <w:b/>
          <w:color w:val="1F2937"/>
          <w:sz w:val="20"/>
        </w:rPr>
        <w:t>Knowing or Systemic Violations by Covered Platforms.</w:t>
      </w:r>
      <w:r>
        <w:rPr>
          <w:rFonts w:ascii="Times New Roman" w:hAnsi="Times New Roman"/>
          <w:b w:val="0"/>
          <w:color w:val="1F2937"/>
          <w:sz w:val="20"/>
        </w:rPr>
        <w:t xml:space="preserve"> For a knowing, repeated, or systemic violation by a covered platform, the Commission may seek a civil penalty not exceeding the greater of:</w:t>
      </w:r>
    </w:p>
    <w:p>
      <w:pPr>
        <w:pStyle w:val="LegalLevel2"/>
      </w:pPr>
      <w:r>
        <w:rPr>
          <w:rFonts w:ascii="Times New Roman" w:hAnsi="Times New Roman"/>
          <w:b w:val="0"/>
          <w:color w:val="1F2937"/>
          <w:sz w:val="20"/>
        </w:rPr>
        <w:t>1. $100,000,000;</w:t>
      </w:r>
    </w:p>
    <w:p>
      <w:pPr>
        <w:pStyle w:val="LegalLevel2"/>
      </w:pPr>
      <w:r>
        <w:rPr>
          <w:rFonts w:ascii="Times New Roman" w:hAnsi="Times New Roman"/>
          <w:b w:val="0"/>
          <w:color w:val="1F2937"/>
          <w:sz w:val="20"/>
        </w:rPr>
        <w:t>2. 4 percent of the covered platform’s annual covered digital attention revenue in the United States for the preceding fiscal year.</w:t>
      </w:r>
    </w:p>
    <w:p>
      <w:pPr>
        <w:pStyle w:val="LegalLevel1"/>
      </w:pPr>
      <w:r>
        <w:rPr>
          <w:rFonts w:ascii="Times New Roman" w:hAnsi="Times New Roman"/>
          <w:b w:val="0"/>
          <w:color w:val="1F2937"/>
          <w:sz w:val="20"/>
        </w:rPr>
        <w:t xml:space="preserve">(c) </w:t>
      </w:r>
      <w:r>
        <w:rPr>
          <w:rFonts w:ascii="Times New Roman" w:hAnsi="Times New Roman"/>
          <w:b/>
          <w:color w:val="1F2937"/>
          <w:sz w:val="20"/>
        </w:rPr>
        <w:t>Aggravating Factors.</w:t>
      </w:r>
      <w:r>
        <w:rPr>
          <w:rFonts w:ascii="Times New Roman" w:hAnsi="Times New Roman"/>
          <w:b w:val="0"/>
          <w:color w:val="1F2937"/>
          <w:sz w:val="20"/>
        </w:rPr>
        <w:t xml:space="preserve"> In determining penalty amount, a court shall consider:</w:t>
      </w:r>
    </w:p>
    <w:p>
      <w:pPr>
        <w:pStyle w:val="LegalLevel2"/>
      </w:pPr>
      <w:r>
        <w:rPr>
          <w:rFonts w:ascii="Times New Roman" w:hAnsi="Times New Roman"/>
          <w:b w:val="0"/>
          <w:color w:val="1F2937"/>
          <w:sz w:val="20"/>
        </w:rPr>
        <w:t>1. size and revenue of the defendant;</w:t>
      </w:r>
    </w:p>
    <w:p>
      <w:pPr>
        <w:pStyle w:val="LegalLevel2"/>
      </w:pPr>
      <w:r>
        <w:rPr>
          <w:rFonts w:ascii="Times New Roman" w:hAnsi="Times New Roman"/>
          <w:b w:val="0"/>
          <w:color w:val="1F2937"/>
          <w:sz w:val="20"/>
        </w:rPr>
        <w:t>2. number of users affected;</w:t>
      </w:r>
    </w:p>
    <w:p>
      <w:pPr>
        <w:pStyle w:val="LegalLevel2"/>
      </w:pPr>
      <w:r>
        <w:rPr>
          <w:rFonts w:ascii="Times New Roman" w:hAnsi="Times New Roman"/>
          <w:b w:val="0"/>
          <w:color w:val="1F2937"/>
          <w:sz w:val="20"/>
        </w:rPr>
        <w:t>3. duration of violation;</w:t>
      </w:r>
    </w:p>
    <w:p>
      <w:pPr>
        <w:pStyle w:val="LegalLevel2"/>
      </w:pPr>
      <w:r>
        <w:rPr>
          <w:rFonts w:ascii="Times New Roman" w:hAnsi="Times New Roman"/>
          <w:b w:val="0"/>
          <w:color w:val="1F2937"/>
          <w:sz w:val="20"/>
        </w:rPr>
        <w:t>4. degree of knowledge or recklessness;</w:t>
      </w:r>
    </w:p>
    <w:p>
      <w:pPr>
        <w:pStyle w:val="LegalLevel2"/>
      </w:pPr>
      <w:r>
        <w:rPr>
          <w:rFonts w:ascii="Times New Roman" w:hAnsi="Times New Roman"/>
          <w:b w:val="0"/>
          <w:color w:val="1F2937"/>
          <w:sz w:val="20"/>
        </w:rPr>
        <w:t>5. prior violations;</w:t>
      </w:r>
    </w:p>
    <w:p>
      <w:pPr>
        <w:pStyle w:val="LegalLevel2"/>
      </w:pPr>
      <w:r>
        <w:rPr>
          <w:rFonts w:ascii="Times New Roman" w:hAnsi="Times New Roman"/>
          <w:b w:val="0"/>
          <w:color w:val="1F2937"/>
          <w:sz w:val="20"/>
        </w:rPr>
        <w:t>6. failure to correct known deficiencies;</w:t>
      </w:r>
    </w:p>
    <w:p>
      <w:pPr>
        <w:pStyle w:val="LegalLevel2"/>
      </w:pPr>
      <w:r>
        <w:rPr>
          <w:rFonts w:ascii="Times New Roman" w:hAnsi="Times New Roman"/>
          <w:b w:val="0"/>
          <w:color w:val="1F2937"/>
          <w:sz w:val="20"/>
        </w:rPr>
        <w:t>7. cooperation with investigators;</w:t>
      </w:r>
    </w:p>
    <w:p>
      <w:pPr>
        <w:pStyle w:val="LegalLevel2"/>
      </w:pPr>
      <w:r>
        <w:rPr>
          <w:rFonts w:ascii="Times New Roman" w:hAnsi="Times New Roman"/>
          <w:b w:val="0"/>
          <w:color w:val="1F2937"/>
          <w:sz w:val="20"/>
        </w:rPr>
        <w:t>8. impact on consumers, advertisers, creators, researchers, and competition;</w:t>
      </w:r>
    </w:p>
    <w:p>
      <w:pPr>
        <w:pStyle w:val="LegalLevel2"/>
      </w:pPr>
      <w:r>
        <w:rPr>
          <w:rFonts w:ascii="Times New Roman" w:hAnsi="Times New Roman"/>
          <w:b w:val="0"/>
          <w:color w:val="1F2937"/>
          <w:sz w:val="20"/>
        </w:rPr>
        <w:t>9. whether the violation involved deception, fake engagement, synthetic impersonation, or false certification.</w:t>
      </w:r>
    </w:p>
    <w:p>
      <w:pPr>
        <w:pStyle w:val="LegalLevel1"/>
      </w:pPr>
      <w:r>
        <w:rPr>
          <w:rFonts w:ascii="Times New Roman" w:hAnsi="Times New Roman"/>
          <w:b w:val="0"/>
          <w:color w:val="1F2937"/>
          <w:sz w:val="20"/>
        </w:rPr>
        <w:t xml:space="preserve">(d) </w:t>
      </w:r>
      <w:r>
        <w:rPr>
          <w:rFonts w:ascii="Times New Roman" w:hAnsi="Times New Roman"/>
          <w:b/>
          <w:color w:val="1F2937"/>
          <w:sz w:val="20"/>
        </w:rPr>
        <w:t>No Penalty for Lawful Viewpoint.</w:t>
      </w:r>
      <w:r>
        <w:rPr>
          <w:rFonts w:ascii="Times New Roman" w:hAnsi="Times New Roman"/>
          <w:b w:val="0"/>
          <w:color w:val="1F2937"/>
          <w:sz w:val="20"/>
        </w:rPr>
        <w:t xml:space="preserve"> No penalty may be imposed based on the viewpoint, ideology, religious belief, political belief, artistic viewpoint, or editorial judgment expressed in lawful content.</w:t>
      </w:r>
    </w:p>
    <w:p>
      <w:pPr>
        <w:pStyle w:val="SectionHeading"/>
      </w:pPr>
      <w:r>
        <w:rPr>
          <w:rFonts w:ascii="Calibri" w:hAnsi="Calibri"/>
          <w:b/>
          <w:color w:val="0B2545"/>
          <w:sz w:val="19"/>
        </w:rPr>
        <w:t>SEC. 1204. COMPLIANCE ORDERS AND EQUITABLE RELIEF.</w:t>
      </w:r>
    </w:p>
    <w:p>
      <w:pPr>
        <w:pStyle w:val="LegalBody"/>
      </w:pPr>
      <w:r>
        <w:rPr>
          <w:rFonts w:ascii="Times New Roman" w:hAnsi="Times New Roman"/>
          <w:b w:val="0"/>
          <w:color w:val="1F2937"/>
          <w:sz w:val="20"/>
        </w:rPr>
        <w:t>A court may grant temporary, preliminary, or permanent injunctive relief; compliance orders; independent monitoring; disgorgement of unlawfully obtained monetization revenue where authorized; data preservation; audit requirements; and other equitable relief necessary to enforce this Act.</w:t>
      </w:r>
    </w:p>
    <w:p>
      <w:pPr>
        <w:pStyle w:val="SectionHeading"/>
      </w:pPr>
      <w:r>
        <w:rPr>
          <w:rFonts w:ascii="Calibri" w:hAnsi="Calibri"/>
          <w:b/>
          <w:color w:val="0B2545"/>
          <w:sz w:val="19"/>
        </w:rPr>
        <w:t>SEC. 1205. SAFE HARBORS.</w:t>
      </w:r>
    </w:p>
    <w:p>
      <w:pPr>
        <w:pStyle w:val="LegalLevel1"/>
      </w:pPr>
      <w:r>
        <w:rPr>
          <w:rFonts w:ascii="Times New Roman" w:hAnsi="Times New Roman"/>
          <w:b w:val="0"/>
          <w:color w:val="1F2937"/>
          <w:sz w:val="20"/>
        </w:rPr>
        <w:t xml:space="preserve">(a) </w:t>
      </w:r>
      <w:r>
        <w:rPr>
          <w:rFonts w:ascii="Times New Roman" w:hAnsi="Times New Roman"/>
          <w:b/>
          <w:color w:val="1F2937"/>
          <w:sz w:val="20"/>
        </w:rPr>
        <w:t>Good-Faith Compliance.</w:t>
      </w:r>
      <w:r>
        <w:rPr>
          <w:rFonts w:ascii="Times New Roman" w:hAnsi="Times New Roman"/>
          <w:b w:val="0"/>
          <w:color w:val="1F2937"/>
          <w:sz w:val="20"/>
        </w:rPr>
        <w:t xml:space="preserve"> A covered platform or generative media service shall have a rebuttable safe harbor for a requirement of this Act if it demonstrates good-faith compliance with Commission rules, NIST standards adopted by rule, independent audit recommendations, and timely corrective action.</w:t>
      </w:r>
    </w:p>
    <w:p>
      <w:pPr>
        <w:pStyle w:val="LegalLevel1"/>
      </w:pPr>
      <w:r>
        <w:rPr>
          <w:rFonts w:ascii="Times New Roman" w:hAnsi="Times New Roman"/>
          <w:b w:val="0"/>
          <w:color w:val="1F2937"/>
          <w:sz w:val="20"/>
        </w:rPr>
        <w:t xml:space="preserve">(b) </w:t>
      </w:r>
      <w:r>
        <w:rPr>
          <w:rFonts w:ascii="Times New Roman" w:hAnsi="Times New Roman"/>
          <w:b/>
          <w:color w:val="1F2937"/>
          <w:sz w:val="20"/>
        </w:rPr>
        <w:t>No Safe Harbor for Knowing Deception.</w:t>
      </w:r>
      <w:r>
        <w:rPr>
          <w:rFonts w:ascii="Times New Roman" w:hAnsi="Times New Roman"/>
          <w:b w:val="0"/>
          <w:color w:val="1F2937"/>
          <w:sz w:val="20"/>
        </w:rPr>
        <w:t xml:space="preserve"> The safe harbor shall not apply to knowing false certification, knowing sale of fake engagement, knowing synthetic impersonation in commerce, retaliation against whistleblowers, or intentional obstruction of an audit.</w:t>
      </w:r>
    </w:p>
    <w:p>
      <w:pPr>
        <w:pStyle w:val="SectionHeading"/>
      </w:pPr>
      <w:r>
        <w:rPr>
          <w:rFonts w:ascii="Calibri" w:hAnsi="Calibri"/>
          <w:b/>
          <w:color w:val="0B2545"/>
          <w:sz w:val="19"/>
        </w:rPr>
        <w:t>SEC. 1206. RELATION TO SECTION 230.</w:t>
      </w:r>
    </w:p>
    <w:p>
      <w:pPr>
        <w:pStyle w:val="LegalLevel1"/>
      </w:pPr>
      <w:r>
        <w:rPr>
          <w:rFonts w:ascii="Times New Roman" w:hAnsi="Times New Roman"/>
          <w:b w:val="0"/>
          <w:color w:val="1F2937"/>
          <w:sz w:val="20"/>
        </w:rPr>
        <w:t xml:space="preserve">(a) </w:t>
      </w:r>
      <w:r>
        <w:rPr>
          <w:rFonts w:ascii="Times New Roman" w:hAnsi="Times New Roman"/>
          <w:b/>
          <w:color w:val="1F2937"/>
          <w:sz w:val="20"/>
        </w:rPr>
        <w:t>No Publisher-Speaker Liability.</w:t>
      </w:r>
      <w:r>
        <w:rPr>
          <w:rFonts w:ascii="Times New Roman" w:hAnsi="Times New Roman"/>
          <w:b w:val="0"/>
          <w:color w:val="1F2937"/>
          <w:sz w:val="20"/>
        </w:rPr>
        <w:t xml:space="preserve"> Nothing in this Act shall be construed to treat a provider or user of an interactive computer service as the publisher or speaker of information provided by another information content provider.</w:t>
      </w:r>
    </w:p>
    <w:p>
      <w:pPr>
        <w:pStyle w:val="LegalLevel1"/>
      </w:pPr>
      <w:r>
        <w:rPr>
          <w:rFonts w:ascii="Times New Roman" w:hAnsi="Times New Roman"/>
          <w:b w:val="0"/>
          <w:color w:val="1F2937"/>
          <w:sz w:val="20"/>
        </w:rPr>
        <w:t xml:space="preserve">(b) </w:t>
      </w:r>
      <w:r>
        <w:rPr>
          <w:rFonts w:ascii="Times New Roman" w:hAnsi="Times New Roman"/>
          <w:b/>
          <w:color w:val="1F2937"/>
          <w:sz w:val="20"/>
        </w:rPr>
        <w:t>Platform Conduct.</w:t>
      </w:r>
      <w:r>
        <w:rPr>
          <w:rFonts w:ascii="Times New Roman" w:hAnsi="Times New Roman"/>
          <w:b w:val="0"/>
          <w:color w:val="1F2937"/>
          <w:sz w:val="20"/>
        </w:rPr>
        <w:t xml:space="preserve"> Liability under this Act attaches only to a person’s own conduct, including failure to make required disclosures, failure to maintain required compliance systems, deceptive commercial practices, fake engagement, false certification, unlawful retaliation, or violation of duties expressly imposed by this Act.</w:t>
      </w:r>
    </w:p>
    <w:p>
      <w:pPr>
        <w:pStyle w:val="LegalLevel1"/>
      </w:pPr>
      <w:r>
        <w:rPr>
          <w:rFonts w:ascii="Times New Roman" w:hAnsi="Times New Roman"/>
          <w:b w:val="0"/>
          <w:color w:val="1F2937"/>
          <w:sz w:val="20"/>
        </w:rPr>
        <w:t xml:space="preserve">(c) </w:t>
      </w:r>
      <w:r>
        <w:rPr>
          <w:rFonts w:ascii="Times New Roman" w:hAnsi="Times New Roman"/>
          <w:b/>
          <w:color w:val="1F2937"/>
          <w:sz w:val="20"/>
        </w:rPr>
        <w:t>Good Samaritan Protection Preserved.</w:t>
      </w:r>
      <w:r>
        <w:rPr>
          <w:rFonts w:ascii="Times New Roman" w:hAnsi="Times New Roman"/>
          <w:b w:val="0"/>
          <w:color w:val="1F2937"/>
          <w:sz w:val="20"/>
        </w:rPr>
        <w:t xml:space="preserve"> Nothing in this Act shall limit voluntary good-faith actions protected under section 230(c)(2) of the Communications Act of 1934.</w:t>
      </w:r>
    </w:p>
    <w:p>
      <w:pPr>
        <w:pStyle w:val="SectionHeading"/>
      </w:pPr>
      <w:r>
        <w:rPr>
          <w:rFonts w:ascii="Calibri" w:hAnsi="Calibri"/>
          <w:b/>
          <w:color w:val="0B2545"/>
          <w:sz w:val="19"/>
        </w:rPr>
        <w:t>SEC. 1207. PREEMPTION AND SAVINGS.</w:t>
      </w:r>
    </w:p>
    <w:p>
      <w:pPr>
        <w:pStyle w:val="LegalLevel1"/>
      </w:pPr>
      <w:r>
        <w:rPr>
          <w:rFonts w:ascii="Times New Roman" w:hAnsi="Times New Roman"/>
          <w:b w:val="0"/>
          <w:color w:val="1F2937"/>
          <w:sz w:val="20"/>
        </w:rPr>
        <w:t xml:space="preserve">(a) </w:t>
      </w:r>
      <w:r>
        <w:rPr>
          <w:rFonts w:ascii="Times New Roman" w:hAnsi="Times New Roman"/>
          <w:b/>
          <w:color w:val="1F2937"/>
          <w:sz w:val="20"/>
        </w:rPr>
        <w:t>Preemption.</w:t>
      </w:r>
      <w:r>
        <w:rPr>
          <w:rFonts w:ascii="Times New Roman" w:hAnsi="Times New Roman"/>
          <w:b w:val="0"/>
          <w:color w:val="1F2937"/>
          <w:sz w:val="20"/>
        </w:rPr>
        <w:t xml:space="preserve"> This Act preempts any State or local law that requires a covered platform to remove, retain, rank, downrank, promote, suppress, label as true or false, demonetize, or carry lawful content based on viewpoint, ideology, political position, religious belief, journalistic judgment, or government assessment of truthfulness.</w:t>
      </w:r>
    </w:p>
    <w:p>
      <w:pPr>
        <w:pStyle w:val="LegalLevel1"/>
      </w:pPr>
      <w:r>
        <w:rPr>
          <w:rFonts w:ascii="Times New Roman" w:hAnsi="Times New Roman"/>
          <w:b w:val="0"/>
          <w:color w:val="1F2937"/>
          <w:sz w:val="20"/>
        </w:rPr>
        <w:t xml:space="preserve">(b) </w:t>
      </w:r>
      <w:r>
        <w:rPr>
          <w:rFonts w:ascii="Times New Roman" w:hAnsi="Times New Roman"/>
          <w:b/>
          <w:color w:val="1F2937"/>
          <w:sz w:val="20"/>
        </w:rPr>
        <w:t>Savings.</w:t>
      </w:r>
      <w:r>
        <w:rPr>
          <w:rFonts w:ascii="Times New Roman" w:hAnsi="Times New Roman"/>
          <w:b w:val="0"/>
          <w:color w:val="1F2937"/>
          <w:sz w:val="20"/>
        </w:rPr>
        <w:t xml:space="preserve"> Nothing in this Act preempts State laws of general applicability concerning privacy, consumer protection, contracts, fraud, civil rights, employment, taxation, defamation, intellectual property, nonconsensual intimate imagery, child sexual abuse material, stalking, harassment, threats, election administration, or criminal law, to the extent such laws are consistent with the Constitution and section 230.</w:t>
      </w:r>
    </w:p>
    <w:p>
      <w:pPr>
        <w:pStyle w:val="LegalLevel1"/>
      </w:pPr>
      <w:r>
        <w:rPr>
          <w:rFonts w:ascii="Times New Roman" w:hAnsi="Times New Roman"/>
          <w:b w:val="0"/>
          <w:color w:val="1F2937"/>
          <w:sz w:val="20"/>
        </w:rPr>
        <w:t xml:space="preserve">(c) </w:t>
      </w:r>
      <w:r>
        <w:rPr>
          <w:rFonts w:ascii="Times New Roman" w:hAnsi="Times New Roman"/>
          <w:b/>
          <w:color w:val="1F2937"/>
          <w:sz w:val="20"/>
        </w:rPr>
        <w:t>Federal Floor.</w:t>
      </w:r>
      <w:r>
        <w:rPr>
          <w:rFonts w:ascii="Times New Roman" w:hAnsi="Times New Roman"/>
          <w:b w:val="0"/>
          <w:color w:val="1F2937"/>
          <w:sz w:val="20"/>
        </w:rPr>
        <w:t xml:space="preserve"> States may impose additional transparency, privacy, consumer protection, or safety obligations that are consistent with this Act and do not require viewpoint-based or truth-based treatment of lawful speech.</w:t>
      </w:r>
    </w:p>
    <w:p>
      <w:pPr>
        <w:pStyle w:val="SectionHeading"/>
      </w:pPr>
      <w:r>
        <w:rPr>
          <w:rFonts w:ascii="Calibri" w:hAnsi="Calibri"/>
          <w:b/>
          <w:color w:val="0B2545"/>
          <w:sz w:val="19"/>
        </w:rPr>
        <w:t>SEC. 1208. SEVERABILITY.</w:t>
      </w:r>
    </w:p>
    <w:p>
      <w:pPr>
        <w:pStyle w:val="LegalBody"/>
      </w:pPr>
      <w:r>
        <w:rPr>
          <w:rFonts w:ascii="Times New Roman" w:hAnsi="Times New Roman"/>
          <w:b w:val="0"/>
          <w:color w:val="1F2937"/>
          <w:sz w:val="20"/>
        </w:rPr>
        <w:t>If any provision of this Act, or the application of such provision to any person or circumstance, is held unconstitutional or otherwise invalid, the remainder of this Act and the application of the remaining provisions to any person or circumstance shall not be affected.</w:t>
      </w:r>
    </w:p>
    <w:p>
      <w:pPr>
        <w:pStyle w:val="SectionHeading"/>
      </w:pPr>
      <w:r>
        <w:rPr>
          <w:rFonts w:ascii="Calibri" w:hAnsi="Calibri"/>
          <w:b/>
          <w:color w:val="0B2545"/>
          <w:sz w:val="19"/>
        </w:rPr>
        <w:t>SEC. 1209. RULEMAKING.</w:t>
      </w:r>
    </w:p>
    <w:p>
      <w:pPr>
        <w:pStyle w:val="LegalLevel1"/>
      </w:pPr>
      <w:r>
        <w:rPr>
          <w:rFonts w:ascii="Times New Roman" w:hAnsi="Times New Roman"/>
          <w:b w:val="0"/>
          <w:color w:val="1F2937"/>
          <w:sz w:val="20"/>
        </w:rPr>
        <w:t xml:space="preserve">(a) </w:t>
      </w:r>
      <w:r>
        <w:rPr>
          <w:rFonts w:ascii="Times New Roman" w:hAnsi="Times New Roman"/>
          <w:b/>
          <w:color w:val="1F2937"/>
          <w:sz w:val="20"/>
        </w:rPr>
        <w:t>Initial Rules.</w:t>
      </w:r>
      <w:r>
        <w:rPr>
          <w:rFonts w:ascii="Times New Roman" w:hAnsi="Times New Roman"/>
          <w:b w:val="0"/>
          <w:color w:val="1F2937"/>
          <w:sz w:val="20"/>
        </w:rPr>
        <w:t xml:space="preserve"> The Commission shall promulgate initial rules under this Act not later than 18 months after enactment.</w:t>
      </w:r>
    </w:p>
    <w:p>
      <w:pPr>
        <w:pStyle w:val="LegalLevel1"/>
      </w:pPr>
      <w:r>
        <w:rPr>
          <w:rFonts w:ascii="Times New Roman" w:hAnsi="Times New Roman"/>
          <w:b w:val="0"/>
          <w:color w:val="1F2937"/>
          <w:sz w:val="20"/>
        </w:rPr>
        <w:t xml:space="preserve">(b) </w:t>
      </w:r>
      <w:r>
        <w:rPr>
          <w:rFonts w:ascii="Times New Roman" w:hAnsi="Times New Roman"/>
          <w:b/>
          <w:color w:val="1F2937"/>
          <w:sz w:val="20"/>
        </w:rPr>
        <w:t>Consultation.</w:t>
      </w:r>
      <w:r>
        <w:rPr>
          <w:rFonts w:ascii="Times New Roman" w:hAnsi="Times New Roman"/>
          <w:b w:val="0"/>
          <w:color w:val="1F2937"/>
          <w:sz w:val="20"/>
        </w:rPr>
        <w:t xml:space="preserve"> The Commission shall consult with the National Institute of Standards and Technology, National Science Foundation, Department of Education, Department of Justice, state attorneys general, civil-liberties organizations, journalists, researchers, platforms, creators, advertisers, small businesses, disability-rights organizations, and the public.</w:t>
      </w:r>
    </w:p>
    <w:p>
      <w:pPr>
        <w:pStyle w:val="LegalLevel1"/>
      </w:pPr>
      <w:r>
        <w:rPr>
          <w:rFonts w:ascii="Times New Roman" w:hAnsi="Times New Roman"/>
          <w:b w:val="0"/>
          <w:color w:val="1F2937"/>
          <w:sz w:val="20"/>
        </w:rPr>
        <w:t xml:space="preserve">(c) </w:t>
      </w:r>
      <w:r>
        <w:rPr>
          <w:rFonts w:ascii="Times New Roman" w:hAnsi="Times New Roman"/>
          <w:b/>
          <w:color w:val="1F2937"/>
          <w:sz w:val="20"/>
        </w:rPr>
        <w:t>First Amendment Review.</w:t>
      </w:r>
      <w:r>
        <w:rPr>
          <w:rFonts w:ascii="Times New Roman" w:hAnsi="Times New Roman"/>
          <w:b w:val="0"/>
          <w:color w:val="1F2937"/>
          <w:sz w:val="20"/>
        </w:rPr>
        <w:t xml:space="preserve"> Each final rule shall include a First Amendment impact statement explaining how the rule avoids viewpoint discrimination, content-based suppression, compelled editorial judgment, and undue burdens on protected speech.</w:t>
      </w:r>
    </w:p>
    <w:p>
      <w:pPr>
        <w:pStyle w:val="SectionHeading"/>
      </w:pPr>
      <w:r>
        <w:rPr>
          <w:rFonts w:ascii="Calibri" w:hAnsi="Calibri"/>
          <w:b/>
          <w:color w:val="0B2545"/>
          <w:sz w:val="19"/>
        </w:rPr>
        <w:t>SEC. 1210. EFFECTIVE DATES.</w:t>
      </w:r>
    </w:p>
    <w:p>
      <w:pPr>
        <w:pStyle w:val="LegalLevel1"/>
      </w:pPr>
      <w:r>
        <w:rPr>
          <w:rFonts w:ascii="Times New Roman" w:hAnsi="Times New Roman"/>
          <w:b w:val="0"/>
          <w:color w:val="1F2937"/>
          <w:sz w:val="20"/>
        </w:rPr>
        <w:t xml:space="preserve">(a) </w:t>
      </w:r>
      <w:r>
        <w:rPr>
          <w:rFonts w:ascii="Times New Roman" w:hAnsi="Times New Roman"/>
          <w:b/>
          <w:color w:val="1F2937"/>
          <w:sz w:val="20"/>
        </w:rPr>
        <w:t>General Effective Date.</w:t>
      </w:r>
      <w:r>
        <w:rPr>
          <w:rFonts w:ascii="Times New Roman" w:hAnsi="Times New Roman"/>
          <w:b w:val="0"/>
          <w:color w:val="1F2937"/>
          <w:sz w:val="20"/>
        </w:rPr>
        <w:t xml:space="preserve"> This Act shall take effect 180 days after enactment.</w:t>
      </w:r>
    </w:p>
    <w:p>
      <w:pPr>
        <w:pStyle w:val="LegalLevel1"/>
      </w:pPr>
      <w:r>
        <w:rPr>
          <w:rFonts w:ascii="Times New Roman" w:hAnsi="Times New Roman"/>
          <w:b w:val="0"/>
          <w:color w:val="1F2937"/>
          <w:sz w:val="20"/>
        </w:rPr>
        <w:t xml:space="preserve">(b) </w:t>
      </w:r>
      <w:r>
        <w:rPr>
          <w:rFonts w:ascii="Times New Roman" w:hAnsi="Times New Roman"/>
          <w:b/>
          <w:color w:val="1F2937"/>
          <w:sz w:val="20"/>
        </w:rPr>
        <w:t>Covered Platform Duties.</w:t>
      </w:r>
      <w:r>
        <w:rPr>
          <w:rFonts w:ascii="Times New Roman" w:hAnsi="Times New Roman"/>
          <w:b w:val="0"/>
          <w:color w:val="1F2937"/>
          <w:sz w:val="20"/>
        </w:rPr>
        <w:t xml:space="preserve"> Titles II, III, IV, VI, VII, and VIII shall apply beginning 1 year after enactment, except that the Commission may extend compliance deadlines for specific technical requirements by not more than 1 additional year for good cause.</w:t>
      </w:r>
    </w:p>
    <w:p>
      <w:pPr>
        <w:pStyle w:val="LegalLevel1"/>
      </w:pPr>
      <w:r>
        <w:rPr>
          <w:rFonts w:ascii="Times New Roman" w:hAnsi="Times New Roman"/>
          <w:b w:val="0"/>
          <w:color w:val="1F2937"/>
          <w:sz w:val="20"/>
        </w:rPr>
        <w:t xml:space="preserve">(c) </w:t>
      </w:r>
      <w:r>
        <w:rPr>
          <w:rFonts w:ascii="Times New Roman" w:hAnsi="Times New Roman"/>
          <w:b/>
          <w:color w:val="1F2937"/>
          <w:sz w:val="20"/>
        </w:rPr>
        <w:t>Provenance Standards.</w:t>
      </w:r>
      <w:r>
        <w:rPr>
          <w:rFonts w:ascii="Times New Roman" w:hAnsi="Times New Roman"/>
          <w:b w:val="0"/>
          <w:color w:val="1F2937"/>
          <w:sz w:val="20"/>
        </w:rPr>
        <w:t xml:space="preserve"> Title V shall apply beginning 1 year after NIST identifies or develops applicable standards and the Commission adopts implementing rules.</w:t>
      </w:r>
    </w:p>
    <w:p>
      <w:pPr>
        <w:pStyle w:val="LegalLevel1"/>
      </w:pPr>
      <w:r>
        <w:rPr>
          <w:rFonts w:ascii="Times New Roman" w:hAnsi="Times New Roman"/>
          <w:b w:val="0"/>
          <w:color w:val="1F2937"/>
          <w:sz w:val="20"/>
        </w:rPr>
        <w:t xml:space="preserve">(d) </w:t>
      </w:r>
      <w:r>
        <w:rPr>
          <w:rFonts w:ascii="Times New Roman" w:hAnsi="Times New Roman"/>
          <w:b/>
          <w:color w:val="1F2937"/>
          <w:sz w:val="20"/>
        </w:rPr>
        <w:t>Assessment.</w:t>
      </w:r>
      <w:r>
        <w:rPr>
          <w:rFonts w:ascii="Times New Roman" w:hAnsi="Times New Roman"/>
          <w:b w:val="0"/>
          <w:color w:val="1F2937"/>
          <w:sz w:val="20"/>
        </w:rPr>
        <w:t xml:space="preserve"> Title XI shall apply to taxable years beginning after the date that is 1 year after enactment.</w:t>
      </w:r>
    </w:p>
    <w:p>
      <w:pPr>
        <w:pStyle w:val="SectionHeading"/>
      </w:pPr>
      <w:r>
        <w:rPr>
          <w:rFonts w:ascii="Calibri" w:hAnsi="Calibri"/>
          <w:b/>
          <w:color w:val="0B2545"/>
          <w:sz w:val="19"/>
        </w:rPr>
        <w:t>SEC. 1211. AUTHORIZATION OF APPROPRIATIONS.</w:t>
      </w:r>
    </w:p>
    <w:p>
      <w:pPr>
        <w:pStyle w:val="LegalBody"/>
      </w:pPr>
      <w:r>
        <w:rPr>
          <w:rFonts w:ascii="Times New Roman" w:hAnsi="Times New Roman"/>
          <w:b w:val="0"/>
          <w:color w:val="1F2937"/>
          <w:sz w:val="20"/>
        </w:rPr>
        <w:t>There are authorized to be appropriated:</w:t>
      </w:r>
    </w:p>
    <w:p>
      <w:pPr>
        <w:pStyle w:val="LegalLevel2"/>
      </w:pPr>
      <w:r>
        <w:rPr>
          <w:rFonts w:ascii="Times New Roman" w:hAnsi="Times New Roman"/>
          <w:b w:val="0"/>
          <w:color w:val="1F2937"/>
          <w:sz w:val="20"/>
        </w:rPr>
        <w:t>1. to the Federal Trade Commission, $450,000,000 for each fiscal year 2027 through 2036;</w:t>
      </w:r>
    </w:p>
    <w:p>
      <w:pPr>
        <w:pStyle w:val="LegalLevel2"/>
      </w:pPr>
      <w:r>
        <w:rPr>
          <w:rFonts w:ascii="Times New Roman" w:hAnsi="Times New Roman"/>
          <w:b w:val="0"/>
          <w:color w:val="1F2937"/>
          <w:sz w:val="20"/>
        </w:rPr>
        <w:t>2. to the National Institute of Standards and Technology, $125,000,000 for each fiscal year 2027 through 2036;</w:t>
      </w:r>
    </w:p>
    <w:p>
      <w:pPr>
        <w:pStyle w:val="LegalLevel2"/>
      </w:pPr>
      <w:r>
        <w:rPr>
          <w:rFonts w:ascii="Times New Roman" w:hAnsi="Times New Roman"/>
          <w:b w:val="0"/>
          <w:color w:val="1F2937"/>
          <w:sz w:val="20"/>
        </w:rPr>
        <w:t>3. to the National Science Foundation, $250,000,000 for each fiscal year 2027 through 2036;</w:t>
      </w:r>
    </w:p>
    <w:p>
      <w:pPr>
        <w:pStyle w:val="LegalLevel2"/>
      </w:pPr>
      <w:r>
        <w:rPr>
          <w:rFonts w:ascii="Times New Roman" w:hAnsi="Times New Roman"/>
          <w:b w:val="0"/>
          <w:color w:val="1F2937"/>
          <w:sz w:val="20"/>
        </w:rPr>
        <w:t>4. to the Department of Education, $650,000,000 for each fiscal year 2027 through 2036;</w:t>
      </w:r>
    </w:p>
    <w:p>
      <w:pPr>
        <w:pStyle w:val="LegalLevel2"/>
      </w:pPr>
      <w:r>
        <w:rPr>
          <w:rFonts w:ascii="Times New Roman" w:hAnsi="Times New Roman"/>
          <w:b w:val="0"/>
          <w:color w:val="1F2937"/>
          <w:sz w:val="20"/>
        </w:rPr>
        <w:t>5. to the Institute of Museum and Library Services, $150,000,000 for each fiscal year 2027 through 2036;</w:t>
      </w:r>
    </w:p>
    <w:p>
      <w:pPr>
        <w:pStyle w:val="LegalLevel2"/>
      </w:pPr>
      <w:r>
        <w:rPr>
          <w:rFonts w:ascii="Times New Roman" w:hAnsi="Times New Roman"/>
          <w:b w:val="0"/>
          <w:color w:val="1F2937"/>
          <w:sz w:val="20"/>
        </w:rPr>
        <w:t>6. to the Public Interest Journalism Fund, $1,250,000,000 for each fiscal year 2027 through 2036;</w:t>
      </w:r>
    </w:p>
    <w:p>
      <w:pPr>
        <w:pStyle w:val="LegalLevel2"/>
      </w:pPr>
      <w:r>
        <w:rPr>
          <w:rFonts w:ascii="Times New Roman" w:hAnsi="Times New Roman"/>
          <w:b w:val="0"/>
          <w:color w:val="1F2937"/>
          <w:sz w:val="20"/>
        </w:rPr>
        <w:t>7. to Inspectors General of agencies carrying out this Act, $50,000,000 for each fiscal year 2027 through 2036.</w:t>
      </w:r>
    </w:p>
    <w:p>
      <w:pPr>
        <w:pStyle w:val="Heading1Custom"/>
        <w:pageBreakBefore/>
      </w:pPr>
      <w:r>
        <w:rPr>
          <w:rFonts w:ascii="Calibri" w:hAnsi="Calibri"/>
          <w:b/>
          <w:color w:val="2E74B5"/>
          <w:sz w:val="32"/>
        </w:rPr>
        <w:t>Section Commentary</w:t>
      </w:r>
    </w:p>
    <w:p>
      <w:pPr>
        <w:pStyle w:val="Heading2Custom"/>
      </w:pPr>
      <w:r>
        <w:rPr>
          <w:rFonts w:ascii="Calibri" w:hAnsi="Calibri"/>
          <w:b/>
          <w:color w:val="2E74B5"/>
          <w:sz w:val="26"/>
        </w:rPr>
        <w:t>First Amendment design</w:t>
      </w:r>
    </w:p>
    <w:p>
      <w:pPr>
        <w:pStyle w:val="Body"/>
      </w:pPr>
      <w:r>
        <w:rPr>
          <w:rFonts w:ascii="Calibri" w:hAnsi="Calibri"/>
          <w:b w:val="0"/>
          <w:color w:val="1F2937"/>
          <w:sz w:val="22"/>
        </w:rPr>
        <w:t>The Act avoids direct censorship by saying, repeatedly and structurally, that the Government may not decide truth, require viewpoint balance, or order platforms to suppress lawful speech. This is essential because Section 230 protects platforms from being treated as publishers or speakers of third-party content, while allowing voluntary good-faith moderation. (Legal Information Institute [3])</w:t>
      </w:r>
    </w:p>
    <w:p>
      <w:pPr>
        <w:pStyle w:val="Heading2Custom"/>
      </w:pPr>
      <w:r>
        <w:rPr>
          <w:rFonts w:ascii="Calibri" w:hAnsi="Calibri"/>
          <w:b/>
          <w:color w:val="2E74B5"/>
          <w:sz w:val="26"/>
        </w:rPr>
        <w:t>Algorithmic transparency</w:t>
      </w:r>
    </w:p>
    <w:p>
      <w:pPr>
        <w:pStyle w:val="Body"/>
      </w:pPr>
      <w:r>
        <w:rPr>
          <w:rFonts w:ascii="Calibri" w:hAnsi="Calibri"/>
          <w:b w:val="0"/>
          <w:color w:val="1F2937"/>
          <w:sz w:val="22"/>
        </w:rPr>
        <w:t>The system-card model forces platforms to disclose meaningful information about recommender systems without forcing disclosure of source code, model weights, or trade secrets. This is meant to be a compliance-transparency mechanism, not government control over ranking.</w:t>
      </w:r>
    </w:p>
    <w:p>
      <w:pPr>
        <w:pStyle w:val="Heading2Custom"/>
      </w:pPr>
      <w:r>
        <w:rPr>
          <w:rFonts w:ascii="Calibri" w:hAnsi="Calibri"/>
          <w:b/>
          <w:color w:val="2E74B5"/>
          <w:sz w:val="26"/>
        </w:rPr>
        <w:t>Sharing friction</w:t>
      </w:r>
    </w:p>
    <w:p>
      <w:pPr>
        <w:pStyle w:val="Body"/>
      </w:pPr>
      <w:r>
        <w:rPr>
          <w:rFonts w:ascii="Calibri" w:hAnsi="Calibri"/>
          <w:b w:val="0"/>
          <w:color w:val="1F2937"/>
          <w:sz w:val="22"/>
        </w:rPr>
        <w:t xml:space="preserve">The bill uses </w:t>
      </w:r>
      <w:r>
        <w:rPr>
          <w:rFonts w:ascii="Calibri" w:hAnsi="Calibri"/>
          <w:b/>
          <w:color w:val="1F2937"/>
          <w:sz w:val="22"/>
        </w:rPr>
        <w:t>content-neutral triggers</w:t>
      </w:r>
      <w:r>
        <w:rPr>
          <w:rFonts w:ascii="Calibri" w:hAnsi="Calibri"/>
          <w:b w:val="0"/>
          <w:color w:val="1F2937"/>
          <w:sz w:val="22"/>
        </w:rPr>
        <w:t>: high velocity, bulk forwarding, user failure to open content, automation, and provenance absence. It does not say “this is inflammatory” or “this is misinformation.” That keeps the provision closer to platform design regulation than speech regulation.</w:t>
      </w:r>
    </w:p>
    <w:p>
      <w:pPr>
        <w:pStyle w:val="Heading2Custom"/>
      </w:pPr>
      <w:r>
        <w:rPr>
          <w:rFonts w:ascii="Calibri" w:hAnsi="Calibri"/>
          <w:b/>
          <w:color w:val="2E74B5"/>
          <w:sz w:val="26"/>
        </w:rPr>
        <w:t>Provenance and synthetic media</w:t>
      </w:r>
    </w:p>
    <w:p>
      <w:pPr>
        <w:pStyle w:val="Body"/>
      </w:pPr>
      <w:r>
        <w:rPr>
          <w:rFonts w:ascii="Calibri" w:hAnsi="Calibri"/>
          <w:b w:val="0"/>
          <w:color w:val="1F2937"/>
          <w:sz w:val="22"/>
        </w:rPr>
        <w:t>The Act leans on technical provenance, synthetic-media labeling, and preservation of credentials. NIST’s synthetic-content work already frames provenance, watermarking, labeling, detection, testing, and auditing as technical approaches to reducing risks from synthetic content. (NIST [4])</w:t>
      </w:r>
    </w:p>
    <w:p>
      <w:pPr>
        <w:pStyle w:val="Heading2Custom"/>
      </w:pPr>
      <w:r>
        <w:rPr>
          <w:rFonts w:ascii="Calibri" w:hAnsi="Calibri"/>
          <w:b/>
          <w:color w:val="2E74B5"/>
          <w:sz w:val="26"/>
        </w:rPr>
        <w:t>Rage-bait monetization</w:t>
      </w:r>
    </w:p>
    <w:p>
      <w:pPr>
        <w:pStyle w:val="Body"/>
      </w:pPr>
      <w:r>
        <w:rPr>
          <w:rFonts w:ascii="Calibri" w:hAnsi="Calibri"/>
          <w:b w:val="0"/>
          <w:color w:val="1F2937"/>
          <w:sz w:val="22"/>
        </w:rPr>
        <w:t xml:space="preserve">The bill does not ban rage-bait as speech. Instead, it attacks the </w:t>
      </w:r>
      <w:r>
        <w:rPr>
          <w:rFonts w:ascii="Calibri" w:hAnsi="Calibri"/>
          <w:b/>
          <w:color w:val="1F2937"/>
          <w:sz w:val="22"/>
        </w:rPr>
        <w:t>monetization channels</w:t>
      </w:r>
      <w:r>
        <w:rPr>
          <w:rFonts w:ascii="Calibri" w:hAnsi="Calibri"/>
          <w:b w:val="0"/>
          <w:color w:val="1F2937"/>
          <w:sz w:val="22"/>
        </w:rPr>
        <w:t xml:space="preserve"> where they are deceptive or manipulative: fake engagement, hidden sponsorship, bot payouts, synthetic impersonation, and monetization systems that knowingly reward deceptive amplification. This approach resembles existing consumer-protection logic, including the FTC’s final rule against fake reviews and testimonials, which also targets AI-generated fake indicators and allows civil penalties. (Federal Trade Commission [5])</w:t>
      </w:r>
    </w:p>
    <w:p>
      <w:pPr>
        <w:pStyle w:val="Heading2Custom"/>
      </w:pPr>
      <w:r>
        <w:rPr>
          <w:rFonts w:ascii="Calibri" w:hAnsi="Calibri"/>
          <w:b/>
          <w:color w:val="2E74B5"/>
          <w:sz w:val="26"/>
        </w:rPr>
        <w:t>Public-interest journalism</w:t>
      </w:r>
    </w:p>
    <w:p>
      <w:pPr>
        <w:pStyle w:val="Body"/>
      </w:pPr>
      <w:r>
        <w:rPr>
          <w:rFonts w:ascii="Calibri" w:hAnsi="Calibri"/>
          <w:b w:val="0"/>
          <w:color w:val="1F2937"/>
          <w:sz w:val="22"/>
        </w:rPr>
        <w:t>The journalism title has a heavy editorial firewall. Grants are based on objective civic-information needs, not ideology. The Government cannot tell a newsroom what to publish, whom to criticize, or what line to take. No editorial control, coercion, or viewpoint conditions are authorized.</w:t>
      </w:r>
    </w:p>
    <w:p>
      <w:pPr>
        <w:pStyle w:val="Heading1Custom"/>
        <w:pageBreakBefore/>
      </w:pPr>
      <w:r>
        <w:rPr>
          <w:rFonts w:ascii="Calibri" w:hAnsi="Calibri"/>
          <w:b/>
          <w:color w:val="2E74B5"/>
          <w:sz w:val="32"/>
        </w:rPr>
        <w:t>Constitutional and Litigation Risk Analysis</w:t>
      </w:r>
    </w:p>
    <w:tbl>
      <w:tblPr>
        <w:tblW w:type="dxa" w:w="9360"/>
        <w:jc w:val="left"/>
        <w:tblLayout w:type="fixed"/>
        <w:tblLook w:firstColumn="1" w:firstRow="1" w:lastColumn="0" w:lastRow="0" w:noHBand="0" w:noVBand="1" w:val="04A0"/>
        <w:tblInd w:w="120" w:type="dxa"/>
        <w:tblCellMar>
          <w:top w:w="95" w:type="dxa"/>
          <w:start w:w="115" w:type="dxa"/>
          <w:bottom w:w="95" w:type="dxa"/>
          <w:end w:w="115" w:type="dxa"/>
        </w:tblCellMar>
      </w:tblPr>
      <w:tblGrid>
        <w:gridCol w:w="1850"/>
        <w:gridCol w:w="1350"/>
        <w:gridCol w:w="2950"/>
        <w:gridCol w:w="3210"/>
      </w:tblGrid>
      <w:tr>
        <w:trPr>
          <w:tblHeader w:val="true"/>
        </w:trPr>
        <w:tc>
          <w:tcPr>
            <w:tcW w:type="dxa" w:w="1850"/>
            <w:tcBorders>
              <w:top w:val="single" w:sz="6" w:space="0" w:color="CBD5E1"/>
              <w:left w:val="single" w:sz="6" w:space="0" w:color="CBD5E1"/>
              <w:bottom w:val="single" w:sz="6" w:space="0" w:color="CBD5E1"/>
              <w:right w:val="single" w:sz="6" w:space="0" w:color="CBD5E1"/>
            </w:tcBorders>
            <w:vAlign w:val="center"/>
            <w:shd w:fill="F2F4F7"/>
          </w:tcPr>
          <w:p>
            <w:pPr>
              <w:spacing w:after="0" w:line="252" w:lineRule="auto"/>
            </w:pPr>
            <w:r>
              <w:rPr>
                <w:rFonts w:ascii="Calibri" w:hAnsi="Calibri"/>
                <w:b/>
                <w:color w:val="0B2545"/>
                <w:sz w:val="18"/>
              </w:rPr>
              <w:t>Issue</w:t>
            </w:r>
          </w:p>
        </w:tc>
        <w:tc>
          <w:tcPr>
            <w:tcW w:type="dxa" w:w="1350"/>
            <w:tcBorders>
              <w:top w:val="single" w:sz="6" w:space="0" w:color="CBD5E1"/>
              <w:left w:val="single" w:sz="6" w:space="0" w:color="CBD5E1"/>
              <w:bottom w:val="single" w:sz="6" w:space="0" w:color="CBD5E1"/>
              <w:right w:val="single" w:sz="6" w:space="0" w:color="CBD5E1"/>
            </w:tcBorders>
            <w:vAlign w:val="center"/>
            <w:shd w:fill="F2F4F7"/>
          </w:tcPr>
          <w:p>
            <w:pPr>
              <w:spacing w:after="0" w:line="252" w:lineRule="auto"/>
            </w:pPr>
            <w:r>
              <w:rPr>
                <w:rFonts w:ascii="Calibri" w:hAnsi="Calibri"/>
                <w:b/>
                <w:color w:val="0B2545"/>
                <w:sz w:val="18"/>
              </w:rPr>
              <w:t>Risk</w:t>
            </w:r>
          </w:p>
        </w:tc>
        <w:tc>
          <w:tcPr>
            <w:tcW w:type="dxa" w:w="2950"/>
            <w:tcBorders>
              <w:top w:val="single" w:sz="6" w:space="0" w:color="CBD5E1"/>
              <w:left w:val="single" w:sz="6" w:space="0" w:color="CBD5E1"/>
              <w:bottom w:val="single" w:sz="6" w:space="0" w:color="CBD5E1"/>
              <w:right w:val="single" w:sz="6" w:space="0" w:color="CBD5E1"/>
            </w:tcBorders>
            <w:vAlign w:val="center"/>
            <w:shd w:fill="F2F4F7"/>
          </w:tcPr>
          <w:p>
            <w:pPr>
              <w:spacing w:after="0" w:line="252" w:lineRule="auto"/>
            </w:pPr>
            <w:r>
              <w:rPr>
                <w:rFonts w:ascii="Calibri" w:hAnsi="Calibri"/>
                <w:b/>
                <w:color w:val="0B2545"/>
                <w:sz w:val="18"/>
              </w:rPr>
              <w:t>Why</w:t>
            </w:r>
          </w:p>
        </w:tc>
        <w:tc>
          <w:tcPr>
            <w:tcW w:type="dxa" w:w="3210"/>
            <w:tcBorders>
              <w:top w:val="single" w:sz="6" w:space="0" w:color="CBD5E1"/>
              <w:left w:val="single" w:sz="6" w:space="0" w:color="CBD5E1"/>
              <w:bottom w:val="single" w:sz="6" w:space="0" w:color="CBD5E1"/>
              <w:right w:val="single" w:sz="6" w:space="0" w:color="CBD5E1"/>
            </w:tcBorders>
            <w:vAlign w:val="center"/>
            <w:shd w:fill="F2F4F7"/>
          </w:tcPr>
          <w:p>
            <w:pPr>
              <w:spacing w:after="0" w:line="252" w:lineRule="auto"/>
            </w:pPr>
            <w:r>
              <w:rPr>
                <w:rFonts w:ascii="Calibri" w:hAnsi="Calibri"/>
                <w:b/>
                <w:color w:val="0B2545"/>
                <w:sz w:val="18"/>
              </w:rPr>
              <w:t>Drafting Protection</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Platform content curation</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High if direct</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Supreme Court treats curated feeds and ranking as expressive activity.</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No duty to carry, remove, demote, rank, or balance speech.</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Algorithmic transparency</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Medium</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Could become burdensome or reveal editorial judgment/trade secrets.</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High-level system cards, trade-secret protections, no source-code mandate.</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Sharing friction</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Medium</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Could be attacked as burdening redistribution.</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Objective, content-neutral triggers; user may proceed; no truth label.</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Synthetic media labels</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Medium</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Compelled disclosure risk.</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Limited to factual creation-method disclosure, strongest in paid/monetized/commercial/high-distribution contexts.</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News/opinion/satire labels</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Medium to high if mandatory</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Government classification of journalism is dangerous.</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Voluntary labels except paid/sponsored/synthetic contexts.</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Public journalism grants</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Medium</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Government funding of press can become viewpoint leverage.</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Independent board, objective criteria, explicit editorial firewall.</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Platform assessment fee</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Medium</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Targeting expressive businesses can draw First Amendment challenge.</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Revenue-based, content-neutral, viewpoint-neutral, tied to regulatory and public-resilience costs.</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Research access</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Medium</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Privacy, trade secrets, and editorial concerns.</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Secure data rooms, data minimization, no viewpoint database.</w:t>
            </w:r>
          </w:p>
        </w:tc>
      </w:tr>
      <w:tr>
        <w:tc>
          <w:tcPr>
            <w:tcW w:type="dxa" w:w="18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7"/>
              </w:rPr>
              <w:t>Agency-platform communications</w:t>
            </w:r>
          </w:p>
        </w:tc>
        <w:tc>
          <w:tcPr>
            <w:tcW w:type="dxa" w:w="13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val="0"/>
                <w:color w:val="1F2937"/>
                <w:sz w:val="17"/>
              </w:rPr>
              <w:t>Low to protective</w:t>
            </w:r>
          </w:p>
        </w:tc>
        <w:tc>
          <w:tcPr>
            <w:tcW w:type="dxa" w:w="295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Addresses jawboning risk.</w:t>
            </w:r>
          </w:p>
        </w:tc>
        <w:tc>
          <w:tcPr>
            <w:tcW w:type="dxa" w:w="321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7"/>
              </w:rPr>
              <w:t>Written communications, public logs, anti-coercion rule.</w:t>
            </w:r>
          </w:p>
        </w:tc>
      </w:tr>
    </w:tbl>
    <w:p>
      <w:pPr>
        <w:spacing w:after="120"/>
      </w:pPr>
    </w:p>
    <w:p>
      <w:pPr>
        <w:pStyle w:val="Heading1Custom"/>
        <w:pageBreakBefore/>
      </w:pPr>
      <w:r>
        <w:rPr>
          <w:rFonts w:ascii="Calibri" w:hAnsi="Calibri"/>
          <w:b/>
          <w:color w:val="2E74B5"/>
          <w:sz w:val="32"/>
        </w:rPr>
        <w:t>Fiscal Note</w:t>
      </w:r>
    </w:p>
    <w:p>
      <w:pPr>
        <w:pStyle w:val="Body"/>
      </w:pPr>
      <w:r>
        <w:rPr>
          <w:rFonts w:ascii="Calibri" w:hAnsi="Calibri"/>
          <w:b w:val="0"/>
          <w:color w:val="1F2937"/>
          <w:sz w:val="22"/>
        </w:rPr>
        <w:t xml:space="preserve">These are </w:t>
      </w:r>
      <w:r>
        <w:rPr>
          <w:rFonts w:ascii="Calibri" w:hAnsi="Calibri"/>
          <w:b/>
          <w:color w:val="1F2937"/>
          <w:sz w:val="22"/>
        </w:rPr>
        <w:t>model estimates</w:t>
      </w:r>
      <w:r>
        <w:rPr>
          <w:rFonts w:ascii="Calibri" w:hAnsi="Calibri"/>
          <w:b w:val="0"/>
          <w:color w:val="1F2937"/>
          <w:sz w:val="22"/>
        </w:rPr>
        <w:t>, not a CBO score.</w:t>
      </w:r>
    </w:p>
    <w:tbl>
      <w:tblPr>
        <w:tblW w:type="dxa" w:w="9360"/>
        <w:jc w:val="left"/>
        <w:tblLayout w:type="fixed"/>
        <w:tblLook w:firstColumn="1" w:firstRow="1" w:lastColumn="0" w:lastRow="0" w:noHBand="0" w:noVBand="1" w:val="04A0"/>
        <w:tblInd w:w="120" w:type="dxa"/>
        <w:tblCellMar>
          <w:top w:w="95" w:type="dxa"/>
          <w:start w:w="115" w:type="dxa"/>
          <w:bottom w:w="95" w:type="dxa"/>
          <w:end w:w="115" w:type="dxa"/>
        </w:tblCellMar>
      </w:tblPr>
      <w:tblGrid>
        <w:gridCol w:w="1300"/>
        <w:gridCol w:w="2300"/>
        <w:gridCol w:w="5760"/>
      </w:tblGrid>
      <w:tr>
        <w:trPr>
          <w:tblHeader w:val="true"/>
        </w:trPr>
        <w:tc>
          <w:tcPr>
            <w:tcW w:type="dxa" w:w="1300"/>
            <w:tcBorders>
              <w:top w:val="single" w:sz="6" w:space="0" w:color="CBD5E1"/>
              <w:left w:val="single" w:sz="6" w:space="0" w:color="CBD5E1"/>
              <w:bottom w:val="single" w:sz="6" w:space="0" w:color="CBD5E1"/>
              <w:right w:val="single" w:sz="6" w:space="0" w:color="CBD5E1"/>
            </w:tcBorders>
            <w:vAlign w:val="center"/>
            <w:shd w:fill="F2F4F7"/>
          </w:tcPr>
          <w:p>
            <w:pPr>
              <w:spacing w:after="0" w:line="252" w:lineRule="auto"/>
            </w:pPr>
            <w:r>
              <w:rPr>
                <w:rFonts w:ascii="Calibri" w:hAnsi="Calibri"/>
                <w:b/>
                <w:color w:val="0B2545"/>
                <w:sz w:val="18"/>
              </w:rPr>
              <w:t>Window</w:t>
            </w:r>
          </w:p>
        </w:tc>
        <w:tc>
          <w:tcPr>
            <w:tcW w:type="dxa" w:w="2300"/>
            <w:tcBorders>
              <w:top w:val="single" w:sz="6" w:space="0" w:color="CBD5E1"/>
              <w:left w:val="single" w:sz="6" w:space="0" w:color="CBD5E1"/>
              <w:bottom w:val="single" w:sz="6" w:space="0" w:color="CBD5E1"/>
              <w:right w:val="single" w:sz="6" w:space="0" w:color="CBD5E1"/>
            </w:tcBorders>
            <w:vAlign w:val="center"/>
            <w:shd w:fill="F2F4F7"/>
          </w:tcPr>
          <w:p>
            <w:pPr>
              <w:spacing w:after="0" w:line="252" w:lineRule="auto"/>
            </w:pPr>
            <w:r>
              <w:rPr>
                <w:rFonts w:ascii="Calibri" w:hAnsi="Calibri"/>
                <w:b/>
                <w:color w:val="0B2545"/>
                <w:sz w:val="18"/>
              </w:rPr>
              <w:t>Estimated Federal Outlays</w:t>
            </w:r>
          </w:p>
        </w:tc>
        <w:tc>
          <w:tcPr>
            <w:tcW w:type="dxa" w:w="5760"/>
            <w:tcBorders>
              <w:top w:val="single" w:sz="6" w:space="0" w:color="CBD5E1"/>
              <w:left w:val="single" w:sz="6" w:space="0" w:color="CBD5E1"/>
              <w:bottom w:val="single" w:sz="6" w:space="0" w:color="CBD5E1"/>
              <w:right w:val="single" w:sz="6" w:space="0" w:color="CBD5E1"/>
            </w:tcBorders>
            <w:vAlign w:val="center"/>
            <w:shd w:fill="F2F4F7"/>
          </w:tcPr>
          <w:p>
            <w:pPr>
              <w:spacing w:after="0" w:line="252" w:lineRule="auto"/>
            </w:pPr>
            <w:r>
              <w:rPr>
                <w:rFonts w:ascii="Calibri" w:hAnsi="Calibri"/>
                <w:b/>
                <w:color w:val="0B2545"/>
                <w:sz w:val="18"/>
              </w:rPr>
              <w:t>Primary Cost Drivers</w:t>
            </w:r>
          </w:p>
        </w:tc>
      </w:tr>
      <w:tr>
        <w:tc>
          <w:tcPr>
            <w:tcW w:type="dxa" w:w="130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8"/>
              </w:rPr>
              <w:t>1 year</w:t>
            </w:r>
          </w:p>
        </w:tc>
        <w:tc>
          <w:tcPr>
            <w:tcW w:type="dxa" w:w="230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8"/>
              </w:rPr>
              <w:t>$2.9 billion</w:t>
            </w:r>
          </w:p>
        </w:tc>
        <w:tc>
          <w:tcPr>
            <w:tcW w:type="dxa" w:w="576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8"/>
              </w:rPr>
              <w:t>FTC staffing, NIST standards, education grants, journalism fund startup</w:t>
            </w:r>
          </w:p>
        </w:tc>
      </w:tr>
      <w:tr>
        <w:tc>
          <w:tcPr>
            <w:tcW w:type="dxa" w:w="130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8"/>
              </w:rPr>
              <w:t>5 years</w:t>
            </w:r>
          </w:p>
        </w:tc>
        <w:tc>
          <w:tcPr>
            <w:tcW w:type="dxa" w:w="230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8"/>
              </w:rPr>
              <w:t>$14.4 billion</w:t>
            </w:r>
          </w:p>
        </w:tc>
        <w:tc>
          <w:tcPr>
            <w:tcW w:type="dxa" w:w="576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8"/>
              </w:rPr>
              <w:t>Grants, researcher access, audits oversight, public-interest journalism</w:t>
            </w:r>
          </w:p>
        </w:tc>
      </w:tr>
      <w:tr>
        <w:tc>
          <w:tcPr>
            <w:tcW w:type="dxa" w:w="130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8"/>
              </w:rPr>
              <w:t>10 years</w:t>
            </w:r>
          </w:p>
        </w:tc>
        <w:tc>
          <w:tcPr>
            <w:tcW w:type="dxa" w:w="230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8"/>
              </w:rPr>
              <w:t>$28.8 billion</w:t>
            </w:r>
          </w:p>
        </w:tc>
        <w:tc>
          <w:tcPr>
            <w:tcW w:type="dxa" w:w="576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8"/>
              </w:rPr>
              <w:t>Full program authorization</w:t>
            </w:r>
          </w:p>
        </w:tc>
      </w:tr>
      <w:tr>
        <w:tc>
          <w:tcPr>
            <w:tcW w:type="dxa" w:w="1300"/>
            <w:tcBorders>
              <w:top w:val="single" w:sz="6" w:space="0" w:color="CBD5E1"/>
              <w:left w:val="single" w:sz="6" w:space="0" w:color="CBD5E1"/>
              <w:bottom w:val="single" w:sz="6" w:space="0" w:color="CBD5E1"/>
              <w:right w:val="single" w:sz="6" w:space="0" w:color="CBD5E1"/>
            </w:tcBorders>
            <w:vAlign w:val="center"/>
          </w:tcPr>
          <w:p>
            <w:pPr>
              <w:spacing w:after="0" w:line="252" w:lineRule="auto"/>
              <w:jc w:val="center"/>
            </w:pPr>
            <w:r>
              <w:rPr>
                <w:rFonts w:ascii="Calibri" w:hAnsi="Calibri"/>
                <w:b/>
                <w:color w:val="1F2937"/>
                <w:sz w:val="18"/>
              </w:rPr>
              <w:t>30 years</w:t>
            </w:r>
          </w:p>
        </w:tc>
        <w:tc>
          <w:tcPr>
            <w:tcW w:type="dxa" w:w="230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8"/>
              </w:rPr>
              <w:t>$86.4 billion</w:t>
            </w:r>
          </w:p>
        </w:tc>
        <w:tc>
          <w:tcPr>
            <w:tcW w:type="dxa" w:w="5760"/>
            <w:tcBorders>
              <w:top w:val="single" w:sz="6" w:space="0" w:color="CBD5E1"/>
              <w:left w:val="single" w:sz="6" w:space="0" w:color="CBD5E1"/>
              <w:bottom w:val="single" w:sz="6" w:space="0" w:color="CBD5E1"/>
              <w:right w:val="single" w:sz="6" w:space="0" w:color="CBD5E1"/>
            </w:tcBorders>
            <w:vAlign w:val="center"/>
          </w:tcPr>
          <w:p>
            <w:pPr>
              <w:spacing w:after="0" w:line="252" w:lineRule="auto"/>
              <w:jc w:val="left"/>
            </w:pPr>
            <w:r>
              <w:rPr>
                <w:rFonts w:ascii="Calibri" w:hAnsi="Calibri"/>
                <w:b w:val="0"/>
                <w:color w:val="1F2937"/>
                <w:sz w:val="18"/>
              </w:rPr>
              <w:t>Continuation with flat nominal funding</w:t>
            </w:r>
          </w:p>
        </w:tc>
      </w:tr>
    </w:tbl>
    <w:p>
      <w:pPr>
        <w:spacing w:after="120"/>
      </w:pPr>
    </w:p>
    <w:p>
      <w:pPr>
        <w:pStyle w:val="Heading2Custom"/>
      </w:pPr>
      <w:r>
        <w:rPr>
          <w:rFonts w:ascii="Calibri" w:hAnsi="Calibri"/>
          <w:b/>
          <w:color w:val="2E74B5"/>
          <w:sz w:val="26"/>
        </w:rPr>
        <w:t>Revenue</w:t>
      </w:r>
    </w:p>
    <w:p>
      <w:pPr>
        <w:pStyle w:val="Body"/>
      </w:pPr>
      <w:r>
        <w:rPr>
          <w:rFonts w:ascii="Calibri" w:hAnsi="Calibri"/>
          <w:b w:val="0"/>
          <w:color w:val="1F2937"/>
          <w:sz w:val="22"/>
        </w:rPr>
        <w:t>The Digital Information Resilience Assessment could offset a substantial portion or all of the program cost depending on covered-platform revenue. The rate is deliberately modest, but because the base is large-platform digital attention revenue, it turns information hygiene into a real enterprise compliance cost rather than a purely voluntary corporate-responsibility statement.</w:t>
      </w:r>
    </w:p>
    <w:p>
      <w:pPr>
        <w:pStyle w:val="Heading1Custom"/>
        <w:pageBreakBefore/>
      </w:pPr>
      <w:r>
        <w:rPr>
          <w:rFonts w:ascii="Calibri" w:hAnsi="Calibri"/>
          <w:b/>
          <w:color w:val="2E74B5"/>
          <w:sz w:val="32"/>
        </w:rPr>
        <w:t>Implementation Roadmap</w:t>
      </w:r>
    </w:p>
    <w:p>
      <w:pPr>
        <w:pStyle w:val="Heading2Custom"/>
      </w:pPr>
      <w:r>
        <w:rPr>
          <w:rFonts w:ascii="Calibri" w:hAnsi="Calibri"/>
          <w:b/>
          <w:color w:val="2E74B5"/>
          <w:sz w:val="26"/>
        </w:rPr>
        <w:t>0 to 90 days</w:t>
      </w:r>
    </w:p>
    <w:p>
      <w:pPr>
        <w:pStyle w:val="Body"/>
      </w:pPr>
      <w:r>
        <w:rPr>
          <w:rFonts w:ascii="Calibri" w:hAnsi="Calibri"/>
          <w:b w:val="0"/>
          <w:color w:val="1F2937"/>
          <w:sz w:val="22"/>
        </w:rPr>
        <w:t>FTC establishes Office of Digital Attention Markets. NIST begins provenance standards process. Education Department drafts media-literacy grant framework. Agencies prepare speech-communication log procedures.</w:t>
      </w:r>
    </w:p>
    <w:p>
      <w:pPr>
        <w:pStyle w:val="Heading2Custom"/>
      </w:pPr>
      <w:r>
        <w:rPr>
          <w:rFonts w:ascii="Calibri" w:hAnsi="Calibri"/>
          <w:b/>
          <w:color w:val="2E74B5"/>
          <w:sz w:val="26"/>
        </w:rPr>
        <w:t>3 to 6 months</w:t>
      </w:r>
    </w:p>
    <w:p>
      <w:pPr>
        <w:pStyle w:val="Body"/>
      </w:pPr>
      <w:r>
        <w:rPr>
          <w:rFonts w:ascii="Calibri" w:hAnsi="Calibri"/>
          <w:b w:val="0"/>
          <w:color w:val="1F2937"/>
          <w:sz w:val="22"/>
        </w:rPr>
        <w:t>FTC issues proposed rules on platform designation, system cards, transparency reports, sharing friction, monetization integrity, and audit standards. NIST convenes standards bodies and civil-society experts.</w:t>
      </w:r>
    </w:p>
    <w:p>
      <w:pPr>
        <w:pStyle w:val="Heading2Custom"/>
      </w:pPr>
      <w:r>
        <w:rPr>
          <w:rFonts w:ascii="Calibri" w:hAnsi="Calibri"/>
          <w:b/>
          <w:color w:val="2E74B5"/>
          <w:sz w:val="26"/>
        </w:rPr>
        <w:t>6 to 12 months</w:t>
      </w:r>
    </w:p>
    <w:p>
      <w:pPr>
        <w:pStyle w:val="Body"/>
      </w:pPr>
      <w:r>
        <w:rPr>
          <w:rFonts w:ascii="Calibri" w:hAnsi="Calibri"/>
          <w:b w:val="0"/>
          <w:color w:val="1F2937"/>
          <w:sz w:val="22"/>
        </w:rPr>
        <w:t>Covered platforms register. Platforms appoint compliance officers. Initial user-control and transparency architecture begins. Public Interest Journalism Board nominations proceed.</w:t>
      </w:r>
    </w:p>
    <w:p>
      <w:pPr>
        <w:pStyle w:val="Heading2Custom"/>
      </w:pPr>
      <w:r>
        <w:rPr>
          <w:rFonts w:ascii="Calibri" w:hAnsi="Calibri"/>
          <w:b/>
          <w:color w:val="2E74B5"/>
          <w:sz w:val="26"/>
        </w:rPr>
        <w:t>Year 2</w:t>
      </w:r>
    </w:p>
    <w:p>
      <w:pPr>
        <w:pStyle w:val="Body"/>
      </w:pPr>
      <w:r>
        <w:rPr>
          <w:rFonts w:ascii="Calibri" w:hAnsi="Calibri"/>
          <w:b w:val="0"/>
          <w:color w:val="1F2937"/>
          <w:sz w:val="22"/>
        </w:rPr>
        <w:t>First system cards published. Sharing friction active for read-before-share and high-velocity triggers. First monetization risk assessments completed. Research access pilots open.</w:t>
      </w:r>
    </w:p>
    <w:p>
      <w:pPr>
        <w:pStyle w:val="Heading2Custom"/>
      </w:pPr>
      <w:r>
        <w:rPr>
          <w:rFonts w:ascii="Calibri" w:hAnsi="Calibri"/>
          <w:b/>
          <w:color w:val="2E74B5"/>
          <w:sz w:val="26"/>
        </w:rPr>
        <w:t>Years 3 to 5</w:t>
      </w:r>
    </w:p>
    <w:p>
      <w:pPr>
        <w:pStyle w:val="Body"/>
      </w:pPr>
      <w:r>
        <w:rPr>
          <w:rFonts w:ascii="Calibri" w:hAnsi="Calibri"/>
          <w:b w:val="0"/>
          <w:color w:val="1F2937"/>
          <w:sz w:val="22"/>
        </w:rPr>
        <w:t>Full audit cycle. Public reports mature. Media-literacy grants scale nationally. Journalism payroll credit and local reporting grants begin measurable civic-information impact review.</w:t>
      </w:r>
    </w:p>
    <w:p>
      <w:pPr>
        <w:pStyle w:val="Heading2Custom"/>
      </w:pPr>
      <w:r>
        <w:rPr>
          <w:rFonts w:ascii="Calibri" w:hAnsi="Calibri"/>
          <w:b/>
          <w:color w:val="2E74B5"/>
          <w:sz w:val="26"/>
        </w:rPr>
        <w:t>Years 5 to 10</w:t>
      </w:r>
    </w:p>
    <w:p>
      <w:pPr>
        <w:pStyle w:val="Body"/>
      </w:pPr>
      <w:r>
        <w:rPr>
          <w:rFonts w:ascii="Calibri" w:hAnsi="Calibri"/>
          <w:b w:val="0"/>
          <w:color w:val="1F2937"/>
          <w:sz w:val="22"/>
        </w:rPr>
        <w:t>Congress receives formal reauthorization and constitutional-performance reports. FTC recommends amendments based on litigation outcomes, technology change, and audit findings.</w:t>
      </w:r>
    </w:p>
    <w:p>
      <w:pPr>
        <w:pStyle w:val="Heading1Custom"/>
        <w:pageBreakBefore/>
      </w:pPr>
      <w:r>
        <w:rPr>
          <w:rFonts w:ascii="Calibri" w:hAnsi="Calibri"/>
          <w:b/>
          <w:color w:val="2E74B5"/>
          <w:sz w:val="32"/>
        </w:rPr>
        <w:t>Quality-Check</w:t>
      </w:r>
    </w:p>
    <w:p>
      <w:pPr>
        <w:pStyle w:val="Body"/>
      </w:pPr>
      <w:r>
        <w:rPr>
          <w:rFonts w:ascii="Calibri" w:hAnsi="Calibri"/>
          <w:b/>
          <w:color w:val="1F4D78"/>
          <w:sz w:val="22"/>
        </w:rPr>
        <w:t>Consistency:</w:t>
      </w:r>
      <w:r>
        <w:rPr>
          <w:rFonts w:ascii="Calibri" w:hAnsi="Calibri"/>
          <w:b w:val="0"/>
          <w:color w:val="1F2937"/>
          <w:sz w:val="22"/>
        </w:rPr>
        <w:t xml:space="preserve"> The bill uses one unified framework: covered platforms, recommender transparency, sharing friction, provenance, monetization integrity, research access, media literacy, and journalism support.</w:t>
      </w:r>
    </w:p>
    <w:p>
      <w:pPr>
        <w:pStyle w:val="Body"/>
      </w:pPr>
      <w:r>
        <w:rPr>
          <w:rFonts w:ascii="Calibri" w:hAnsi="Calibri"/>
          <w:b/>
          <w:color w:val="1F4D78"/>
          <w:sz w:val="22"/>
        </w:rPr>
        <w:t>Authority:</w:t>
      </w:r>
      <w:r>
        <w:rPr>
          <w:rFonts w:ascii="Calibri" w:hAnsi="Calibri"/>
          <w:b w:val="0"/>
          <w:color w:val="1F2937"/>
          <w:sz w:val="22"/>
        </w:rPr>
        <w:t xml:space="preserve"> Strongest bases are Commerce Clause, taxing power, Spending Clause, FTC consumer-protection authority, and NIST standards authority.</w:t>
      </w:r>
    </w:p>
    <w:p>
      <w:pPr>
        <w:pStyle w:val="Body"/>
      </w:pPr>
      <w:r>
        <w:rPr>
          <w:rFonts w:ascii="Calibri" w:hAnsi="Calibri"/>
          <w:b/>
          <w:color w:val="1F4D78"/>
          <w:sz w:val="22"/>
        </w:rPr>
        <w:t>Constitutional risk:</w:t>
      </w:r>
      <w:r>
        <w:rPr>
          <w:rFonts w:ascii="Calibri" w:hAnsi="Calibri"/>
          <w:b w:val="0"/>
          <w:color w:val="1F2937"/>
          <w:sz w:val="22"/>
        </w:rPr>
        <w:t xml:space="preserve"> The draft avoids direct speech suppression, viewpoint discrimination, compelled truth labels, press licensing, and platform must-carry duties. Highest-risk pieces are the assessment fee, synthetic labeling, and any future rulemaking that becomes too content-specific.</w:t>
      </w:r>
    </w:p>
    <w:p>
      <w:pPr>
        <w:pStyle w:val="Body"/>
      </w:pPr>
      <w:r>
        <w:rPr>
          <w:rFonts w:ascii="Calibri" w:hAnsi="Calibri"/>
          <w:b/>
          <w:color w:val="1F4D78"/>
          <w:sz w:val="22"/>
        </w:rPr>
        <w:t>Enforceability:</w:t>
      </w:r>
      <w:r>
        <w:rPr>
          <w:rFonts w:ascii="Calibri" w:hAnsi="Calibri"/>
          <w:b w:val="0"/>
          <w:color w:val="1F2937"/>
          <w:sz w:val="22"/>
        </w:rPr>
        <w:t xml:space="preserve"> FTC, state attorneys general, independent audits, executive certifications, civil penalties, corrective action plans, and monitors give the bill teeth.</w:t>
      </w:r>
    </w:p>
    <w:p>
      <w:pPr>
        <w:pStyle w:val="Body"/>
      </w:pPr>
      <w:r>
        <w:rPr>
          <w:rFonts w:ascii="Calibri" w:hAnsi="Calibri"/>
          <w:b/>
          <w:color w:val="1F4D78"/>
          <w:sz w:val="22"/>
        </w:rPr>
        <w:t>Fiscal assumptions:</w:t>
      </w:r>
      <w:r>
        <w:rPr>
          <w:rFonts w:ascii="Calibri" w:hAnsi="Calibri"/>
          <w:b w:val="0"/>
          <w:color w:val="1F2937"/>
          <w:sz w:val="22"/>
        </w:rPr>
        <w:t xml:space="preserve"> Program costs are substantial, likely around $2.9 billion annually in the model authorization. Revenue offset depends on final platform-revenue base.</w:t>
      </w:r>
    </w:p>
    <w:p>
      <w:pPr>
        <w:pStyle w:val="Body"/>
      </w:pPr>
      <w:r>
        <w:rPr>
          <w:rFonts w:ascii="Calibri" w:hAnsi="Calibri"/>
          <w:b/>
          <w:color w:val="1F4D78"/>
          <w:sz w:val="22"/>
        </w:rPr>
        <w:t>Implementation risk:</w:t>
      </w:r>
      <w:r>
        <w:rPr>
          <w:rFonts w:ascii="Calibri" w:hAnsi="Calibri"/>
          <w:b w:val="0"/>
          <w:color w:val="1F2937"/>
          <w:sz w:val="22"/>
        </w:rPr>
        <w:t xml:space="preserve"> Agencies will need technical staff, privacy-protective research systems, and careful rulemaking. Platforms will fight this with constitutional litigation, preemption arguments, trade-secret arguments, and “burdensome compliance” claims.</w:t>
      </w:r>
    </w:p>
    <w:p>
      <w:pPr>
        <w:pStyle w:val="Heading1Custom"/>
        <w:pageBreakBefore/>
      </w:pPr>
      <w:r>
        <w:rPr>
          <w:rFonts w:ascii="Calibri" w:hAnsi="Calibri"/>
          <w:b/>
          <w:color w:val="2E74B5"/>
          <w:sz w:val="32"/>
        </w:rPr>
        <w:t>Sources</w:t>
      </w:r>
    </w:p>
    <w:p>
      <w:pPr>
        <w:pStyle w:val="SourceEntry"/>
      </w:pPr>
      <w:r>
        <w:rPr>
          <w:rFonts w:ascii="Calibri" w:hAnsi="Calibri"/>
          <w:b/>
          <w:color w:val="1F4D78"/>
          <w:sz w:val="18"/>
        </w:rPr>
        <w:t xml:space="preserve">[1] </w:t>
      </w:r>
      <w:r>
        <w:rPr>
          <w:rFonts w:ascii="Calibri" w:hAnsi="Calibri"/>
          <w:color w:val="1F2937"/>
          <w:sz w:val="18"/>
        </w:rPr>
        <w:t xml:space="preserve">22-277 Moody v. NetChoice, LLC (07/01/2024): </w:t>
      </w:r>
      <w:r>
        <w:rPr>
          <w:rFonts w:ascii="Calibri" w:hAnsi="Calibri"/>
          <w:color w:val="5C6370"/>
          <w:sz w:val="18"/>
        </w:rPr>
        <w:t>https://www.supremecourt.gov/opinions/23pdf/22-277_d18f.pdf</w:t>
      </w:r>
    </w:p>
    <w:p>
      <w:pPr>
        <w:pStyle w:val="SourceEntry"/>
      </w:pPr>
      <w:r>
        <w:rPr>
          <w:rFonts w:ascii="Calibri" w:hAnsi="Calibri"/>
          <w:b/>
          <w:color w:val="1F4D78"/>
          <w:sz w:val="18"/>
        </w:rPr>
        <w:t xml:space="preserve">[2] </w:t>
      </w:r>
      <w:r>
        <w:rPr>
          <w:rFonts w:ascii="Calibri" w:hAnsi="Calibri"/>
          <w:color w:val="1F2937"/>
          <w:sz w:val="18"/>
        </w:rPr>
        <w:t xml:space="preserve">A Brief Overview of the Federal Trade Commission's Investigative, Law Enforcement, and Rulemaking Authority | Federal Trade Commission: </w:t>
      </w:r>
      <w:r>
        <w:rPr>
          <w:rFonts w:ascii="Calibri" w:hAnsi="Calibri"/>
          <w:color w:val="5C6370"/>
          <w:sz w:val="18"/>
        </w:rPr>
        <w:t>https://www.ftc.gov/about-ftc/mission/enforcement-authority</w:t>
      </w:r>
    </w:p>
    <w:p>
      <w:pPr>
        <w:pStyle w:val="SourceEntry"/>
      </w:pPr>
      <w:r>
        <w:rPr>
          <w:rFonts w:ascii="Calibri" w:hAnsi="Calibri"/>
          <w:b/>
          <w:color w:val="1F4D78"/>
          <w:sz w:val="18"/>
        </w:rPr>
        <w:t xml:space="preserve">[3] </w:t>
      </w:r>
      <w:r>
        <w:rPr>
          <w:rFonts w:ascii="Calibri" w:hAnsi="Calibri"/>
          <w:color w:val="1F2937"/>
          <w:sz w:val="18"/>
        </w:rPr>
        <w:t xml:space="preserve">47 U.S. Code § 230 - Protection for private blocking and screening of offensive material | U.S. Code | US Law | LII / Legal Information Institute: </w:t>
      </w:r>
      <w:r>
        <w:rPr>
          <w:rFonts w:ascii="Calibri" w:hAnsi="Calibri"/>
          <w:color w:val="5C6370"/>
          <w:sz w:val="18"/>
        </w:rPr>
        <w:t>https://www.law.cornell.edu/uscode/text/47/230</w:t>
      </w:r>
    </w:p>
    <w:p>
      <w:pPr>
        <w:pStyle w:val="SourceEntry"/>
      </w:pPr>
      <w:r>
        <w:rPr>
          <w:rFonts w:ascii="Calibri" w:hAnsi="Calibri"/>
          <w:b/>
          <w:color w:val="1F4D78"/>
          <w:sz w:val="18"/>
        </w:rPr>
        <w:t xml:space="preserve">[4] </w:t>
      </w:r>
      <w:r>
        <w:rPr>
          <w:rFonts w:ascii="Calibri" w:hAnsi="Calibri"/>
          <w:color w:val="1F2937"/>
          <w:sz w:val="18"/>
        </w:rPr>
        <w:t xml:space="preserve">Reducing Risks Posed by Synthetic Content An Overview of Technical Approaches to Digital Content Transparency | NIST: </w:t>
      </w:r>
      <w:r>
        <w:rPr>
          <w:rFonts w:ascii="Calibri" w:hAnsi="Calibri"/>
          <w:color w:val="5C6370"/>
          <w:sz w:val="18"/>
        </w:rPr>
        <w:t>https://www.nist.gov/publications/reducing-risks-posed-synthetic-content-overview-technical-approaches-digital-content</w:t>
      </w:r>
    </w:p>
    <w:p>
      <w:pPr>
        <w:pStyle w:val="SourceEntry"/>
      </w:pPr>
      <w:r>
        <w:rPr>
          <w:rFonts w:ascii="Calibri" w:hAnsi="Calibri"/>
          <w:b/>
          <w:color w:val="1F4D78"/>
          <w:sz w:val="18"/>
        </w:rPr>
        <w:t xml:space="preserve">[5] </w:t>
      </w:r>
      <w:r>
        <w:rPr>
          <w:rFonts w:ascii="Calibri" w:hAnsi="Calibri"/>
          <w:color w:val="1F2937"/>
          <w:sz w:val="18"/>
        </w:rPr>
        <w:t xml:space="preserve">Federal Trade Commission Announces Final Rule Banning ...: </w:t>
      </w:r>
      <w:r>
        <w:rPr>
          <w:rFonts w:ascii="Calibri" w:hAnsi="Calibri"/>
          <w:color w:val="5C6370"/>
          <w:sz w:val="18"/>
        </w:rPr>
        <w:t>https://www.ftc.gov/news-events/news/press-releases/2024/08/federal-trade-commission-announces-final-rule-banning-fake-reviews-testimonials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C6370"/>
        <w:sz w:val="17"/>
      </w:rPr>
      <w:t xml:space="preserve">Page </w:t>
    </w:r>
    <w:r>
      <w:rPr>
        <w:rFonts w:ascii="Calibri" w:hAnsi="Calibri"/>
        <w:color w:val="5C6370"/>
        <w:sz w:val="17"/>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0" w:type="dxa"/>
    </w:tblPr>
    <w:tblGrid>
      <w:gridCol w:w="4680"/>
      <w:gridCol w:w="4680"/>
    </w:tblGrid>
    <w:tr>
      <w:tc>
        <w:tcPr>
          <w:tcW w:type="dxa" w:w="4680"/>
          <w:tcBorders>
            <w:top w:val="single" w:sz="0" w:space="0" w:color="FFFFFF"/>
            <w:left w:val="single" w:sz="0" w:space="0" w:color="FFFFFF"/>
            <w:bottom w:val="single" w:sz="0" w:space="0" w:color="FFFFFF"/>
            <w:right w:val="single" w:sz="0" w:space="0" w:color="FFFFFF"/>
          </w:tcBorders>
          <w:vAlign w:val="center"/>
        </w:tcPr>
        <w:p>
          <w:pPr>
            <w:spacing w:after="0"/>
          </w:pPr>
          <w:r>
            <w:rPr>
              <w:rFonts w:ascii="Calibri" w:hAnsi="Calibri"/>
              <w:b/>
              <w:color w:val="5C6370"/>
              <w:sz w:val="17"/>
            </w:rPr>
            <w:t>Information Hygiene and Digital Accountability Act</w:t>
          </w:r>
        </w:p>
      </w:tc>
      <w:tc>
        <w:tcPr>
          <w:tcW w:type="dxa" w:w="4680"/>
          <w:tcBorders>
            <w:top w:val="single" w:sz="0" w:space="0" w:color="FFFFFF"/>
            <w:left w:val="single" w:sz="0" w:space="0" w:color="FFFFFF"/>
            <w:bottom w:val="single" w:sz="0" w:space="0" w:color="FFFFFF"/>
            <w:right w:val="single" w:sz="0" w:space="0" w:color="FFFFFF"/>
          </w:tcBorders>
          <w:vAlign w:val="center"/>
        </w:tcPr>
        <w:p>
          <w:pPr>
            <w:spacing w:after="0"/>
            <w:jc w:val="right"/>
          </w:pPr>
          <w:r>
            <w:rPr>
              <w:rFonts w:ascii="Calibri" w:hAnsi="Calibri"/>
              <w:color w:val="5C6370"/>
              <w:sz w:val="17"/>
            </w:rPr>
            <w:t>Congressional Submission Packet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Kicker">
    <w:name w:val="Cover Kicker"/>
    <w:pPr>
      <w:spacing w:before="0" w:after="200" w:line="264" w:lineRule="auto"/>
      <w:jc w:val="center"/>
    </w:pPr>
    <w:rPr>
      <w:rFonts w:ascii="Calibri" w:hAnsi="Calibri"/>
      <w:b/>
      <w:i w:val="0"/>
      <w:color w:val="0B2545"/>
      <w:sz w:val="18"/>
    </w:rPr>
  </w:style>
  <w:style w:type="paragraph" w:customStyle="1" w:styleId="CoverTitle">
    <w:name w:val="Cover Title"/>
    <w:pPr>
      <w:spacing w:before="0" w:after="80" w:line="264" w:lineRule="auto"/>
      <w:jc w:val="center"/>
    </w:pPr>
    <w:rPr>
      <w:rFonts w:ascii="Times New Roman" w:hAnsi="Times New Roman"/>
      <w:b/>
      <w:i w:val="0"/>
      <w:color w:val="0B2545"/>
      <w:sz w:val="52"/>
    </w:rPr>
  </w:style>
  <w:style w:type="paragraph" w:customStyle="1" w:styleId="CoverSubtitle">
    <w:name w:val="Cover Subtitle"/>
    <w:pPr>
      <w:spacing w:before="0" w:after="360" w:line="264" w:lineRule="auto"/>
      <w:jc w:val="center"/>
    </w:pPr>
    <w:rPr>
      <w:rFonts w:ascii="Calibri" w:hAnsi="Calibri"/>
      <w:b w:val="0"/>
      <w:i/>
      <w:color w:val="5C6370"/>
      <w:sz w:val="24"/>
    </w:rPr>
  </w:style>
  <w:style w:type="paragraph" w:customStyle="1" w:styleId="Body">
    <w:name w:val="Body"/>
    <w:pPr>
      <w:spacing w:before="0" w:after="120" w:line="264" w:lineRule="auto"/>
      <w:jc w:val="left"/>
    </w:pPr>
    <w:rPr>
      <w:rFonts w:ascii="Calibri" w:hAnsi="Calibri"/>
      <w:b w:val="0"/>
      <w:i w:val="0"/>
      <w:color w:val="1F2937"/>
      <w:sz w:val="22"/>
    </w:rPr>
  </w:style>
  <w:style w:type="paragraph" w:customStyle="1" w:styleId="Lead">
    <w:name w:val="Lead"/>
    <w:pPr>
      <w:spacing w:before="0" w:after="160" w:line="264" w:lineRule="auto"/>
      <w:jc w:val="left"/>
    </w:pPr>
    <w:rPr>
      <w:rFonts w:ascii="Calibri" w:hAnsi="Calibri"/>
      <w:b w:val="0"/>
      <w:i w:val="0"/>
      <w:color w:val="1F2937"/>
      <w:sz w:val="23"/>
    </w:rPr>
  </w:style>
  <w:style w:type="paragraph" w:customStyle="1" w:styleId="Heading1Custom">
    <w:name w:val="Heading 1 Custom"/>
    <w:pPr>
      <w:keepNext/>
      <w:spacing w:before="320" w:after="160" w:line="264" w:lineRule="auto"/>
      <w:jc w:val="left"/>
    </w:pPr>
    <w:rPr>
      <w:rFonts w:ascii="Calibri" w:hAnsi="Calibri"/>
      <w:b/>
      <w:i w:val="0"/>
      <w:color w:val="2E74B5"/>
      <w:sz w:val="32"/>
    </w:rPr>
  </w:style>
  <w:style w:type="paragraph" w:customStyle="1" w:styleId="Heading2Custom">
    <w:name w:val="Heading 2 Custom"/>
    <w:pPr>
      <w:keepNext/>
      <w:spacing w:before="240" w:after="120" w:line="264" w:lineRule="auto"/>
      <w:jc w:val="left"/>
    </w:pPr>
    <w:rPr>
      <w:rFonts w:ascii="Calibri" w:hAnsi="Calibri"/>
      <w:b/>
      <w:i w:val="0"/>
      <w:color w:val="2E74B5"/>
      <w:sz w:val="26"/>
    </w:rPr>
  </w:style>
  <w:style w:type="paragraph" w:customStyle="1" w:styleId="Heading3Custom">
    <w:name w:val="Heading 3 Custom"/>
    <w:pPr>
      <w:keepNext/>
      <w:spacing w:before="160" w:after="80" w:line="264" w:lineRule="auto"/>
      <w:jc w:val="left"/>
    </w:pPr>
    <w:rPr>
      <w:rFonts w:ascii="Calibri" w:hAnsi="Calibri"/>
      <w:b/>
      <w:i w:val="0"/>
      <w:color w:val="1F4D78"/>
      <w:sz w:val="24"/>
    </w:rPr>
  </w:style>
  <w:style w:type="paragraph" w:customStyle="1" w:styleId="BillLabel">
    <w:name w:val="Bill Label"/>
    <w:pPr>
      <w:spacing w:before="0" w:after="120" w:line="264" w:lineRule="auto"/>
      <w:jc w:val="center"/>
    </w:pPr>
    <w:rPr>
      <w:rFonts w:ascii="Times New Roman" w:hAnsi="Times New Roman"/>
      <w:b/>
      <w:i w:val="0"/>
      <w:color w:val="1F2937"/>
      <w:sz w:val="24"/>
    </w:rPr>
  </w:style>
  <w:style w:type="paragraph" w:customStyle="1" w:styleId="BillLongTitle">
    <w:name w:val="Bill Long Title"/>
    <w:pPr>
      <w:spacing w:before="0" w:after="200" w:line="264" w:lineRule="auto"/>
      <w:jc w:val="center"/>
    </w:pPr>
    <w:rPr>
      <w:rFonts w:ascii="Times New Roman" w:hAnsi="Times New Roman"/>
      <w:b w:val="0"/>
      <w:i w:val="0"/>
      <w:color w:val="1F2937"/>
      <w:sz w:val="22"/>
    </w:rPr>
  </w:style>
  <w:style w:type="paragraph" w:customStyle="1" w:styleId="TitleHeading">
    <w:name w:val="Title Heading"/>
    <w:pPr>
      <w:keepNext/>
      <w:spacing w:before="260" w:after="140" w:line="264" w:lineRule="auto"/>
      <w:jc w:val="center"/>
    </w:pPr>
    <w:rPr>
      <w:rFonts w:ascii="Calibri" w:hAnsi="Calibri"/>
      <w:b/>
      <w:i w:val="0"/>
      <w:color w:val="0B2545"/>
      <w:sz w:val="20"/>
    </w:rPr>
  </w:style>
  <w:style w:type="paragraph" w:customStyle="1" w:styleId="SectionHeading">
    <w:name w:val="Section Heading"/>
    <w:pPr>
      <w:keepNext/>
      <w:spacing w:before="180" w:after="80" w:line="264" w:lineRule="auto"/>
      <w:jc w:val="left"/>
    </w:pPr>
    <w:rPr>
      <w:rFonts w:ascii="Calibri" w:hAnsi="Calibri"/>
      <w:b/>
      <w:i w:val="0"/>
      <w:color w:val="0B2545"/>
      <w:sz w:val="19"/>
    </w:rPr>
  </w:style>
  <w:style w:type="paragraph" w:customStyle="1" w:styleId="LegalBody">
    <w:name w:val="Legal Body"/>
    <w:pPr>
      <w:spacing w:before="0" w:after="80" w:line="264" w:lineRule="auto"/>
      <w:jc w:val="both"/>
    </w:pPr>
    <w:rPr>
      <w:rFonts w:ascii="Times New Roman" w:hAnsi="Times New Roman"/>
      <w:b w:val="0"/>
      <w:i w:val="0"/>
      <w:color w:val="1F2937"/>
      <w:sz w:val="20"/>
    </w:rPr>
  </w:style>
  <w:style w:type="paragraph" w:customStyle="1" w:styleId="LegalLevel1">
    <w:name w:val="Legal Level 1"/>
    <w:pPr>
      <w:spacing w:before="0" w:after="60" w:line="264" w:lineRule="auto"/>
      <w:ind w:left="461" w:hanging="346"/>
      <w:jc w:val="both"/>
    </w:pPr>
    <w:rPr>
      <w:rFonts w:ascii="Times New Roman" w:hAnsi="Times New Roman"/>
      <w:b w:val="0"/>
      <w:i w:val="0"/>
      <w:color w:val="1F2937"/>
      <w:sz w:val="20"/>
    </w:rPr>
  </w:style>
  <w:style w:type="paragraph" w:customStyle="1" w:styleId="LegalLevel2">
    <w:name w:val="Legal Level 2"/>
    <w:pPr>
      <w:spacing w:before="0" w:after="60" w:line="264" w:lineRule="auto"/>
      <w:ind w:left="864" w:hanging="346"/>
      <w:jc w:val="both"/>
    </w:pPr>
    <w:rPr>
      <w:rFonts w:ascii="Times New Roman" w:hAnsi="Times New Roman"/>
      <w:b w:val="0"/>
      <w:i w:val="0"/>
      <w:color w:val="1F2937"/>
      <w:sz w:val="20"/>
    </w:rPr>
  </w:style>
  <w:style w:type="paragraph" w:customStyle="1" w:styleId="TOCEntry">
    <w:name w:val="TOC Entry"/>
    <w:pPr>
      <w:spacing w:before="0" w:after="40" w:line="264" w:lineRule="auto"/>
      <w:ind w:left="346" w:hanging="346"/>
      <w:jc w:val="left"/>
    </w:pPr>
    <w:rPr>
      <w:rFonts w:ascii="Times New Roman" w:hAnsi="Times New Roman"/>
      <w:b w:val="0"/>
      <w:i w:val="0"/>
      <w:color w:val="1F2937"/>
      <w:sz w:val="20"/>
    </w:rPr>
  </w:style>
  <w:style w:type="paragraph" w:customStyle="1" w:styleId="SmallNote">
    <w:name w:val="Small Note"/>
    <w:pPr>
      <w:spacing w:before="80" w:after="80" w:line="264" w:lineRule="auto"/>
      <w:jc w:val="left"/>
    </w:pPr>
    <w:rPr>
      <w:rFonts w:ascii="Calibri" w:hAnsi="Calibri"/>
      <w:b w:val="0"/>
      <w:i/>
      <w:color w:val="5C6370"/>
      <w:sz w:val="19"/>
    </w:rPr>
  </w:style>
  <w:style w:type="paragraph" w:customStyle="1" w:styleId="SourceEntry">
    <w:name w:val="Source Entry"/>
    <w:pPr>
      <w:spacing w:before="0" w:after="60" w:line="264" w:lineRule="auto"/>
      <w:ind w:left="461" w:hanging="346"/>
      <w:jc w:val="left"/>
    </w:pPr>
    <w:rPr>
      <w:rFonts w:ascii="Calibri" w:hAnsi="Calibri"/>
      <w:b w:val="0"/>
      <w:i w:val="0"/>
      <w:color w:val="1F2937"/>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Hygiene and Digital Accountability Act of 2026 - Congressional Submission Packet</dc:title>
  <dc:subject>Digital attention platform transparency, provenance, synthetic media labeling, monetization integrity, research access, media literacy, journalism support, and speech-safe accountability</dc:subject>
  <dc:creator>python-docx</dc:creator>
  <cp:keywords/>
  <dc:description>Prepared from attached source text as a congressional submission packet.</dc:description>
  <cp:lastModifiedBy/>
  <cp:revision>1</cp:revision>
  <dcterms:created xsi:type="dcterms:W3CDTF">2013-12-23T23:15:00Z</dcterms:created>
  <dcterms:modified xsi:type="dcterms:W3CDTF">2013-12-23T23:15:00Z</dcterms:modified>
  <cp:category/>
</cp:coreProperties>
</file>