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60" w:after="440"/>
      </w:pPr>
      <w:r>
        <w:rPr>
          <w:b/>
          <w:color w:val="182C3D"/>
          <w:sz w:val="20"/>
        </w:rPr>
        <w:t>MODEL UNITED STATES FEDERAL LEGISLATION</w:t>
      </w:r>
    </w:p>
    <w:p>
      <w:pPr>
        <w:spacing w:after="140"/>
      </w:pPr>
      <w:r>
        <w:rPr>
          <w:rFonts w:ascii="Liberation Serif" w:hAnsi="Liberation Serif"/>
          <w:b/>
          <w:color w:val="182C3D"/>
          <w:sz w:val="80"/>
        </w:rPr>
        <w:t>HUMAN ACT</w:t>
      </w:r>
    </w:p>
    <w:p>
      <w:pPr>
        <w:spacing w:after="500"/>
      </w:pPr>
      <w:r>
        <w:rPr>
          <w:color w:val="182C3D"/>
          <w:sz w:val="40"/>
        </w:rPr>
        <w:t>Human Understanding, Mutuality,</w:t>
        <w:br/>
        <w:t>Autonomy, and Nurture Act of 2026</w:t>
      </w:r>
    </w:p>
    <w:p>
      <w:pPr>
        <w:pStyle w:val="FrontText"/>
        <w:spacing w:after="100"/>
      </w:pPr>
      <w:r>
        <w:t>Complete proposed legislative text</w:t>
      </w:r>
    </w:p>
    <w:p>
      <w:pPr>
        <w:pStyle w:val="FrontText"/>
        <w:spacing w:after="600"/>
      </w:pPr>
      <w:r>
        <w:t>With research, section commentary, legal analysis, fiscal scenarios, implementation planning, and supporting authorities</w:t>
      </w:r>
    </w:p>
    <w:p>
      <w:pPr>
        <w:pStyle w:val="FrontText"/>
      </w:pPr>
      <w:r>
        <w:rPr>
          <w:b/>
        </w:rPr>
        <w:t>30 TITLES  •  300 SECTIONS</w:t>
      </w:r>
    </w:p>
    <w:p>
      <w:pPr>
        <w:pStyle w:val="FrontText"/>
        <w:spacing w:after="580"/>
      </w:pPr>
      <w:r>
        <w:t>62,087 words in the operative body, excluding headings and subsection labels</w:t>
      </w:r>
    </w:p>
    <w:p>
      <w:pPr>
        <w:pStyle w:val="FrontText"/>
      </w:pPr>
      <w:r>
        <w:t>Research cutoff: October 1, 2026</w:t>
      </w:r>
    </w:p>
    <w:p>
      <w:pPr>
        <w:pStyle w:val="SmallNote"/>
        <w:spacing w:before="200"/>
      </w:pPr>
      <w:r>
        <w:t>NOT ENACTED. This is a legislative development model, not an official bill, legal opinion, or government cost estimate.</w:t>
      </w:r>
    </w:p>
    <w:p>
      <w:bookmarkStart w:id="1" w:name="READING_NOTE"/>
      <w:pPr>
        <w:pStyle w:val="Heading1"/>
        <w:pageBreakBefore/>
      </w:pPr>
      <w:r>
        <w:t>READING THIS VOLUME</w:t>
      </w:r>
      <w:bookmarkEnd w:id="1"/>
    </w:p>
    <w:p>
      <w:pPr>
        <w:pStyle w:val="FrontText"/>
      </w:pPr>
      <w:r>
        <w:rPr>
          <w:b/>
        </w:rPr>
        <w:t xml:space="preserve">Legislative status. </w:t>
      </w:r>
      <w:r>
        <w:t>The proposed Act begins with the enacting clause and contains titles I through XXX in full. The eight annexes are explanatory material and do not form part of the proposed law. No bill number, legislative sponsorship, official endorsement, or enacted status is asserted.</w:t>
      </w:r>
    </w:p>
    <w:p>
      <w:pPr>
        <w:pStyle w:val="FrontText"/>
      </w:pPr>
      <w:r>
        <w:rPr>
          <w:b/>
        </w:rPr>
        <w:t xml:space="preserve">Jurisdiction and international context. </w:t>
      </w:r>
      <w:r>
        <w:t>The model uses United States federal authority: Federal operations, specified commercial activities, and voluntary conditions on new assistance. International research and cooperation provisions do not create worldwide legislative jurisdiction or automatically import a treaty or foreign law.</w:t>
      </w:r>
    </w:p>
    <w:p>
      <w:pPr>
        <w:pStyle w:val="FrontText"/>
      </w:pPr>
      <w:r>
        <w:rPr>
          <w:b/>
        </w:rPr>
        <w:t xml:space="preserve">Policy assumptions. </w:t>
      </w:r>
      <w:r>
        <w:t>The draft selects specific coverage thresholds, remedies, implementation dates, and a ten-program-year appropriation schedule of $400 billion. These are disclosed legislative design choices, not facts supplied by the user or scientifically determined optimal values. Congress would need to consider them through its own process.</w:t>
      </w:r>
    </w:p>
    <w:p>
      <w:pPr>
        <w:pStyle w:val="FrontText"/>
      </w:pPr>
      <w:r>
        <w:rPr>
          <w:b/>
        </w:rPr>
        <w:t xml:space="preserve">Funding and lasting duties. </w:t>
      </w:r>
      <w:r>
        <w:t>The $400 billion is direct proposed budget authority, including the $1 billion start-up advance. No dedicated tax or offset is enacted. Debt-service illustrations and private compliance burdens are additional; continued administration after the installment schedule may require later appropriations. Grant programs do not create unlimited individual entitlements.</w:t>
      </w:r>
    </w:p>
    <w:p>
      <w:pPr>
        <w:pStyle w:val="FrontText"/>
      </w:pPr>
      <w:r>
        <w:rPr>
          <w:b/>
        </w:rPr>
        <w:t xml:space="preserve">Research and legal analysis. </w:t>
      </w:r>
      <w:r>
        <w:t>The research record distinguishes observational evidence, intervention studies, guidance, existing law, and proposed statutory choices. It is not an exhaustive systematic review or legal citator. Annex G identifies fifty-nine sources and authorities. Current-law and agency technical review remain necessary before introduction.</w:t>
      </w:r>
    </w:p>
    <w:p>
      <w:pPr>
        <w:pStyle w:val="FrontText"/>
      </w:pPr>
      <w:r>
        <w:rPr>
          <w:b/>
        </w:rPr>
        <w:t xml:space="preserve">Navigation and counting. </w:t>
      </w:r>
      <w:r>
        <w:t>The contents links lead to each title and all 300 sections. The PDF contains bookmarks; the Word file retains editable headings and page-reference fields. The verified 62,087-word operative-body count excludes all title and section headings, subsection labels, contents, and annexes. It therefore meets the 60,000-word requirement without counting supporting material.</w:t>
      </w:r>
    </w:p>
    <w:p>
      <w:bookmarkStart w:id="2" w:name="CONTENTS"/>
      <w:pPr>
        <w:pStyle w:val="Heading1"/>
        <w:pageBreakBefore/>
      </w:pPr>
      <w:r>
        <w:t>CONTENTS</w:t>
      </w:r>
      <w:bookmarkEnd w:id="2"/>
    </w:p>
    <w:p>
      <w:pPr>
        <w:pStyle w:val="SmallNote"/>
      </w:pPr>
      <w:r>
        <w:t>Proposed Act: titles I–XXX. Supporting materials: annexes A–H.</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CellMar>
          <w:top w:w="15" w:type="dxa"/>
          <w:bottom w:w="15" w:type="dxa"/>
          <w:left w:w="0" w:type="dxa"/>
          <w:right w:w="0" w:type="dxa"/>
        </w:tblCellMar>
      </w:tblPr>
      <w:tblGrid>
        <w:gridCol w:w="9000"/>
        <w:gridCol w:w="648"/>
      </w:tblGrid>
      <w:tr>
        <w:trPr>
          <w:tblHeader/>
        </w:trPr>
        <w:tc>
          <w:tcPr>
            <w:tcW w:type="dxa" w:w="4824"/>
          </w:tcPr>
          <w:p>
            <w:pPr>
              <w:pStyle w:val="ContentsText"/>
            </w:pPr>
            <w:r>
              <w:rPr>
                <w:b/>
              </w:rPr>
              <w:t>Provision</w:t>
            </w:r>
          </w:p>
        </w:tc>
        <w:tc>
          <w:tcPr>
            <w:tcW w:type="dxa" w:w="4824"/>
          </w:tcPr>
          <w:p>
            <w:pPr>
              <w:pStyle w:val="ContentsText"/>
              <w:jc w:val="right"/>
            </w:pPr>
            <w:r>
              <w:rPr>
                <w:b/>
              </w:rPr>
              <w:t>Page</w:t>
            </w:r>
          </w:p>
        </w:tc>
      </w:tr>
      <w:tr>
        <w:trPr>
          <w:cantSplit/>
        </w:trPr>
        <w:tc>
          <w:tcPr>
            <w:tcW w:type="dxa" w:w="9000"/>
            <w:vAlign w:val="top"/>
          </w:tcPr>
          <w:p>
            <w:pPr>
              <w:pStyle w:val="ContentsText"/>
              <w:keepNext/>
              <w:spacing w:before="100"/>
            </w:pPr>
            <w:hyperlink w:anchor="TITLE_I" w:history="1">
              <w:r>
                <w:rPr>
                  <w:rFonts w:ascii="Liberation Serif" w:hAnsi="Liberation Serif"/>
                  <w:b/>
                  <w:color w:val="182C3D"/>
                  <w:sz w:val="19"/>
                </w:rPr>
                <w:t>TITLE I. GENERAL PROVISIONS, PURPOSES, AND RULES OF CONSTRUCTION</w:t>
              </w:r>
            </w:hyperlink>
          </w:p>
        </w:tc>
        <w:tc>
          <w:tcPr>
            <w:tcW w:type="dxa" w:w="648"/>
            <w:vAlign w:val="top"/>
          </w:tcPr>
          <w:p>
            <w:pPr>
              <w:pStyle w:val="ContentsText"/>
              <w:spacing w:before="100"/>
              <w:jc w:val="right"/>
            </w:pPr>
            <w:fldSimple w:instr=" PAGEREF TITLE_I \h ">
              <w:r>
                <w:t>10</w:t>
              </w:r>
            </w:fldSimple>
          </w:p>
        </w:tc>
      </w:tr>
      <w:tr>
        <w:trPr>
          <w:cantSplit/>
        </w:trPr>
        <w:tc>
          <w:tcPr>
            <w:tcW w:type="dxa" w:w="9000"/>
            <w:vAlign w:val="top"/>
          </w:tcPr>
          <w:p>
            <w:pPr>
              <w:pStyle w:val="ContentsText"/>
              <w:ind w:left="216"/>
            </w:pPr>
            <w:hyperlink w:anchor="SEC_101" w:history="1">
              <w:r>
                <w:rPr>
                  <w:rFonts w:ascii="Liberation Serif" w:hAnsi="Liberation Serif"/>
                  <w:color w:val="111111"/>
                  <w:sz w:val="19"/>
                </w:rPr>
                <w:t>Sec. 101. short title; organization; legislative character.</w:t>
              </w:r>
            </w:hyperlink>
          </w:p>
        </w:tc>
        <w:tc>
          <w:tcPr>
            <w:tcW w:type="dxa" w:w="648"/>
            <w:vAlign w:val="top"/>
          </w:tcPr>
          <w:p>
            <w:pPr>
              <w:pStyle w:val="ContentsText"/>
              <w:jc w:val="right"/>
            </w:pPr>
            <w:fldSimple w:instr=" PAGEREF SEC_101 \h ">
              <w:r>
                <w:t>10</w:t>
              </w:r>
            </w:fldSimple>
          </w:p>
        </w:tc>
      </w:tr>
      <w:tr>
        <w:trPr>
          <w:cantSplit/>
        </w:trPr>
        <w:tc>
          <w:tcPr>
            <w:tcW w:type="dxa" w:w="9000"/>
            <w:vAlign w:val="top"/>
          </w:tcPr>
          <w:p>
            <w:pPr>
              <w:pStyle w:val="ContentsText"/>
              <w:ind w:left="216"/>
            </w:pPr>
            <w:hyperlink w:anchor="SEC_102" w:history="1">
              <w:r>
                <w:rPr>
                  <w:rFonts w:ascii="Liberation Serif" w:hAnsi="Liberation Serif"/>
                  <w:color w:val="111111"/>
                  <w:sz w:val="19"/>
                </w:rPr>
                <w:t>Sec. 102. congressional findings.</w:t>
              </w:r>
            </w:hyperlink>
          </w:p>
        </w:tc>
        <w:tc>
          <w:tcPr>
            <w:tcW w:type="dxa" w:w="648"/>
            <w:vAlign w:val="top"/>
          </w:tcPr>
          <w:p>
            <w:pPr>
              <w:pStyle w:val="ContentsText"/>
              <w:jc w:val="right"/>
            </w:pPr>
            <w:fldSimple w:instr=" PAGEREF SEC_102 \h ">
              <w:r>
                <w:t>10</w:t>
              </w:r>
            </w:fldSimple>
          </w:p>
        </w:tc>
      </w:tr>
      <w:tr>
        <w:trPr>
          <w:cantSplit/>
        </w:trPr>
        <w:tc>
          <w:tcPr>
            <w:tcW w:type="dxa" w:w="9000"/>
            <w:vAlign w:val="top"/>
          </w:tcPr>
          <w:p>
            <w:pPr>
              <w:pStyle w:val="ContentsText"/>
              <w:ind w:left="216"/>
            </w:pPr>
            <w:hyperlink w:anchor="SEC_103" w:history="1">
              <w:r>
                <w:rPr>
                  <w:rFonts w:ascii="Liberation Serif" w:hAnsi="Liberation Serif"/>
                  <w:color w:val="111111"/>
                  <w:sz w:val="19"/>
                </w:rPr>
                <w:t>Sec. 103. purposes and specific statutory objectives.</w:t>
              </w:r>
            </w:hyperlink>
          </w:p>
        </w:tc>
        <w:tc>
          <w:tcPr>
            <w:tcW w:type="dxa" w:w="648"/>
            <w:vAlign w:val="top"/>
          </w:tcPr>
          <w:p>
            <w:pPr>
              <w:pStyle w:val="ContentsText"/>
              <w:jc w:val="right"/>
            </w:pPr>
            <w:fldSimple w:instr=" PAGEREF SEC_103 \h ">
              <w:r>
                <w:t>11</w:t>
              </w:r>
            </w:fldSimple>
          </w:p>
        </w:tc>
      </w:tr>
      <w:tr>
        <w:trPr>
          <w:cantSplit/>
        </w:trPr>
        <w:tc>
          <w:tcPr>
            <w:tcW w:type="dxa" w:w="9000"/>
            <w:vAlign w:val="top"/>
          </w:tcPr>
          <w:p>
            <w:pPr>
              <w:pStyle w:val="ContentsText"/>
              <w:ind w:left="216"/>
            </w:pPr>
            <w:hyperlink w:anchor="SEC_104" w:history="1">
              <w:r>
                <w:rPr>
                  <w:rFonts w:ascii="Liberation Serif" w:hAnsi="Liberation Serif"/>
                  <w:color w:val="111111"/>
                  <w:sz w:val="19"/>
                </w:rPr>
                <w:t>Sec. 104. constitutional basis and jurisdictional limitations.</w:t>
              </w:r>
            </w:hyperlink>
          </w:p>
        </w:tc>
        <w:tc>
          <w:tcPr>
            <w:tcW w:type="dxa" w:w="648"/>
            <w:vAlign w:val="top"/>
          </w:tcPr>
          <w:p>
            <w:pPr>
              <w:pStyle w:val="ContentsText"/>
              <w:jc w:val="right"/>
            </w:pPr>
            <w:fldSimple w:instr=" PAGEREF SEC_104 \h ">
              <w:r>
                <w:t>11</w:t>
              </w:r>
            </w:fldSimple>
          </w:p>
        </w:tc>
      </w:tr>
      <w:tr>
        <w:trPr>
          <w:cantSplit/>
        </w:trPr>
        <w:tc>
          <w:tcPr>
            <w:tcW w:type="dxa" w:w="9000"/>
            <w:vAlign w:val="top"/>
          </w:tcPr>
          <w:p>
            <w:pPr>
              <w:pStyle w:val="ContentsText"/>
              <w:ind w:left="216"/>
            </w:pPr>
            <w:hyperlink w:anchor="SEC_105" w:history="1">
              <w:r>
                <w:rPr>
                  <w:rFonts w:ascii="Liberation Serif" w:hAnsi="Liberation Serif"/>
                  <w:color w:val="111111"/>
                  <w:sz w:val="19"/>
                </w:rPr>
                <w:t>Sec. 105. definitions of individuals, capabilities, and participation.</w:t>
              </w:r>
            </w:hyperlink>
          </w:p>
        </w:tc>
        <w:tc>
          <w:tcPr>
            <w:tcW w:type="dxa" w:w="648"/>
            <w:vAlign w:val="top"/>
          </w:tcPr>
          <w:p>
            <w:pPr>
              <w:pStyle w:val="ContentsText"/>
              <w:jc w:val="right"/>
            </w:pPr>
            <w:fldSimple w:instr=" PAGEREF SEC_105 \h ">
              <w:r>
                <w:t>12</w:t>
              </w:r>
            </w:fldSimple>
          </w:p>
        </w:tc>
      </w:tr>
      <w:tr>
        <w:trPr>
          <w:cantSplit/>
        </w:trPr>
        <w:tc>
          <w:tcPr>
            <w:tcW w:type="dxa" w:w="9000"/>
            <w:vAlign w:val="top"/>
          </w:tcPr>
          <w:p>
            <w:pPr>
              <w:pStyle w:val="ContentsText"/>
              <w:ind w:left="216"/>
            </w:pPr>
            <w:hyperlink w:anchor="SEC_106" w:history="1">
              <w:r>
                <w:rPr>
                  <w:rFonts w:ascii="Liberation Serif" w:hAnsi="Liberation Serif"/>
                  <w:color w:val="111111"/>
                  <w:sz w:val="19"/>
                </w:rPr>
                <w:t>Sec. 106. definitions of entities, programs, and responsible officials.</w:t>
              </w:r>
            </w:hyperlink>
          </w:p>
        </w:tc>
        <w:tc>
          <w:tcPr>
            <w:tcW w:type="dxa" w:w="648"/>
            <w:vAlign w:val="top"/>
          </w:tcPr>
          <w:p>
            <w:pPr>
              <w:pStyle w:val="ContentsText"/>
              <w:jc w:val="right"/>
            </w:pPr>
            <w:fldSimple w:instr=" PAGEREF SEC_106 \h ">
              <w:r>
                <w:t>12</w:t>
              </w:r>
            </w:fldSimple>
          </w:p>
        </w:tc>
      </w:tr>
      <w:tr>
        <w:trPr>
          <w:cantSplit/>
        </w:trPr>
        <w:tc>
          <w:tcPr>
            <w:tcW w:type="dxa" w:w="9000"/>
            <w:vAlign w:val="top"/>
          </w:tcPr>
          <w:p>
            <w:pPr>
              <w:pStyle w:val="ContentsText"/>
              <w:ind w:left="216"/>
            </w:pPr>
            <w:hyperlink w:anchor="SEC_107" w:history="1">
              <w:r>
                <w:rPr>
                  <w:rFonts w:ascii="Liberation Serif" w:hAnsi="Liberation Serif"/>
                  <w:color w:val="111111"/>
                  <w:sz w:val="19"/>
                </w:rPr>
                <w:t>Sec. 107. definitions of evidence, risk, data, and technology.</w:t>
              </w:r>
            </w:hyperlink>
          </w:p>
        </w:tc>
        <w:tc>
          <w:tcPr>
            <w:tcW w:type="dxa" w:w="648"/>
            <w:vAlign w:val="top"/>
          </w:tcPr>
          <w:p>
            <w:pPr>
              <w:pStyle w:val="ContentsText"/>
              <w:jc w:val="right"/>
            </w:pPr>
            <w:fldSimple w:instr=" PAGEREF SEC_107 \h ">
              <w:r>
                <w:t>13</w:t>
              </w:r>
            </w:fldSimple>
          </w:p>
        </w:tc>
      </w:tr>
      <w:tr>
        <w:trPr>
          <w:cantSplit/>
        </w:trPr>
        <w:tc>
          <w:tcPr>
            <w:tcW w:type="dxa" w:w="9000"/>
            <w:vAlign w:val="top"/>
          </w:tcPr>
          <w:p>
            <w:pPr>
              <w:pStyle w:val="ContentsText"/>
              <w:ind w:left="216"/>
            </w:pPr>
            <w:hyperlink w:anchor="SEC_108" w:history="1">
              <w:r>
                <w:rPr>
                  <w:rFonts w:ascii="Liberation Serif" w:hAnsi="Liberation Serif"/>
                  <w:color w:val="111111"/>
                  <w:sz w:val="19"/>
                </w:rPr>
                <w:t>Sec. 108. general rights-protective construction.</w:t>
              </w:r>
            </w:hyperlink>
          </w:p>
        </w:tc>
        <w:tc>
          <w:tcPr>
            <w:tcW w:type="dxa" w:w="648"/>
            <w:vAlign w:val="top"/>
          </w:tcPr>
          <w:p>
            <w:pPr>
              <w:pStyle w:val="ContentsText"/>
              <w:jc w:val="right"/>
            </w:pPr>
            <w:fldSimple w:instr=" PAGEREF SEC_108 \h ">
              <w:r>
                <w:t>14</w:t>
              </w:r>
            </w:fldSimple>
          </w:p>
        </w:tc>
      </w:tr>
      <w:tr>
        <w:trPr>
          <w:cantSplit/>
        </w:trPr>
        <w:tc>
          <w:tcPr>
            <w:tcW w:type="dxa" w:w="9000"/>
            <w:vAlign w:val="top"/>
          </w:tcPr>
          <w:p>
            <w:pPr>
              <w:pStyle w:val="ContentsText"/>
              <w:ind w:left="216"/>
            </w:pPr>
            <w:hyperlink w:anchor="SEC_109" w:history="1">
              <w:r>
                <w:rPr>
                  <w:rFonts w:ascii="Liberation Serif" w:hAnsi="Liberation Serif"/>
                  <w:color w:val="111111"/>
                  <w:sz w:val="19"/>
                </w:rPr>
                <w:t>Sec. 109. relationship to existing law and enforceable duties.</w:t>
              </w:r>
            </w:hyperlink>
          </w:p>
        </w:tc>
        <w:tc>
          <w:tcPr>
            <w:tcW w:type="dxa" w:w="648"/>
            <w:vAlign w:val="top"/>
          </w:tcPr>
          <w:p>
            <w:pPr>
              <w:pStyle w:val="ContentsText"/>
              <w:jc w:val="right"/>
            </w:pPr>
            <w:fldSimple w:instr=" PAGEREF SEC_109 \h ">
              <w:r>
                <w:t>14</w:t>
              </w:r>
            </w:fldSimple>
          </w:p>
        </w:tc>
      </w:tr>
      <w:tr>
        <w:trPr>
          <w:cantSplit/>
        </w:trPr>
        <w:tc>
          <w:tcPr>
            <w:tcW w:type="dxa" w:w="9000"/>
            <w:vAlign w:val="top"/>
          </w:tcPr>
          <w:p>
            <w:pPr>
              <w:pStyle w:val="ContentsText"/>
              <w:ind w:left="216"/>
            </w:pPr>
            <w:hyperlink w:anchor="SEC_110" w:history="1">
              <w:r>
                <w:rPr>
                  <w:rFonts w:ascii="Liberation Serif" w:hAnsi="Liberation Serif"/>
                  <w:color w:val="111111"/>
                  <w:sz w:val="19"/>
                </w:rPr>
                <w:t>Sec. 110. time, notice, and interpretation of deadlines.</w:t>
              </w:r>
            </w:hyperlink>
          </w:p>
        </w:tc>
        <w:tc>
          <w:tcPr>
            <w:tcW w:type="dxa" w:w="648"/>
            <w:vAlign w:val="top"/>
          </w:tcPr>
          <w:p>
            <w:pPr>
              <w:pStyle w:val="ContentsText"/>
              <w:jc w:val="right"/>
            </w:pPr>
            <w:fldSimple w:instr=" PAGEREF SEC_110 \h ">
              <w:r>
                <w:t>15</w:t>
              </w:r>
            </w:fldSimple>
          </w:p>
        </w:tc>
      </w:tr>
      <w:tr>
        <w:trPr>
          <w:cantSplit/>
        </w:trPr>
        <w:tc>
          <w:tcPr>
            <w:tcW w:type="dxa" w:w="9000"/>
            <w:vAlign w:val="top"/>
          </w:tcPr>
          <w:p>
            <w:pPr>
              <w:pStyle w:val="ContentsText"/>
              <w:keepNext/>
              <w:spacing w:before="100"/>
            </w:pPr>
            <w:hyperlink w:anchor="TITLE_II" w:history="1">
              <w:r>
                <w:rPr>
                  <w:rFonts w:ascii="Liberation Serif" w:hAnsi="Liberation Serif"/>
                  <w:b/>
                  <w:color w:val="182C3D"/>
                  <w:sz w:val="19"/>
                </w:rPr>
                <w:t>TITLE II. DIGNITY, AUTONOMY, EQUALITY, AND INDIVIDUAL SAFEGUARDS</w:t>
              </w:r>
            </w:hyperlink>
          </w:p>
        </w:tc>
        <w:tc>
          <w:tcPr>
            <w:tcW w:type="dxa" w:w="648"/>
            <w:vAlign w:val="top"/>
          </w:tcPr>
          <w:p>
            <w:pPr>
              <w:pStyle w:val="ContentsText"/>
              <w:spacing w:before="100"/>
              <w:jc w:val="right"/>
            </w:pPr>
            <w:fldSimple w:instr=" PAGEREF TITLE_II \h ">
              <w:r>
                <w:t>16</w:t>
              </w:r>
            </w:fldSimple>
          </w:p>
        </w:tc>
      </w:tr>
      <w:tr>
        <w:trPr>
          <w:cantSplit/>
        </w:trPr>
        <w:tc>
          <w:tcPr>
            <w:tcW w:type="dxa" w:w="9000"/>
            <w:vAlign w:val="top"/>
          </w:tcPr>
          <w:p>
            <w:pPr>
              <w:pStyle w:val="ContentsText"/>
              <w:ind w:left="216"/>
            </w:pPr>
            <w:hyperlink w:anchor="SEC_201" w:history="1">
              <w:r>
                <w:rPr>
                  <w:rFonts w:ascii="Liberation Serif" w:hAnsi="Liberation Serif"/>
                  <w:color w:val="111111"/>
                  <w:sz w:val="19"/>
                </w:rPr>
                <w:t>Sec. 201. equal access in covered programs.</w:t>
              </w:r>
            </w:hyperlink>
          </w:p>
        </w:tc>
        <w:tc>
          <w:tcPr>
            <w:tcW w:type="dxa" w:w="648"/>
            <w:vAlign w:val="top"/>
          </w:tcPr>
          <w:p>
            <w:pPr>
              <w:pStyle w:val="ContentsText"/>
              <w:jc w:val="right"/>
            </w:pPr>
            <w:fldSimple w:instr=" PAGEREF SEC_201 \h ">
              <w:r>
                <w:t>16</w:t>
              </w:r>
            </w:fldSimple>
          </w:p>
        </w:tc>
      </w:tr>
      <w:tr>
        <w:trPr>
          <w:cantSplit/>
        </w:trPr>
        <w:tc>
          <w:tcPr>
            <w:tcW w:type="dxa" w:w="9000"/>
            <w:vAlign w:val="top"/>
          </w:tcPr>
          <w:p>
            <w:pPr>
              <w:pStyle w:val="ContentsText"/>
              <w:ind w:left="216"/>
            </w:pPr>
            <w:hyperlink w:anchor="SEC_202" w:history="1">
              <w:r>
                <w:rPr>
                  <w:rFonts w:ascii="Liberation Serif" w:hAnsi="Liberation Serif"/>
                  <w:color w:val="111111"/>
                  <w:sz w:val="19"/>
                </w:rPr>
                <w:t>Sec. 202. voluntary participation and freedom from coercion.</w:t>
              </w:r>
            </w:hyperlink>
          </w:p>
        </w:tc>
        <w:tc>
          <w:tcPr>
            <w:tcW w:type="dxa" w:w="648"/>
            <w:vAlign w:val="top"/>
          </w:tcPr>
          <w:p>
            <w:pPr>
              <w:pStyle w:val="ContentsText"/>
              <w:jc w:val="right"/>
            </w:pPr>
            <w:fldSimple w:instr=" PAGEREF SEC_202 \h ">
              <w:r>
                <w:t>16</w:t>
              </w:r>
            </w:fldSimple>
          </w:p>
        </w:tc>
      </w:tr>
      <w:tr>
        <w:trPr>
          <w:cantSplit/>
        </w:trPr>
        <w:tc>
          <w:tcPr>
            <w:tcW w:type="dxa" w:w="9000"/>
            <w:vAlign w:val="top"/>
          </w:tcPr>
          <w:p>
            <w:pPr>
              <w:pStyle w:val="ContentsText"/>
              <w:ind w:left="216"/>
            </w:pPr>
            <w:hyperlink w:anchor="SEC_203" w:history="1">
              <w:r>
                <w:rPr>
                  <w:rFonts w:ascii="Liberation Serif" w:hAnsi="Liberation Serif"/>
                  <w:color w:val="111111"/>
                  <w:sz w:val="19"/>
                </w:rPr>
                <w:t>Sec. 203. informed consent and supported understanding.</w:t>
              </w:r>
            </w:hyperlink>
          </w:p>
        </w:tc>
        <w:tc>
          <w:tcPr>
            <w:tcW w:type="dxa" w:w="648"/>
            <w:vAlign w:val="top"/>
          </w:tcPr>
          <w:p>
            <w:pPr>
              <w:pStyle w:val="ContentsText"/>
              <w:jc w:val="right"/>
            </w:pPr>
            <w:fldSimple w:instr=" PAGEREF SEC_203 \h ">
              <w:r>
                <w:t>17</w:t>
              </w:r>
            </w:fldSimple>
          </w:p>
        </w:tc>
      </w:tr>
      <w:tr>
        <w:trPr>
          <w:cantSplit/>
        </w:trPr>
        <w:tc>
          <w:tcPr>
            <w:tcW w:type="dxa" w:w="9000"/>
            <w:vAlign w:val="top"/>
          </w:tcPr>
          <w:p>
            <w:pPr>
              <w:pStyle w:val="ContentsText"/>
              <w:ind w:left="216"/>
            </w:pPr>
            <w:hyperlink w:anchor="SEC_204" w:history="1">
              <w:r>
                <w:rPr>
                  <w:rFonts w:ascii="Liberation Serif" w:hAnsi="Liberation Serif"/>
                  <w:color w:val="111111"/>
                  <w:sz w:val="19"/>
                </w:rPr>
                <w:t>Sec. 204. bodily integrity and prohibited program practices.</w:t>
              </w:r>
            </w:hyperlink>
          </w:p>
        </w:tc>
        <w:tc>
          <w:tcPr>
            <w:tcW w:type="dxa" w:w="648"/>
            <w:vAlign w:val="top"/>
          </w:tcPr>
          <w:p>
            <w:pPr>
              <w:pStyle w:val="ContentsText"/>
              <w:jc w:val="right"/>
            </w:pPr>
            <w:fldSimple w:instr=" PAGEREF SEC_204 \h ">
              <w:r>
                <w:t>17</w:t>
              </w:r>
            </w:fldSimple>
          </w:p>
        </w:tc>
      </w:tr>
      <w:tr>
        <w:trPr>
          <w:cantSplit/>
        </w:trPr>
        <w:tc>
          <w:tcPr>
            <w:tcW w:type="dxa" w:w="9000"/>
            <w:vAlign w:val="top"/>
          </w:tcPr>
          <w:p>
            <w:pPr>
              <w:pStyle w:val="ContentsText"/>
              <w:ind w:left="216"/>
            </w:pPr>
            <w:hyperlink w:anchor="SEC_205" w:history="1">
              <w:r>
                <w:rPr>
                  <w:rFonts w:ascii="Liberation Serif" w:hAnsi="Liberation Serif"/>
                  <w:color w:val="111111"/>
                  <w:sz w:val="19"/>
                </w:rPr>
                <w:t>Sec. 205. privacy of belief, relationships, and personal choice.</w:t>
              </w:r>
            </w:hyperlink>
          </w:p>
        </w:tc>
        <w:tc>
          <w:tcPr>
            <w:tcW w:type="dxa" w:w="648"/>
            <w:vAlign w:val="top"/>
          </w:tcPr>
          <w:p>
            <w:pPr>
              <w:pStyle w:val="ContentsText"/>
              <w:jc w:val="right"/>
            </w:pPr>
            <w:fldSimple w:instr=" PAGEREF SEC_205 \h ">
              <w:r>
                <w:t>18</w:t>
              </w:r>
            </w:fldSimple>
          </w:p>
        </w:tc>
      </w:tr>
      <w:tr>
        <w:trPr>
          <w:cantSplit/>
        </w:trPr>
        <w:tc>
          <w:tcPr>
            <w:tcW w:type="dxa" w:w="9000"/>
            <w:vAlign w:val="top"/>
          </w:tcPr>
          <w:p>
            <w:pPr>
              <w:pStyle w:val="ContentsText"/>
              <w:ind w:left="216"/>
            </w:pPr>
            <w:hyperlink w:anchor="SEC_206" w:history="1">
              <w:r>
                <w:rPr>
                  <w:rFonts w:ascii="Liberation Serif" w:hAnsi="Liberation Serif"/>
                  <w:color w:val="111111"/>
                  <w:sz w:val="19"/>
                </w:rPr>
                <w:t>Sec. 206. individual notice, complaints, and program appeals.</w:t>
              </w:r>
            </w:hyperlink>
          </w:p>
        </w:tc>
        <w:tc>
          <w:tcPr>
            <w:tcW w:type="dxa" w:w="648"/>
            <w:vAlign w:val="top"/>
          </w:tcPr>
          <w:p>
            <w:pPr>
              <w:pStyle w:val="ContentsText"/>
              <w:jc w:val="right"/>
            </w:pPr>
            <w:fldSimple w:instr=" PAGEREF SEC_206 \h ">
              <w:r>
                <w:t>18</w:t>
              </w:r>
            </w:fldSimple>
          </w:p>
        </w:tc>
      </w:tr>
      <w:tr>
        <w:trPr>
          <w:cantSplit/>
        </w:trPr>
        <w:tc>
          <w:tcPr>
            <w:tcW w:type="dxa" w:w="9000"/>
            <w:vAlign w:val="top"/>
          </w:tcPr>
          <w:p>
            <w:pPr>
              <w:pStyle w:val="ContentsText"/>
              <w:ind w:left="216"/>
            </w:pPr>
            <w:hyperlink w:anchor="SEC_207" w:history="1">
              <w:r>
                <w:rPr>
                  <w:rFonts w:ascii="Liberation Serif" w:hAnsi="Liberation Serif"/>
                  <w:color w:val="111111"/>
                  <w:sz w:val="19"/>
                </w:rPr>
                <w:t>Sec. 207. accessibility, language access, and communication.</w:t>
              </w:r>
            </w:hyperlink>
          </w:p>
        </w:tc>
        <w:tc>
          <w:tcPr>
            <w:tcW w:type="dxa" w:w="648"/>
            <w:vAlign w:val="top"/>
          </w:tcPr>
          <w:p>
            <w:pPr>
              <w:pStyle w:val="ContentsText"/>
              <w:jc w:val="right"/>
            </w:pPr>
            <w:fldSimple w:instr=" PAGEREF SEC_207 \h ">
              <w:r>
                <w:t>19</w:t>
              </w:r>
            </w:fldSimple>
          </w:p>
        </w:tc>
      </w:tr>
      <w:tr>
        <w:trPr>
          <w:cantSplit/>
        </w:trPr>
        <w:tc>
          <w:tcPr>
            <w:tcW w:type="dxa" w:w="9000"/>
            <w:vAlign w:val="top"/>
          </w:tcPr>
          <w:p>
            <w:pPr>
              <w:pStyle w:val="ContentsText"/>
              <w:ind w:left="216"/>
            </w:pPr>
            <w:hyperlink w:anchor="SEC_208" w:history="1">
              <w:r>
                <w:rPr>
                  <w:rFonts w:ascii="Liberation Serif" w:hAnsi="Liberation Serif"/>
                  <w:color w:val="111111"/>
                  <w:sz w:val="19"/>
                </w:rPr>
                <w:t>Sec. 208. protection against retaliation and improper influence.</w:t>
              </w:r>
            </w:hyperlink>
          </w:p>
        </w:tc>
        <w:tc>
          <w:tcPr>
            <w:tcW w:type="dxa" w:w="648"/>
            <w:vAlign w:val="top"/>
          </w:tcPr>
          <w:p>
            <w:pPr>
              <w:pStyle w:val="ContentsText"/>
              <w:jc w:val="right"/>
            </w:pPr>
            <w:fldSimple w:instr=" PAGEREF SEC_208 \h ">
              <w:r>
                <w:t>19</w:t>
              </w:r>
            </w:fldSimple>
          </w:p>
        </w:tc>
      </w:tr>
      <w:tr>
        <w:trPr>
          <w:cantSplit/>
        </w:trPr>
        <w:tc>
          <w:tcPr>
            <w:tcW w:type="dxa" w:w="9000"/>
            <w:vAlign w:val="top"/>
          </w:tcPr>
          <w:p>
            <w:pPr>
              <w:pStyle w:val="ContentsText"/>
              <w:ind w:left="216"/>
            </w:pPr>
            <w:hyperlink w:anchor="SEC_209" w:history="1">
              <w:r>
                <w:rPr>
                  <w:rFonts w:ascii="Liberation Serif" w:hAnsi="Liberation Serif"/>
                  <w:color w:val="111111"/>
                  <w:sz w:val="19"/>
                </w:rPr>
                <w:t>Sec. 209. anti-eugenics and nonhierarchical use of science.</w:t>
              </w:r>
            </w:hyperlink>
          </w:p>
        </w:tc>
        <w:tc>
          <w:tcPr>
            <w:tcW w:type="dxa" w:w="648"/>
            <w:vAlign w:val="top"/>
          </w:tcPr>
          <w:p>
            <w:pPr>
              <w:pStyle w:val="ContentsText"/>
              <w:jc w:val="right"/>
            </w:pPr>
            <w:fldSimple w:instr=" PAGEREF SEC_209 \h ">
              <w:r>
                <w:t>20</w:t>
              </w:r>
            </w:fldSimple>
          </w:p>
        </w:tc>
      </w:tr>
      <w:tr>
        <w:trPr>
          <w:cantSplit/>
        </w:trPr>
        <w:tc>
          <w:tcPr>
            <w:tcW w:type="dxa" w:w="9000"/>
            <w:vAlign w:val="top"/>
          </w:tcPr>
          <w:p>
            <w:pPr>
              <w:pStyle w:val="ContentsText"/>
              <w:ind w:left="216"/>
            </w:pPr>
            <w:hyperlink w:anchor="SEC_210" w:history="1">
              <w:r>
                <w:rPr>
                  <w:rFonts w:ascii="Liberation Serif" w:hAnsi="Liberation Serif"/>
                  <w:color w:val="111111"/>
                  <w:sz w:val="19"/>
                </w:rPr>
                <w:t>Sec. 210. rights implementation and periodic audit.</w:t>
              </w:r>
            </w:hyperlink>
          </w:p>
        </w:tc>
        <w:tc>
          <w:tcPr>
            <w:tcW w:type="dxa" w:w="648"/>
            <w:vAlign w:val="top"/>
          </w:tcPr>
          <w:p>
            <w:pPr>
              <w:pStyle w:val="ContentsText"/>
              <w:jc w:val="right"/>
            </w:pPr>
            <w:fldSimple w:instr=" PAGEREF SEC_210 \h ">
              <w:r>
                <w:t>20</w:t>
              </w:r>
            </w:fldSimple>
          </w:p>
        </w:tc>
      </w:tr>
      <w:tr>
        <w:trPr>
          <w:cantSplit/>
        </w:trPr>
        <w:tc>
          <w:tcPr>
            <w:tcW w:type="dxa" w:w="9000"/>
            <w:vAlign w:val="top"/>
          </w:tcPr>
          <w:p>
            <w:pPr>
              <w:pStyle w:val="ContentsText"/>
              <w:keepNext/>
              <w:spacing w:before="100"/>
            </w:pPr>
            <w:hyperlink w:anchor="TITLE_III" w:history="1">
              <w:r>
                <w:rPr>
                  <w:rFonts w:ascii="Liberation Serif" w:hAnsi="Liberation Serif"/>
                  <w:b/>
                  <w:color w:val="182C3D"/>
                  <w:sz w:val="19"/>
                </w:rPr>
                <w:t>TITLE III. FEDERAL ADMINISTRATION AND COORDINATION</w:t>
              </w:r>
            </w:hyperlink>
          </w:p>
        </w:tc>
        <w:tc>
          <w:tcPr>
            <w:tcW w:type="dxa" w:w="648"/>
            <w:vAlign w:val="top"/>
          </w:tcPr>
          <w:p>
            <w:pPr>
              <w:pStyle w:val="ContentsText"/>
              <w:spacing w:before="100"/>
              <w:jc w:val="right"/>
            </w:pPr>
            <w:fldSimple w:instr=" PAGEREF TITLE_III \h ">
              <w:r>
                <w:t>21</w:t>
              </w:r>
            </w:fldSimple>
          </w:p>
        </w:tc>
      </w:tr>
      <w:tr>
        <w:trPr>
          <w:cantSplit/>
        </w:trPr>
        <w:tc>
          <w:tcPr>
            <w:tcW w:type="dxa" w:w="9000"/>
            <w:vAlign w:val="top"/>
          </w:tcPr>
          <w:p>
            <w:pPr>
              <w:pStyle w:val="ContentsText"/>
              <w:ind w:left="216"/>
            </w:pPr>
            <w:hyperlink w:anchor="SEC_301" w:history="1">
              <w:r>
                <w:rPr>
                  <w:rFonts w:ascii="Liberation Serif" w:hAnsi="Liberation Serif"/>
                  <w:color w:val="111111"/>
                  <w:sz w:val="19"/>
                </w:rPr>
                <w:t>Sec. 301. office of human development and capability.</w:t>
              </w:r>
            </w:hyperlink>
          </w:p>
        </w:tc>
        <w:tc>
          <w:tcPr>
            <w:tcW w:type="dxa" w:w="648"/>
            <w:vAlign w:val="top"/>
          </w:tcPr>
          <w:p>
            <w:pPr>
              <w:pStyle w:val="ContentsText"/>
              <w:jc w:val="right"/>
            </w:pPr>
            <w:fldSimple w:instr=" PAGEREF SEC_301 \h ">
              <w:r>
                <w:t>21</w:t>
              </w:r>
            </w:fldSimple>
          </w:p>
        </w:tc>
      </w:tr>
      <w:tr>
        <w:trPr>
          <w:cantSplit/>
        </w:trPr>
        <w:tc>
          <w:tcPr>
            <w:tcW w:type="dxa" w:w="9000"/>
            <w:vAlign w:val="top"/>
          </w:tcPr>
          <w:p>
            <w:pPr>
              <w:pStyle w:val="ContentsText"/>
              <w:ind w:left="216"/>
            </w:pPr>
            <w:hyperlink w:anchor="SEC_302" w:history="1">
              <w:r>
                <w:rPr>
                  <w:rFonts w:ascii="Liberation Serif" w:hAnsi="Liberation Serif"/>
                  <w:color w:val="111111"/>
                  <w:sz w:val="19"/>
                </w:rPr>
                <w:t>Sec. 302. interagency human capability council.</w:t>
              </w:r>
            </w:hyperlink>
          </w:p>
        </w:tc>
        <w:tc>
          <w:tcPr>
            <w:tcW w:type="dxa" w:w="648"/>
            <w:vAlign w:val="top"/>
          </w:tcPr>
          <w:p>
            <w:pPr>
              <w:pStyle w:val="ContentsText"/>
              <w:jc w:val="right"/>
            </w:pPr>
            <w:fldSimple w:instr=" PAGEREF SEC_302 \h ">
              <w:r>
                <w:t>21</w:t>
              </w:r>
            </w:fldSimple>
          </w:p>
        </w:tc>
      </w:tr>
      <w:tr>
        <w:trPr>
          <w:cantSplit/>
        </w:trPr>
        <w:tc>
          <w:tcPr>
            <w:tcW w:type="dxa" w:w="9000"/>
            <w:vAlign w:val="top"/>
          </w:tcPr>
          <w:p>
            <w:pPr>
              <w:pStyle w:val="ContentsText"/>
              <w:ind w:left="216"/>
            </w:pPr>
            <w:hyperlink w:anchor="SEC_303" w:history="1">
              <w:r>
                <w:rPr>
                  <w:rFonts w:ascii="Liberation Serif" w:hAnsi="Liberation Serif"/>
                  <w:color w:val="111111"/>
                  <w:sz w:val="19"/>
                </w:rPr>
                <w:t>Sec. 303. scientific and human rights advisory board.</w:t>
              </w:r>
            </w:hyperlink>
          </w:p>
        </w:tc>
        <w:tc>
          <w:tcPr>
            <w:tcW w:type="dxa" w:w="648"/>
            <w:vAlign w:val="top"/>
          </w:tcPr>
          <w:p>
            <w:pPr>
              <w:pStyle w:val="ContentsText"/>
              <w:jc w:val="right"/>
            </w:pPr>
            <w:fldSimple w:instr=" PAGEREF SEC_303 \h ">
              <w:r>
                <w:t>22</w:t>
              </w:r>
            </w:fldSimple>
          </w:p>
        </w:tc>
      </w:tr>
      <w:tr>
        <w:trPr>
          <w:cantSplit/>
        </w:trPr>
        <w:tc>
          <w:tcPr>
            <w:tcW w:type="dxa" w:w="9000"/>
            <w:vAlign w:val="top"/>
          </w:tcPr>
          <w:p>
            <w:pPr>
              <w:pStyle w:val="ContentsText"/>
              <w:ind w:left="216"/>
            </w:pPr>
            <w:hyperlink w:anchor="SEC_304" w:history="1">
              <w:r>
                <w:rPr>
                  <w:rFonts w:ascii="Liberation Serif" w:hAnsi="Liberation Serif"/>
                  <w:color w:val="111111"/>
                  <w:sz w:val="19"/>
                </w:rPr>
                <w:t>Sec. 304. assignment of lead responsibilities.</w:t>
              </w:r>
            </w:hyperlink>
          </w:p>
        </w:tc>
        <w:tc>
          <w:tcPr>
            <w:tcW w:type="dxa" w:w="648"/>
            <w:vAlign w:val="top"/>
          </w:tcPr>
          <w:p>
            <w:pPr>
              <w:pStyle w:val="ContentsText"/>
              <w:jc w:val="right"/>
            </w:pPr>
            <w:fldSimple w:instr=" PAGEREF SEC_304 \h ">
              <w:r>
                <w:t>22</w:t>
              </w:r>
            </w:fldSimple>
          </w:p>
        </w:tc>
      </w:tr>
      <w:tr>
        <w:trPr>
          <w:cantSplit/>
        </w:trPr>
        <w:tc>
          <w:tcPr>
            <w:tcW w:type="dxa" w:w="9000"/>
            <w:vAlign w:val="top"/>
          </w:tcPr>
          <w:p>
            <w:pPr>
              <w:pStyle w:val="ContentsText"/>
              <w:ind w:left="216"/>
            </w:pPr>
            <w:hyperlink w:anchor="SEC_305" w:history="1">
              <w:r>
                <w:rPr>
                  <w:rFonts w:ascii="Liberation Serif" w:hAnsi="Liberation Serif"/>
                  <w:color w:val="111111"/>
                  <w:sz w:val="19"/>
                </w:rPr>
                <w:t>Sec. 305. national implementation strategy.</w:t>
              </w:r>
            </w:hyperlink>
          </w:p>
        </w:tc>
        <w:tc>
          <w:tcPr>
            <w:tcW w:type="dxa" w:w="648"/>
            <w:vAlign w:val="top"/>
          </w:tcPr>
          <w:p>
            <w:pPr>
              <w:pStyle w:val="ContentsText"/>
              <w:jc w:val="right"/>
            </w:pPr>
            <w:fldSimple w:instr=" PAGEREF SEC_305 \h ">
              <w:r>
                <w:t>23</w:t>
              </w:r>
            </w:fldSimple>
          </w:p>
        </w:tc>
      </w:tr>
      <w:tr>
        <w:trPr>
          <w:cantSplit/>
        </w:trPr>
        <w:tc>
          <w:tcPr>
            <w:tcW w:type="dxa" w:w="9000"/>
            <w:vAlign w:val="top"/>
          </w:tcPr>
          <w:p>
            <w:pPr>
              <w:pStyle w:val="ContentsText"/>
              <w:ind w:left="216"/>
            </w:pPr>
            <w:hyperlink w:anchor="SEC_306" w:history="1">
              <w:r>
                <w:rPr>
                  <w:rFonts w:ascii="Liberation Serif" w:hAnsi="Liberation Serif"/>
                  <w:color w:val="111111"/>
                  <w:sz w:val="19"/>
                </w:rPr>
                <w:t>Sec. 306. federal program inventory and coordination agreements.</w:t>
              </w:r>
            </w:hyperlink>
          </w:p>
        </w:tc>
        <w:tc>
          <w:tcPr>
            <w:tcW w:type="dxa" w:w="648"/>
            <w:vAlign w:val="top"/>
          </w:tcPr>
          <w:p>
            <w:pPr>
              <w:pStyle w:val="ContentsText"/>
              <w:jc w:val="right"/>
            </w:pPr>
            <w:fldSimple w:instr=" PAGEREF SEC_306 \h ">
              <w:r>
                <w:t>23</w:t>
              </w:r>
            </w:fldSimple>
          </w:p>
        </w:tc>
      </w:tr>
      <w:tr>
        <w:trPr>
          <w:cantSplit/>
        </w:trPr>
        <w:tc>
          <w:tcPr>
            <w:tcW w:type="dxa" w:w="9000"/>
            <w:vAlign w:val="top"/>
          </w:tcPr>
          <w:p>
            <w:pPr>
              <w:pStyle w:val="ContentsText"/>
              <w:ind w:left="216"/>
            </w:pPr>
            <w:hyperlink w:anchor="SEC_307" w:history="1">
              <w:r>
                <w:rPr>
                  <w:rFonts w:ascii="Liberation Serif" w:hAnsi="Liberation Serif"/>
                  <w:color w:val="111111"/>
                  <w:sz w:val="19"/>
                </w:rPr>
                <w:t>Sec. 307. scientific integrity and public communication.</w:t>
              </w:r>
            </w:hyperlink>
          </w:p>
        </w:tc>
        <w:tc>
          <w:tcPr>
            <w:tcW w:type="dxa" w:w="648"/>
            <w:vAlign w:val="top"/>
          </w:tcPr>
          <w:p>
            <w:pPr>
              <w:pStyle w:val="ContentsText"/>
              <w:jc w:val="right"/>
            </w:pPr>
            <w:fldSimple w:instr=" PAGEREF SEC_307 \h ">
              <w:r>
                <w:t>24</w:t>
              </w:r>
            </w:fldSimple>
          </w:p>
        </w:tc>
      </w:tr>
      <w:tr>
        <w:trPr>
          <w:cantSplit/>
        </w:trPr>
        <w:tc>
          <w:tcPr>
            <w:tcW w:type="dxa" w:w="9000"/>
            <w:vAlign w:val="top"/>
          </w:tcPr>
          <w:p>
            <w:pPr>
              <w:pStyle w:val="ContentsText"/>
              <w:ind w:left="216"/>
            </w:pPr>
            <w:hyperlink w:anchor="SEC_308" w:history="1">
              <w:r>
                <w:rPr>
                  <w:rFonts w:ascii="Liberation Serif" w:hAnsi="Liberation Serif"/>
                  <w:color w:val="111111"/>
                  <w:sz w:val="19"/>
                </w:rPr>
                <w:t>Sec. 308. public service workforce and procurement capacity.</w:t>
              </w:r>
            </w:hyperlink>
          </w:p>
        </w:tc>
        <w:tc>
          <w:tcPr>
            <w:tcW w:type="dxa" w:w="648"/>
            <w:vAlign w:val="top"/>
          </w:tcPr>
          <w:p>
            <w:pPr>
              <w:pStyle w:val="ContentsText"/>
              <w:jc w:val="right"/>
            </w:pPr>
            <w:fldSimple w:instr=" PAGEREF SEC_308 \h ">
              <w:r>
                <w:t>24</w:t>
              </w:r>
            </w:fldSimple>
          </w:p>
        </w:tc>
      </w:tr>
      <w:tr>
        <w:trPr>
          <w:cantSplit/>
        </w:trPr>
        <w:tc>
          <w:tcPr>
            <w:tcW w:type="dxa" w:w="9000"/>
            <w:vAlign w:val="top"/>
          </w:tcPr>
          <w:p>
            <w:pPr>
              <w:pStyle w:val="ContentsText"/>
              <w:ind w:left="216"/>
            </w:pPr>
            <w:hyperlink w:anchor="SEC_309" w:history="1">
              <w:r>
                <w:rPr>
                  <w:rFonts w:ascii="Liberation Serif" w:hAnsi="Liberation Serif"/>
                  <w:color w:val="111111"/>
                  <w:sz w:val="19"/>
                </w:rPr>
                <w:t>Sec. 309. inspectors general, comptroller general, and congressional oversight.</w:t>
              </w:r>
            </w:hyperlink>
          </w:p>
        </w:tc>
        <w:tc>
          <w:tcPr>
            <w:tcW w:type="dxa" w:w="648"/>
            <w:vAlign w:val="top"/>
          </w:tcPr>
          <w:p>
            <w:pPr>
              <w:pStyle w:val="ContentsText"/>
              <w:jc w:val="right"/>
            </w:pPr>
            <w:fldSimple w:instr=" PAGEREF SEC_309 \h ">
              <w:r>
                <w:t>25</w:t>
              </w:r>
            </w:fldSimple>
          </w:p>
        </w:tc>
      </w:tr>
      <w:tr>
        <w:trPr>
          <w:cantSplit/>
        </w:trPr>
        <w:tc>
          <w:tcPr>
            <w:tcW w:type="dxa" w:w="9000"/>
            <w:vAlign w:val="top"/>
          </w:tcPr>
          <w:p>
            <w:pPr>
              <w:pStyle w:val="ContentsText"/>
              <w:ind w:left="216"/>
            </w:pPr>
            <w:hyperlink w:anchor="SEC_310" w:history="1">
              <w:r>
                <w:rPr>
                  <w:rFonts w:ascii="Liberation Serif" w:hAnsi="Liberation Serif"/>
                  <w:color w:val="111111"/>
                  <w:sz w:val="19"/>
                </w:rPr>
                <w:t>Sec. 310. administrative funding and limits on institutional expansion.</w:t>
              </w:r>
            </w:hyperlink>
          </w:p>
        </w:tc>
        <w:tc>
          <w:tcPr>
            <w:tcW w:type="dxa" w:w="648"/>
            <w:vAlign w:val="top"/>
          </w:tcPr>
          <w:p>
            <w:pPr>
              <w:pStyle w:val="ContentsText"/>
              <w:jc w:val="right"/>
            </w:pPr>
            <w:fldSimple w:instr=" PAGEREF SEC_310 \h ">
              <w:r>
                <w:t>25</w:t>
              </w:r>
            </w:fldSimple>
          </w:p>
        </w:tc>
      </w:tr>
      <w:tr>
        <w:trPr>
          <w:cantSplit/>
        </w:trPr>
        <w:tc>
          <w:tcPr>
            <w:tcW w:type="dxa" w:w="9000"/>
            <w:vAlign w:val="top"/>
          </w:tcPr>
          <w:p>
            <w:pPr>
              <w:pStyle w:val="ContentsText"/>
              <w:keepNext/>
              <w:spacing w:before="100"/>
            </w:pPr>
            <w:hyperlink w:anchor="TITLE_IV" w:history="1">
              <w:r>
                <w:rPr>
                  <w:rFonts w:ascii="Liberation Serif" w:hAnsi="Liberation Serif"/>
                  <w:b/>
                  <w:color w:val="182C3D"/>
                  <w:sz w:val="19"/>
                </w:rPr>
                <w:t>TITLE IV. SCIENCE OF HUMANITY, EVOLUTION, AND RESPONSIBLE RESEARCH</w:t>
              </w:r>
            </w:hyperlink>
          </w:p>
        </w:tc>
        <w:tc>
          <w:tcPr>
            <w:tcW w:type="dxa" w:w="648"/>
            <w:vAlign w:val="top"/>
          </w:tcPr>
          <w:p>
            <w:pPr>
              <w:pStyle w:val="ContentsText"/>
              <w:spacing w:before="100"/>
              <w:jc w:val="right"/>
            </w:pPr>
            <w:fldSimple w:instr=" PAGEREF TITLE_IV \h ">
              <w:r>
                <w:t>27</w:t>
              </w:r>
            </w:fldSimple>
          </w:p>
        </w:tc>
      </w:tr>
      <w:tr>
        <w:trPr>
          <w:cantSplit/>
        </w:trPr>
        <w:tc>
          <w:tcPr>
            <w:tcW w:type="dxa" w:w="9000"/>
            <w:vAlign w:val="top"/>
          </w:tcPr>
          <w:p>
            <w:pPr>
              <w:pStyle w:val="ContentsText"/>
              <w:ind w:left="216"/>
            </w:pPr>
            <w:hyperlink w:anchor="SEC_401" w:history="1">
              <w:r>
                <w:rPr>
                  <w:rFonts w:ascii="Liberation Serif" w:hAnsi="Liberation Serif"/>
                  <w:color w:val="111111"/>
                  <w:sz w:val="19"/>
                </w:rPr>
                <w:t>Sec. 401. human origins and adaptation research program.</w:t>
              </w:r>
            </w:hyperlink>
          </w:p>
        </w:tc>
        <w:tc>
          <w:tcPr>
            <w:tcW w:type="dxa" w:w="648"/>
            <w:vAlign w:val="top"/>
          </w:tcPr>
          <w:p>
            <w:pPr>
              <w:pStyle w:val="ContentsText"/>
              <w:jc w:val="right"/>
            </w:pPr>
            <w:fldSimple w:instr=" PAGEREF SEC_401 \h ">
              <w:r>
                <w:t>27</w:t>
              </w:r>
            </w:fldSimple>
          </w:p>
        </w:tc>
      </w:tr>
      <w:tr>
        <w:trPr>
          <w:cantSplit/>
        </w:trPr>
        <w:tc>
          <w:tcPr>
            <w:tcW w:type="dxa" w:w="9000"/>
            <w:vAlign w:val="top"/>
          </w:tcPr>
          <w:p>
            <w:pPr>
              <w:pStyle w:val="ContentsText"/>
              <w:ind w:left="216"/>
            </w:pPr>
            <w:hyperlink w:anchor="SEC_402" w:history="1">
              <w:r>
                <w:rPr>
                  <w:rFonts w:ascii="Liberation Serif" w:hAnsi="Liberation Serif"/>
                  <w:color w:val="111111"/>
                  <w:sz w:val="19"/>
                </w:rPr>
                <w:t>Sec. 402. human development and life-course cohorts.</w:t>
              </w:r>
            </w:hyperlink>
          </w:p>
        </w:tc>
        <w:tc>
          <w:tcPr>
            <w:tcW w:type="dxa" w:w="648"/>
            <w:vAlign w:val="top"/>
          </w:tcPr>
          <w:p>
            <w:pPr>
              <w:pStyle w:val="ContentsText"/>
              <w:jc w:val="right"/>
            </w:pPr>
            <w:fldSimple w:instr=" PAGEREF SEC_402 \h ">
              <w:r>
                <w:t>27</w:t>
              </w:r>
            </w:fldSimple>
          </w:p>
        </w:tc>
      </w:tr>
      <w:tr>
        <w:trPr>
          <w:cantSplit/>
        </w:trPr>
        <w:tc>
          <w:tcPr>
            <w:tcW w:type="dxa" w:w="9000"/>
            <w:vAlign w:val="top"/>
          </w:tcPr>
          <w:p>
            <w:pPr>
              <w:pStyle w:val="ContentsText"/>
              <w:ind w:left="216"/>
            </w:pPr>
            <w:hyperlink w:anchor="SEC_403" w:history="1">
              <w:r>
                <w:rPr>
                  <w:rFonts w:ascii="Liberation Serif" w:hAnsi="Liberation Serif"/>
                  <w:color w:val="111111"/>
                  <w:sz w:val="19"/>
                </w:rPr>
                <w:t>Sec. 403. diversity, generalizability, and community partnership.</w:t>
              </w:r>
            </w:hyperlink>
          </w:p>
        </w:tc>
        <w:tc>
          <w:tcPr>
            <w:tcW w:type="dxa" w:w="648"/>
            <w:vAlign w:val="top"/>
          </w:tcPr>
          <w:p>
            <w:pPr>
              <w:pStyle w:val="ContentsText"/>
              <w:jc w:val="right"/>
            </w:pPr>
            <w:fldSimple w:instr=" PAGEREF SEC_403 \h ">
              <w:r>
                <w:t>28</w:t>
              </w:r>
            </w:fldSimple>
          </w:p>
        </w:tc>
      </w:tr>
      <w:tr>
        <w:trPr>
          <w:cantSplit/>
        </w:trPr>
        <w:tc>
          <w:tcPr>
            <w:tcW w:type="dxa" w:w="9000"/>
            <w:vAlign w:val="top"/>
          </w:tcPr>
          <w:p>
            <w:pPr>
              <w:pStyle w:val="ContentsText"/>
              <w:ind w:left="216"/>
            </w:pPr>
            <w:hyperlink w:anchor="SEC_404" w:history="1">
              <w:r>
                <w:rPr>
                  <w:rFonts w:ascii="Liberation Serif" w:hAnsi="Liberation Serif"/>
                  <w:color w:val="111111"/>
                  <w:sz w:val="19"/>
                </w:rPr>
                <w:t>Sec. 404. replication, open methods, and negative results.</w:t>
              </w:r>
            </w:hyperlink>
          </w:p>
        </w:tc>
        <w:tc>
          <w:tcPr>
            <w:tcW w:type="dxa" w:w="648"/>
            <w:vAlign w:val="top"/>
          </w:tcPr>
          <w:p>
            <w:pPr>
              <w:pStyle w:val="ContentsText"/>
              <w:jc w:val="right"/>
            </w:pPr>
            <w:fldSimple w:instr=" PAGEREF SEC_404 \h ">
              <w:r>
                <w:t>28</w:t>
              </w:r>
            </w:fldSimple>
          </w:p>
        </w:tc>
      </w:tr>
      <w:tr>
        <w:trPr>
          <w:cantSplit/>
        </w:trPr>
        <w:tc>
          <w:tcPr>
            <w:tcW w:type="dxa" w:w="9000"/>
            <w:vAlign w:val="top"/>
          </w:tcPr>
          <w:p>
            <w:pPr>
              <w:pStyle w:val="ContentsText"/>
              <w:ind w:left="216"/>
            </w:pPr>
            <w:hyperlink w:anchor="SEC_405" w:history="1">
              <w:r>
                <w:rPr>
                  <w:rFonts w:ascii="Liberation Serif" w:hAnsi="Liberation Serif"/>
                  <w:color w:val="111111"/>
                  <w:sz w:val="19"/>
                </w:rPr>
                <w:t>Sec. 405. human-subjects protection and independent ethics review.</w:t>
              </w:r>
            </w:hyperlink>
          </w:p>
        </w:tc>
        <w:tc>
          <w:tcPr>
            <w:tcW w:type="dxa" w:w="648"/>
            <w:vAlign w:val="top"/>
          </w:tcPr>
          <w:p>
            <w:pPr>
              <w:pStyle w:val="ContentsText"/>
              <w:jc w:val="right"/>
            </w:pPr>
            <w:fldSimple w:instr=" PAGEREF SEC_405 \h ">
              <w:r>
                <w:t>29</w:t>
              </w:r>
            </w:fldSimple>
          </w:p>
        </w:tc>
      </w:tr>
      <w:tr>
        <w:trPr>
          <w:cantSplit/>
        </w:trPr>
        <w:tc>
          <w:tcPr>
            <w:tcW w:type="dxa" w:w="9000"/>
            <w:vAlign w:val="top"/>
          </w:tcPr>
          <w:p>
            <w:pPr>
              <w:pStyle w:val="ContentsText"/>
              <w:ind w:left="216"/>
            </w:pPr>
            <w:hyperlink w:anchor="SEC_406" w:history="1">
              <w:r>
                <w:rPr>
                  <w:rFonts w:ascii="Liberation Serif" w:hAnsi="Liberation Serif"/>
                  <w:color w:val="111111"/>
                  <w:sz w:val="19"/>
                </w:rPr>
                <w:t>Sec. 406. biological materials, human remains, and cultural heritage.</w:t>
              </w:r>
            </w:hyperlink>
          </w:p>
        </w:tc>
        <w:tc>
          <w:tcPr>
            <w:tcW w:type="dxa" w:w="648"/>
            <w:vAlign w:val="top"/>
          </w:tcPr>
          <w:p>
            <w:pPr>
              <w:pStyle w:val="ContentsText"/>
              <w:jc w:val="right"/>
            </w:pPr>
            <w:fldSimple w:instr=" PAGEREF SEC_406 \h ">
              <w:r>
                <w:t>29</w:t>
              </w:r>
            </w:fldSimple>
          </w:p>
        </w:tc>
      </w:tr>
      <w:tr>
        <w:trPr>
          <w:cantSplit/>
        </w:trPr>
        <w:tc>
          <w:tcPr>
            <w:tcW w:type="dxa" w:w="9000"/>
            <w:vAlign w:val="top"/>
          </w:tcPr>
          <w:p>
            <w:pPr>
              <w:pStyle w:val="ContentsText"/>
              <w:ind w:left="216"/>
            </w:pPr>
            <w:hyperlink w:anchor="SEC_407" w:history="1">
              <w:r>
                <w:rPr>
                  <w:rFonts w:ascii="Liberation Serif" w:hAnsi="Liberation Serif"/>
                  <w:color w:val="111111"/>
                  <w:sz w:val="19"/>
                </w:rPr>
                <w:t>Sec. 407. evolutionary mismatch and contemporary environments.</w:t>
              </w:r>
            </w:hyperlink>
          </w:p>
        </w:tc>
        <w:tc>
          <w:tcPr>
            <w:tcW w:type="dxa" w:w="648"/>
            <w:vAlign w:val="top"/>
          </w:tcPr>
          <w:p>
            <w:pPr>
              <w:pStyle w:val="ContentsText"/>
              <w:jc w:val="right"/>
            </w:pPr>
            <w:fldSimple w:instr=" PAGEREF SEC_407 \h ">
              <w:r>
                <w:t>30</w:t>
              </w:r>
            </w:fldSimple>
          </w:p>
        </w:tc>
      </w:tr>
      <w:tr>
        <w:trPr>
          <w:cantSplit/>
        </w:trPr>
        <w:tc>
          <w:tcPr>
            <w:tcW w:type="dxa" w:w="9000"/>
            <w:vAlign w:val="top"/>
          </w:tcPr>
          <w:p>
            <w:pPr>
              <w:pStyle w:val="ContentsText"/>
              <w:ind w:left="216"/>
            </w:pPr>
            <w:hyperlink w:anchor="SEC_408" w:history="1">
              <w:r>
                <w:rPr>
                  <w:rFonts w:ascii="Liberation Serif" w:hAnsi="Liberation Serif"/>
                  <w:color w:val="111111"/>
                  <w:sz w:val="19"/>
                </w:rPr>
                <w:t>Sec. 408. research infrastructure and responsible scientific computing.</w:t>
              </w:r>
            </w:hyperlink>
          </w:p>
        </w:tc>
        <w:tc>
          <w:tcPr>
            <w:tcW w:type="dxa" w:w="648"/>
            <w:vAlign w:val="top"/>
          </w:tcPr>
          <w:p>
            <w:pPr>
              <w:pStyle w:val="ContentsText"/>
              <w:jc w:val="right"/>
            </w:pPr>
            <w:fldSimple w:instr=" PAGEREF SEC_408 \h ">
              <w:r>
                <w:t>30</w:t>
              </w:r>
            </w:fldSimple>
          </w:p>
        </w:tc>
      </w:tr>
      <w:tr>
        <w:trPr>
          <w:cantSplit/>
        </w:trPr>
        <w:tc>
          <w:tcPr>
            <w:tcW w:type="dxa" w:w="9000"/>
            <w:vAlign w:val="top"/>
          </w:tcPr>
          <w:p>
            <w:pPr>
              <w:pStyle w:val="ContentsText"/>
              <w:ind w:left="216"/>
            </w:pPr>
            <w:hyperlink w:anchor="SEC_409" w:history="1">
              <w:r>
                <w:rPr>
                  <w:rFonts w:ascii="Liberation Serif" w:hAnsi="Liberation Serif"/>
                  <w:color w:val="111111"/>
                  <w:sz w:val="19"/>
                </w:rPr>
                <w:t>Sec. 409. evidence synthesis and translational clearinghouse.</w:t>
              </w:r>
            </w:hyperlink>
          </w:p>
        </w:tc>
        <w:tc>
          <w:tcPr>
            <w:tcW w:type="dxa" w:w="648"/>
            <w:vAlign w:val="top"/>
          </w:tcPr>
          <w:p>
            <w:pPr>
              <w:pStyle w:val="ContentsText"/>
              <w:jc w:val="right"/>
            </w:pPr>
            <w:fldSimple w:instr=" PAGEREF SEC_409 \h ">
              <w:r>
                <w:t>31</w:t>
              </w:r>
            </w:fldSimple>
          </w:p>
        </w:tc>
      </w:tr>
      <w:tr>
        <w:trPr>
          <w:cantSplit/>
        </w:trPr>
        <w:tc>
          <w:tcPr>
            <w:tcW w:type="dxa" w:w="9000"/>
            <w:vAlign w:val="top"/>
          </w:tcPr>
          <w:p>
            <w:pPr>
              <w:pStyle w:val="ContentsText"/>
              <w:ind w:left="216"/>
            </w:pPr>
            <w:hyperlink w:anchor="SEC_410" w:history="1">
              <w:r>
                <w:rPr>
                  <w:rFonts w:ascii="Liberation Serif" w:hAnsi="Liberation Serif"/>
                  <w:color w:val="111111"/>
                  <w:sz w:val="19"/>
                </w:rPr>
                <w:t>Sec. 410. research portfolio accountability and long-term stewardship.</w:t>
              </w:r>
            </w:hyperlink>
          </w:p>
        </w:tc>
        <w:tc>
          <w:tcPr>
            <w:tcW w:type="dxa" w:w="648"/>
            <w:vAlign w:val="top"/>
          </w:tcPr>
          <w:p>
            <w:pPr>
              <w:pStyle w:val="ContentsText"/>
              <w:jc w:val="right"/>
            </w:pPr>
            <w:fldSimple w:instr=" PAGEREF SEC_410 \h ">
              <w:r>
                <w:t>31</w:t>
              </w:r>
            </w:fldSimple>
          </w:p>
        </w:tc>
      </w:tr>
      <w:tr>
        <w:trPr>
          <w:cantSplit/>
        </w:trPr>
        <w:tc>
          <w:tcPr>
            <w:tcW w:type="dxa" w:w="9000"/>
            <w:vAlign w:val="top"/>
          </w:tcPr>
          <w:p>
            <w:pPr>
              <w:pStyle w:val="ContentsText"/>
              <w:keepNext/>
              <w:spacing w:before="100"/>
            </w:pPr>
            <w:hyperlink w:anchor="TITLE_V" w:history="1">
              <w:r>
                <w:rPr>
                  <w:rFonts w:ascii="Liberation Serif" w:hAnsi="Liberation Serif"/>
                  <w:b/>
                  <w:color w:val="182C3D"/>
                  <w:sz w:val="19"/>
                </w:rPr>
                <w:t>TITLE V. PREGNANCY, INFANCY, AND EARLY CAREGIVING</w:t>
              </w:r>
            </w:hyperlink>
          </w:p>
        </w:tc>
        <w:tc>
          <w:tcPr>
            <w:tcW w:type="dxa" w:w="648"/>
            <w:vAlign w:val="top"/>
          </w:tcPr>
          <w:p>
            <w:pPr>
              <w:pStyle w:val="ContentsText"/>
              <w:spacing w:before="100"/>
              <w:jc w:val="right"/>
            </w:pPr>
            <w:fldSimple w:instr=" PAGEREF TITLE_V \h ">
              <w:r>
                <w:t>33</w:t>
              </w:r>
            </w:fldSimple>
          </w:p>
        </w:tc>
      </w:tr>
      <w:tr>
        <w:trPr>
          <w:cantSplit/>
        </w:trPr>
        <w:tc>
          <w:tcPr>
            <w:tcW w:type="dxa" w:w="9000"/>
            <w:vAlign w:val="top"/>
          </w:tcPr>
          <w:p>
            <w:pPr>
              <w:pStyle w:val="ContentsText"/>
              <w:ind w:left="216"/>
            </w:pPr>
            <w:hyperlink w:anchor="SEC_501" w:history="1">
              <w:r>
                <w:rPr>
                  <w:rFonts w:ascii="Liberation Serif" w:hAnsi="Liberation Serif"/>
                  <w:color w:val="111111"/>
                  <w:sz w:val="19"/>
                </w:rPr>
                <w:t>Sec. 501. early life and caregiving support program.</w:t>
              </w:r>
            </w:hyperlink>
          </w:p>
        </w:tc>
        <w:tc>
          <w:tcPr>
            <w:tcW w:type="dxa" w:w="648"/>
            <w:vAlign w:val="top"/>
          </w:tcPr>
          <w:p>
            <w:pPr>
              <w:pStyle w:val="ContentsText"/>
              <w:jc w:val="right"/>
            </w:pPr>
            <w:fldSimple w:instr=" PAGEREF SEC_501 \h ">
              <w:r>
                <w:t>33</w:t>
              </w:r>
            </w:fldSimple>
          </w:p>
        </w:tc>
      </w:tr>
      <w:tr>
        <w:trPr>
          <w:cantSplit/>
        </w:trPr>
        <w:tc>
          <w:tcPr>
            <w:tcW w:type="dxa" w:w="9000"/>
            <w:vAlign w:val="top"/>
          </w:tcPr>
          <w:p>
            <w:pPr>
              <w:pStyle w:val="ContentsText"/>
              <w:ind w:left="216"/>
            </w:pPr>
            <w:hyperlink w:anchor="SEC_502" w:history="1">
              <w:r>
                <w:rPr>
                  <w:rFonts w:ascii="Liberation Serif" w:hAnsi="Liberation Serif"/>
                  <w:color w:val="111111"/>
                  <w:sz w:val="19"/>
                </w:rPr>
                <w:t>Sec. 502. maternal and pregnancy-related health access.</w:t>
              </w:r>
            </w:hyperlink>
          </w:p>
        </w:tc>
        <w:tc>
          <w:tcPr>
            <w:tcW w:type="dxa" w:w="648"/>
            <w:vAlign w:val="top"/>
          </w:tcPr>
          <w:p>
            <w:pPr>
              <w:pStyle w:val="ContentsText"/>
              <w:jc w:val="right"/>
            </w:pPr>
            <w:fldSimple w:instr=" PAGEREF SEC_502 \h ">
              <w:r>
                <w:t>33</w:t>
              </w:r>
            </w:fldSimple>
          </w:p>
        </w:tc>
      </w:tr>
      <w:tr>
        <w:trPr>
          <w:cantSplit/>
        </w:trPr>
        <w:tc>
          <w:tcPr>
            <w:tcW w:type="dxa" w:w="9000"/>
            <w:vAlign w:val="top"/>
          </w:tcPr>
          <w:p>
            <w:pPr>
              <w:pStyle w:val="ContentsText"/>
              <w:ind w:left="216"/>
            </w:pPr>
            <w:hyperlink w:anchor="SEC_503" w:history="1">
              <w:r>
                <w:rPr>
                  <w:rFonts w:ascii="Liberation Serif" w:hAnsi="Liberation Serif"/>
                  <w:color w:val="111111"/>
                  <w:sz w:val="19"/>
                </w:rPr>
                <w:t>Sec. 503. postpartum recovery and caregiver mental health.</w:t>
              </w:r>
            </w:hyperlink>
          </w:p>
        </w:tc>
        <w:tc>
          <w:tcPr>
            <w:tcW w:type="dxa" w:w="648"/>
            <w:vAlign w:val="top"/>
          </w:tcPr>
          <w:p>
            <w:pPr>
              <w:pStyle w:val="ContentsText"/>
              <w:jc w:val="right"/>
            </w:pPr>
            <w:fldSimple w:instr=" PAGEREF SEC_503 \h ">
              <w:r>
                <w:t>34</w:t>
              </w:r>
            </w:fldSimple>
          </w:p>
        </w:tc>
      </w:tr>
      <w:tr>
        <w:trPr>
          <w:cantSplit/>
        </w:trPr>
        <w:tc>
          <w:tcPr>
            <w:tcW w:type="dxa" w:w="9000"/>
            <w:vAlign w:val="top"/>
          </w:tcPr>
          <w:p>
            <w:pPr>
              <w:pStyle w:val="ContentsText"/>
              <w:ind w:left="216"/>
            </w:pPr>
            <w:hyperlink w:anchor="SEC_504" w:history="1">
              <w:r>
                <w:rPr>
                  <w:rFonts w:ascii="Liberation Serif" w:hAnsi="Liberation Serif"/>
                  <w:color w:val="111111"/>
                  <w:sz w:val="19"/>
                </w:rPr>
                <w:t>Sec. 504. infant feeding, nutrition, and family choice.</w:t>
              </w:r>
            </w:hyperlink>
          </w:p>
        </w:tc>
        <w:tc>
          <w:tcPr>
            <w:tcW w:type="dxa" w:w="648"/>
            <w:vAlign w:val="top"/>
          </w:tcPr>
          <w:p>
            <w:pPr>
              <w:pStyle w:val="ContentsText"/>
              <w:jc w:val="right"/>
            </w:pPr>
            <w:fldSimple w:instr=" PAGEREF SEC_504 \h ">
              <w:r>
                <w:t>34</w:t>
              </w:r>
            </w:fldSimple>
          </w:p>
        </w:tc>
      </w:tr>
      <w:tr>
        <w:trPr>
          <w:cantSplit/>
        </w:trPr>
        <w:tc>
          <w:tcPr>
            <w:tcW w:type="dxa" w:w="9000"/>
            <w:vAlign w:val="top"/>
          </w:tcPr>
          <w:p>
            <w:pPr>
              <w:pStyle w:val="ContentsText"/>
              <w:ind w:left="216"/>
            </w:pPr>
            <w:hyperlink w:anchor="SEC_505" w:history="1">
              <w:r>
                <w:rPr>
                  <w:rFonts w:ascii="Liberation Serif" w:hAnsi="Liberation Serif"/>
                  <w:color w:val="111111"/>
                  <w:sz w:val="19"/>
                </w:rPr>
                <w:t>Sec. 505. voluntary home visiting and community support.</w:t>
              </w:r>
            </w:hyperlink>
          </w:p>
        </w:tc>
        <w:tc>
          <w:tcPr>
            <w:tcW w:type="dxa" w:w="648"/>
            <w:vAlign w:val="top"/>
          </w:tcPr>
          <w:p>
            <w:pPr>
              <w:pStyle w:val="ContentsText"/>
              <w:jc w:val="right"/>
            </w:pPr>
            <w:fldSimple w:instr=" PAGEREF SEC_505 \h ">
              <w:r>
                <w:t>34</w:t>
              </w:r>
            </w:fldSimple>
          </w:p>
        </w:tc>
      </w:tr>
      <w:tr>
        <w:trPr>
          <w:cantSplit/>
        </w:trPr>
        <w:tc>
          <w:tcPr>
            <w:tcW w:type="dxa" w:w="9000"/>
            <w:vAlign w:val="top"/>
          </w:tcPr>
          <w:p>
            <w:pPr>
              <w:pStyle w:val="ContentsText"/>
              <w:ind w:left="216"/>
            </w:pPr>
            <w:hyperlink w:anchor="SEC_506" w:history="1">
              <w:r>
                <w:rPr>
                  <w:rFonts w:ascii="Liberation Serif" w:hAnsi="Liberation Serif"/>
                  <w:color w:val="111111"/>
                  <w:sz w:val="19"/>
                </w:rPr>
                <w:t>Sec. 506. early developmental support and disability inclusion.</w:t>
              </w:r>
            </w:hyperlink>
          </w:p>
        </w:tc>
        <w:tc>
          <w:tcPr>
            <w:tcW w:type="dxa" w:w="648"/>
            <w:vAlign w:val="top"/>
          </w:tcPr>
          <w:p>
            <w:pPr>
              <w:pStyle w:val="ContentsText"/>
              <w:jc w:val="right"/>
            </w:pPr>
            <w:fldSimple w:instr=" PAGEREF SEC_506 \h ">
              <w:r>
                <w:t>35</w:t>
              </w:r>
            </w:fldSimple>
          </w:p>
        </w:tc>
      </w:tr>
      <w:tr>
        <w:trPr>
          <w:cantSplit/>
        </w:trPr>
        <w:tc>
          <w:tcPr>
            <w:tcW w:type="dxa" w:w="9000"/>
            <w:vAlign w:val="top"/>
          </w:tcPr>
          <w:p>
            <w:pPr>
              <w:pStyle w:val="ContentsText"/>
              <w:ind w:left="216"/>
            </w:pPr>
            <w:hyperlink w:anchor="SEC_507" w:history="1">
              <w:r>
                <w:rPr>
                  <w:rFonts w:ascii="Liberation Serif" w:hAnsi="Liberation Serif"/>
                  <w:color w:val="111111"/>
                  <w:sz w:val="19"/>
                </w:rPr>
                <w:t>Sec. 507. safe care, injury prevention, and support without surveillance.</w:t>
              </w:r>
            </w:hyperlink>
          </w:p>
        </w:tc>
        <w:tc>
          <w:tcPr>
            <w:tcW w:type="dxa" w:w="648"/>
            <w:vAlign w:val="top"/>
          </w:tcPr>
          <w:p>
            <w:pPr>
              <w:pStyle w:val="ContentsText"/>
              <w:jc w:val="right"/>
            </w:pPr>
            <w:fldSimple w:instr=" PAGEREF SEC_507 \h ">
              <w:r>
                <w:t>35</w:t>
              </w:r>
            </w:fldSimple>
          </w:p>
        </w:tc>
      </w:tr>
      <w:tr>
        <w:trPr>
          <w:cantSplit/>
        </w:trPr>
        <w:tc>
          <w:tcPr>
            <w:tcW w:type="dxa" w:w="9000"/>
            <w:vAlign w:val="top"/>
          </w:tcPr>
          <w:p>
            <w:pPr>
              <w:pStyle w:val="ContentsText"/>
              <w:ind w:left="216"/>
            </w:pPr>
            <w:hyperlink w:anchor="SEC_508" w:history="1">
              <w:r>
                <w:rPr>
                  <w:rFonts w:ascii="Liberation Serif" w:hAnsi="Liberation Serif"/>
                  <w:color w:val="111111"/>
                  <w:sz w:val="19"/>
                </w:rPr>
                <w:t>Sec. 508. childcare quality, access, and caregiver workforce.</w:t>
              </w:r>
            </w:hyperlink>
          </w:p>
        </w:tc>
        <w:tc>
          <w:tcPr>
            <w:tcW w:type="dxa" w:w="648"/>
            <w:vAlign w:val="top"/>
          </w:tcPr>
          <w:p>
            <w:pPr>
              <w:pStyle w:val="ContentsText"/>
              <w:jc w:val="right"/>
            </w:pPr>
            <w:fldSimple w:instr=" PAGEREF SEC_508 \h ">
              <w:r>
                <w:t>36</w:t>
              </w:r>
            </w:fldSimple>
          </w:p>
        </w:tc>
      </w:tr>
      <w:tr>
        <w:trPr>
          <w:cantSplit/>
        </w:trPr>
        <w:tc>
          <w:tcPr>
            <w:tcW w:type="dxa" w:w="9000"/>
            <w:vAlign w:val="top"/>
          </w:tcPr>
          <w:p>
            <w:pPr>
              <w:pStyle w:val="ContentsText"/>
              <w:ind w:left="216"/>
            </w:pPr>
            <w:hyperlink w:anchor="SEC_509" w:history="1">
              <w:r>
                <w:rPr>
                  <w:rFonts w:ascii="Liberation Serif" w:hAnsi="Liberation Serif"/>
                  <w:color w:val="111111"/>
                  <w:sz w:val="19"/>
                </w:rPr>
                <w:t>Sec. 509. care transitions, adoption, foster care, and bereavement.</w:t>
              </w:r>
            </w:hyperlink>
          </w:p>
        </w:tc>
        <w:tc>
          <w:tcPr>
            <w:tcW w:type="dxa" w:w="648"/>
            <w:vAlign w:val="top"/>
          </w:tcPr>
          <w:p>
            <w:pPr>
              <w:pStyle w:val="ContentsText"/>
              <w:jc w:val="right"/>
            </w:pPr>
            <w:fldSimple w:instr=" PAGEREF SEC_509 \h ">
              <w:r>
                <w:t>36</w:t>
              </w:r>
            </w:fldSimple>
          </w:p>
        </w:tc>
      </w:tr>
      <w:tr>
        <w:trPr>
          <w:cantSplit/>
        </w:trPr>
        <w:tc>
          <w:tcPr>
            <w:tcW w:type="dxa" w:w="9000"/>
            <w:vAlign w:val="top"/>
          </w:tcPr>
          <w:p>
            <w:pPr>
              <w:pStyle w:val="ContentsText"/>
              <w:ind w:left="216"/>
            </w:pPr>
            <w:hyperlink w:anchor="SEC_510" w:history="1">
              <w:r>
                <w:rPr>
                  <w:rFonts w:ascii="Liberation Serif" w:hAnsi="Liberation Serif"/>
                  <w:color w:val="111111"/>
                  <w:sz w:val="19"/>
                </w:rPr>
                <w:t>Sec. 510. early-life program accountability.</w:t>
              </w:r>
            </w:hyperlink>
          </w:p>
        </w:tc>
        <w:tc>
          <w:tcPr>
            <w:tcW w:type="dxa" w:w="648"/>
            <w:vAlign w:val="top"/>
          </w:tcPr>
          <w:p>
            <w:pPr>
              <w:pStyle w:val="ContentsText"/>
              <w:jc w:val="right"/>
            </w:pPr>
            <w:fldSimple w:instr=" PAGEREF SEC_510 \h ">
              <w:r>
                <w:t>37</w:t>
              </w:r>
            </w:fldSimple>
          </w:p>
        </w:tc>
      </w:tr>
      <w:tr>
        <w:trPr>
          <w:cantSplit/>
        </w:trPr>
        <w:tc>
          <w:tcPr>
            <w:tcW w:type="dxa" w:w="9000"/>
            <w:vAlign w:val="top"/>
          </w:tcPr>
          <w:p>
            <w:pPr>
              <w:pStyle w:val="ContentsText"/>
              <w:keepNext/>
              <w:spacing w:before="100"/>
            </w:pPr>
            <w:hyperlink w:anchor="TITLE_VI" w:history="1">
              <w:r>
                <w:rPr>
                  <w:rFonts w:ascii="Liberation Serif" w:hAnsi="Liberation Serif"/>
                  <w:b/>
                  <w:color w:val="182C3D"/>
                  <w:sz w:val="19"/>
                </w:rPr>
                <w:t>TITLE VI. CHILDHOOD, ADOLESCENCE, PLAY, AND DEVELOPMENTAL AUTONOMY</w:t>
              </w:r>
            </w:hyperlink>
          </w:p>
        </w:tc>
        <w:tc>
          <w:tcPr>
            <w:tcW w:type="dxa" w:w="648"/>
            <w:vAlign w:val="top"/>
          </w:tcPr>
          <w:p>
            <w:pPr>
              <w:pStyle w:val="ContentsText"/>
              <w:spacing w:before="100"/>
              <w:jc w:val="right"/>
            </w:pPr>
            <w:fldSimple w:instr=" PAGEREF TITLE_VI \h ">
              <w:r>
                <w:t>38</w:t>
              </w:r>
            </w:fldSimple>
          </w:p>
        </w:tc>
      </w:tr>
      <w:tr>
        <w:trPr>
          <w:cantSplit/>
        </w:trPr>
        <w:tc>
          <w:tcPr>
            <w:tcW w:type="dxa" w:w="9000"/>
            <w:vAlign w:val="top"/>
          </w:tcPr>
          <w:p>
            <w:pPr>
              <w:pStyle w:val="ContentsText"/>
              <w:ind w:left="216"/>
            </w:pPr>
            <w:hyperlink w:anchor="SEC_601" w:history="1">
              <w:r>
                <w:rPr>
                  <w:rFonts w:ascii="Liberation Serif" w:hAnsi="Liberation Serif"/>
                  <w:color w:val="111111"/>
                  <w:sz w:val="19"/>
                </w:rPr>
                <w:t>Sec. 601. child and adolescent development grants.</w:t>
              </w:r>
            </w:hyperlink>
          </w:p>
        </w:tc>
        <w:tc>
          <w:tcPr>
            <w:tcW w:type="dxa" w:w="648"/>
            <w:vAlign w:val="top"/>
          </w:tcPr>
          <w:p>
            <w:pPr>
              <w:pStyle w:val="ContentsText"/>
              <w:jc w:val="right"/>
            </w:pPr>
            <w:fldSimple w:instr=" PAGEREF SEC_601 \h ">
              <w:r>
                <w:t>38</w:t>
              </w:r>
            </w:fldSimple>
          </w:p>
        </w:tc>
      </w:tr>
      <w:tr>
        <w:trPr>
          <w:cantSplit/>
        </w:trPr>
        <w:tc>
          <w:tcPr>
            <w:tcW w:type="dxa" w:w="9000"/>
            <w:vAlign w:val="top"/>
          </w:tcPr>
          <w:p>
            <w:pPr>
              <w:pStyle w:val="ContentsText"/>
              <w:ind w:left="216"/>
            </w:pPr>
            <w:hyperlink w:anchor="SEC_602" w:history="1">
              <w:r>
                <w:rPr>
                  <w:rFonts w:ascii="Liberation Serif" w:hAnsi="Liberation Serif"/>
                  <w:color w:val="111111"/>
                  <w:sz w:val="19"/>
                </w:rPr>
                <w:t>Sec. 602. play and exploration.</w:t>
              </w:r>
            </w:hyperlink>
          </w:p>
        </w:tc>
        <w:tc>
          <w:tcPr>
            <w:tcW w:type="dxa" w:w="648"/>
            <w:vAlign w:val="top"/>
          </w:tcPr>
          <w:p>
            <w:pPr>
              <w:pStyle w:val="ContentsText"/>
              <w:jc w:val="right"/>
            </w:pPr>
            <w:fldSimple w:instr=" PAGEREF SEC_602 \h ">
              <w:r>
                <w:t>38</w:t>
              </w:r>
            </w:fldSimple>
          </w:p>
        </w:tc>
      </w:tr>
      <w:tr>
        <w:trPr>
          <w:cantSplit/>
        </w:trPr>
        <w:tc>
          <w:tcPr>
            <w:tcW w:type="dxa" w:w="9000"/>
            <w:vAlign w:val="top"/>
          </w:tcPr>
          <w:p>
            <w:pPr>
              <w:pStyle w:val="ContentsText"/>
              <w:ind w:left="216"/>
            </w:pPr>
            <w:hyperlink w:anchor="SEC_603" w:history="1">
              <w:r>
                <w:rPr>
                  <w:rFonts w:ascii="Liberation Serif" w:hAnsi="Liberation Serif"/>
                  <w:color w:val="111111"/>
                  <w:sz w:val="19"/>
                </w:rPr>
                <w:t>Sec. 603. adolescent agency and age-appropriate participation.</w:t>
              </w:r>
            </w:hyperlink>
          </w:p>
        </w:tc>
        <w:tc>
          <w:tcPr>
            <w:tcW w:type="dxa" w:w="648"/>
            <w:vAlign w:val="top"/>
          </w:tcPr>
          <w:p>
            <w:pPr>
              <w:pStyle w:val="ContentsText"/>
              <w:jc w:val="right"/>
            </w:pPr>
            <w:fldSimple w:instr=" PAGEREF SEC_603 \h ">
              <w:r>
                <w:t>39</w:t>
              </w:r>
            </w:fldSimple>
          </w:p>
        </w:tc>
      </w:tr>
      <w:tr>
        <w:trPr>
          <w:cantSplit/>
        </w:trPr>
        <w:tc>
          <w:tcPr>
            <w:tcW w:type="dxa" w:w="9000"/>
            <w:vAlign w:val="top"/>
          </w:tcPr>
          <w:p>
            <w:pPr>
              <w:pStyle w:val="ContentsText"/>
              <w:ind w:left="216"/>
            </w:pPr>
            <w:hyperlink w:anchor="SEC_604" w:history="1">
              <w:r>
                <w:rPr>
                  <w:rFonts w:ascii="Liberation Serif" w:hAnsi="Liberation Serif"/>
                  <w:color w:val="111111"/>
                  <w:sz w:val="19"/>
                </w:rPr>
                <w:t>Sec. 604. safe peer relationships and prevention of abuse.</w:t>
              </w:r>
            </w:hyperlink>
          </w:p>
        </w:tc>
        <w:tc>
          <w:tcPr>
            <w:tcW w:type="dxa" w:w="648"/>
            <w:vAlign w:val="top"/>
          </w:tcPr>
          <w:p>
            <w:pPr>
              <w:pStyle w:val="ContentsText"/>
              <w:jc w:val="right"/>
            </w:pPr>
            <w:fldSimple w:instr=" PAGEREF SEC_604 \h ">
              <w:r>
                <w:t>39</w:t>
              </w:r>
            </w:fldSimple>
          </w:p>
        </w:tc>
      </w:tr>
      <w:tr>
        <w:trPr>
          <w:cantSplit/>
        </w:trPr>
        <w:tc>
          <w:tcPr>
            <w:tcW w:type="dxa" w:w="9000"/>
            <w:vAlign w:val="top"/>
          </w:tcPr>
          <w:p>
            <w:pPr>
              <w:pStyle w:val="ContentsText"/>
              <w:ind w:left="216"/>
            </w:pPr>
            <w:hyperlink w:anchor="SEC_605" w:history="1">
              <w:r>
                <w:rPr>
                  <w:rFonts w:ascii="Liberation Serif" w:hAnsi="Liberation Serif"/>
                  <w:color w:val="111111"/>
                  <w:sz w:val="19"/>
                </w:rPr>
                <w:t>Sec. 605. children's time, rest, and balanced programming.</w:t>
              </w:r>
            </w:hyperlink>
          </w:p>
        </w:tc>
        <w:tc>
          <w:tcPr>
            <w:tcW w:type="dxa" w:w="648"/>
            <w:vAlign w:val="top"/>
          </w:tcPr>
          <w:p>
            <w:pPr>
              <w:pStyle w:val="ContentsText"/>
              <w:jc w:val="right"/>
            </w:pPr>
            <w:fldSimple w:instr=" PAGEREF SEC_605 \h ">
              <w:r>
                <w:t>40</w:t>
              </w:r>
            </w:fldSimple>
          </w:p>
        </w:tc>
      </w:tr>
      <w:tr>
        <w:trPr>
          <w:cantSplit/>
        </w:trPr>
        <w:tc>
          <w:tcPr>
            <w:tcW w:type="dxa" w:w="9000"/>
            <w:vAlign w:val="top"/>
          </w:tcPr>
          <w:p>
            <w:pPr>
              <w:pStyle w:val="ContentsText"/>
              <w:ind w:left="216"/>
            </w:pPr>
            <w:hyperlink w:anchor="SEC_606" w:history="1">
              <w:r>
                <w:rPr>
                  <w:rFonts w:ascii="Liberation Serif" w:hAnsi="Liberation Serif"/>
                  <w:color w:val="111111"/>
                  <w:sz w:val="19"/>
                </w:rPr>
                <w:t>Sec. 606. outdoor access, mobility, and community exploration.</w:t>
              </w:r>
            </w:hyperlink>
          </w:p>
        </w:tc>
        <w:tc>
          <w:tcPr>
            <w:tcW w:type="dxa" w:w="648"/>
            <w:vAlign w:val="top"/>
          </w:tcPr>
          <w:p>
            <w:pPr>
              <w:pStyle w:val="ContentsText"/>
              <w:jc w:val="right"/>
            </w:pPr>
            <w:fldSimple w:instr=" PAGEREF SEC_606 \h ">
              <w:r>
                <w:t>40</w:t>
              </w:r>
            </w:fldSimple>
          </w:p>
        </w:tc>
      </w:tr>
      <w:tr>
        <w:trPr>
          <w:cantSplit/>
        </w:trPr>
        <w:tc>
          <w:tcPr>
            <w:tcW w:type="dxa" w:w="9000"/>
            <w:vAlign w:val="top"/>
          </w:tcPr>
          <w:p>
            <w:pPr>
              <w:pStyle w:val="ContentsText"/>
              <w:ind w:left="216"/>
            </w:pPr>
            <w:hyperlink w:anchor="SEC_607" w:history="1">
              <w:r>
                <w:rPr>
                  <w:rFonts w:ascii="Liberation Serif" w:hAnsi="Liberation Serif"/>
                  <w:color w:val="111111"/>
                  <w:sz w:val="19"/>
                </w:rPr>
                <w:t>Sec. 607. digital development and human support.</w:t>
              </w:r>
            </w:hyperlink>
          </w:p>
        </w:tc>
        <w:tc>
          <w:tcPr>
            <w:tcW w:type="dxa" w:w="648"/>
            <w:vAlign w:val="top"/>
          </w:tcPr>
          <w:p>
            <w:pPr>
              <w:pStyle w:val="ContentsText"/>
              <w:jc w:val="right"/>
            </w:pPr>
            <w:fldSimple w:instr=" PAGEREF SEC_607 \h ">
              <w:r>
                <w:t>41</w:t>
              </w:r>
            </w:fldSimple>
          </w:p>
        </w:tc>
      </w:tr>
      <w:tr>
        <w:trPr>
          <w:cantSplit/>
        </w:trPr>
        <w:tc>
          <w:tcPr>
            <w:tcW w:type="dxa" w:w="9000"/>
            <w:vAlign w:val="top"/>
          </w:tcPr>
          <w:p>
            <w:pPr>
              <w:pStyle w:val="ContentsText"/>
              <w:ind w:left="216"/>
            </w:pPr>
            <w:hyperlink w:anchor="SEC_608" w:history="1">
              <w:r>
                <w:rPr>
                  <w:rFonts w:ascii="Liberation Serif" w:hAnsi="Liberation Serif"/>
                  <w:color w:val="111111"/>
                  <w:sz w:val="19"/>
                </w:rPr>
                <w:t>Sec. 608. support for children experiencing adversity.</w:t>
              </w:r>
            </w:hyperlink>
          </w:p>
        </w:tc>
        <w:tc>
          <w:tcPr>
            <w:tcW w:type="dxa" w:w="648"/>
            <w:vAlign w:val="top"/>
          </w:tcPr>
          <w:p>
            <w:pPr>
              <w:pStyle w:val="ContentsText"/>
              <w:jc w:val="right"/>
            </w:pPr>
            <w:fldSimple w:instr=" PAGEREF SEC_608 \h ">
              <w:r>
                <w:t>41</w:t>
              </w:r>
            </w:fldSimple>
          </w:p>
        </w:tc>
      </w:tr>
      <w:tr>
        <w:trPr>
          <w:cantSplit/>
        </w:trPr>
        <w:tc>
          <w:tcPr>
            <w:tcW w:type="dxa" w:w="9000"/>
            <w:vAlign w:val="top"/>
          </w:tcPr>
          <w:p>
            <w:pPr>
              <w:pStyle w:val="ContentsText"/>
              <w:ind w:left="216"/>
            </w:pPr>
            <w:hyperlink w:anchor="SEC_609" w:history="1">
              <w:r>
                <w:rPr>
                  <w:rFonts w:ascii="Liberation Serif" w:hAnsi="Liberation Serif"/>
                  <w:color w:val="111111"/>
                  <w:sz w:val="19"/>
                </w:rPr>
                <w:t>Sec. 609. youth advisory structures and research protection.</w:t>
              </w:r>
            </w:hyperlink>
          </w:p>
        </w:tc>
        <w:tc>
          <w:tcPr>
            <w:tcW w:type="dxa" w:w="648"/>
            <w:vAlign w:val="top"/>
          </w:tcPr>
          <w:p>
            <w:pPr>
              <w:pStyle w:val="ContentsText"/>
              <w:jc w:val="right"/>
            </w:pPr>
            <w:fldSimple w:instr=" PAGEREF SEC_609 \h ">
              <w:r>
                <w:t>41</w:t>
              </w:r>
            </w:fldSimple>
          </w:p>
        </w:tc>
      </w:tr>
      <w:tr>
        <w:trPr>
          <w:cantSplit/>
        </w:trPr>
        <w:tc>
          <w:tcPr>
            <w:tcW w:type="dxa" w:w="9000"/>
            <w:vAlign w:val="top"/>
          </w:tcPr>
          <w:p>
            <w:pPr>
              <w:pStyle w:val="ContentsText"/>
              <w:ind w:left="216"/>
            </w:pPr>
            <w:hyperlink w:anchor="SEC_610" w:history="1">
              <w:r>
                <w:rPr>
                  <w:rFonts w:ascii="Liberation Serif" w:hAnsi="Liberation Serif"/>
                  <w:color w:val="111111"/>
                  <w:sz w:val="19"/>
                </w:rPr>
                <w:t>Sec. 610. developmental program evaluation and safeguard review.</w:t>
              </w:r>
            </w:hyperlink>
          </w:p>
        </w:tc>
        <w:tc>
          <w:tcPr>
            <w:tcW w:type="dxa" w:w="648"/>
            <w:vAlign w:val="top"/>
          </w:tcPr>
          <w:p>
            <w:pPr>
              <w:pStyle w:val="ContentsText"/>
              <w:jc w:val="right"/>
            </w:pPr>
            <w:fldSimple w:instr=" PAGEREF SEC_610 \h ">
              <w:r>
                <w:t>42</w:t>
              </w:r>
            </w:fldSimple>
          </w:p>
        </w:tc>
      </w:tr>
      <w:tr>
        <w:trPr>
          <w:cantSplit/>
        </w:trPr>
        <w:tc>
          <w:tcPr>
            <w:tcW w:type="dxa" w:w="9000"/>
            <w:vAlign w:val="top"/>
          </w:tcPr>
          <w:p>
            <w:pPr>
              <w:pStyle w:val="ContentsText"/>
              <w:keepNext/>
              <w:spacing w:before="100"/>
            </w:pPr>
            <w:hyperlink w:anchor="TITLE_VII" w:history="1">
              <w:r>
                <w:rPr>
                  <w:rFonts w:ascii="Liberation Serif" w:hAnsi="Liberation Serif"/>
                  <w:b/>
                  <w:color w:val="182C3D"/>
                  <w:sz w:val="19"/>
                </w:rPr>
                <w:t>TITLE VII. EDUCATION, LEARNING, AND HUMAN SKILLS</w:t>
              </w:r>
            </w:hyperlink>
          </w:p>
        </w:tc>
        <w:tc>
          <w:tcPr>
            <w:tcW w:type="dxa" w:w="648"/>
            <w:vAlign w:val="top"/>
          </w:tcPr>
          <w:p>
            <w:pPr>
              <w:pStyle w:val="ContentsText"/>
              <w:spacing w:before="100"/>
              <w:jc w:val="right"/>
            </w:pPr>
            <w:fldSimple w:instr=" PAGEREF TITLE_VII \h ">
              <w:r>
                <w:t>43</w:t>
              </w:r>
            </w:fldSimple>
          </w:p>
        </w:tc>
      </w:tr>
      <w:tr>
        <w:trPr>
          <w:cantSplit/>
        </w:trPr>
        <w:tc>
          <w:tcPr>
            <w:tcW w:type="dxa" w:w="9000"/>
            <w:vAlign w:val="top"/>
          </w:tcPr>
          <w:p>
            <w:pPr>
              <w:pStyle w:val="ContentsText"/>
              <w:ind w:left="216"/>
            </w:pPr>
            <w:hyperlink w:anchor="SEC_701" w:history="1">
              <w:r>
                <w:rPr>
                  <w:rFonts w:ascii="Liberation Serif" w:hAnsi="Liberation Serif"/>
                  <w:color w:val="111111"/>
                  <w:sz w:val="19"/>
                </w:rPr>
                <w:t>Sec. 701. learning environments and lifelong opportunity.</w:t>
              </w:r>
            </w:hyperlink>
          </w:p>
        </w:tc>
        <w:tc>
          <w:tcPr>
            <w:tcW w:type="dxa" w:w="648"/>
            <w:vAlign w:val="top"/>
          </w:tcPr>
          <w:p>
            <w:pPr>
              <w:pStyle w:val="ContentsText"/>
              <w:jc w:val="right"/>
            </w:pPr>
            <w:fldSimple w:instr=" PAGEREF SEC_701 \h ">
              <w:r>
                <w:t>43</w:t>
              </w:r>
            </w:fldSimple>
          </w:p>
        </w:tc>
      </w:tr>
      <w:tr>
        <w:trPr>
          <w:cantSplit/>
        </w:trPr>
        <w:tc>
          <w:tcPr>
            <w:tcW w:type="dxa" w:w="9000"/>
            <w:vAlign w:val="top"/>
          </w:tcPr>
          <w:p>
            <w:pPr>
              <w:pStyle w:val="ContentsText"/>
              <w:ind w:left="216"/>
            </w:pPr>
            <w:hyperlink w:anchor="SEC_702" w:history="1">
              <w:r>
                <w:rPr>
                  <w:rFonts w:ascii="Liberation Serif" w:hAnsi="Liberation Serif"/>
                  <w:color w:val="111111"/>
                  <w:sz w:val="19"/>
                </w:rPr>
                <w:t>Sec. 702. evidence-informed teaching and educator capacity.</w:t>
              </w:r>
            </w:hyperlink>
          </w:p>
        </w:tc>
        <w:tc>
          <w:tcPr>
            <w:tcW w:type="dxa" w:w="648"/>
            <w:vAlign w:val="top"/>
          </w:tcPr>
          <w:p>
            <w:pPr>
              <w:pStyle w:val="ContentsText"/>
              <w:jc w:val="right"/>
            </w:pPr>
            <w:fldSimple w:instr=" PAGEREF SEC_702 \h ">
              <w:r>
                <w:t>43</w:t>
              </w:r>
            </w:fldSimple>
          </w:p>
        </w:tc>
      </w:tr>
      <w:tr>
        <w:trPr>
          <w:cantSplit/>
        </w:trPr>
        <w:tc>
          <w:tcPr>
            <w:tcW w:type="dxa" w:w="9000"/>
            <w:vAlign w:val="top"/>
          </w:tcPr>
          <w:p>
            <w:pPr>
              <w:pStyle w:val="ContentsText"/>
              <w:ind w:left="216"/>
            </w:pPr>
            <w:hyperlink w:anchor="SEC_703" w:history="1">
              <w:r>
                <w:rPr>
                  <w:rFonts w:ascii="Liberation Serif" w:hAnsi="Liberation Serif"/>
                  <w:color w:val="111111"/>
                  <w:sz w:val="19"/>
                </w:rPr>
                <w:t>Sec. 703. critical reasoning, scientific literacy, and information skills.</w:t>
              </w:r>
            </w:hyperlink>
          </w:p>
        </w:tc>
        <w:tc>
          <w:tcPr>
            <w:tcW w:type="dxa" w:w="648"/>
            <w:vAlign w:val="top"/>
          </w:tcPr>
          <w:p>
            <w:pPr>
              <w:pStyle w:val="ContentsText"/>
              <w:jc w:val="right"/>
            </w:pPr>
            <w:fldSimple w:instr=" PAGEREF SEC_703 \h ">
              <w:r>
                <w:t>44</w:t>
              </w:r>
            </w:fldSimple>
          </w:p>
        </w:tc>
      </w:tr>
      <w:tr>
        <w:trPr>
          <w:cantSplit/>
        </w:trPr>
        <w:tc>
          <w:tcPr>
            <w:tcW w:type="dxa" w:w="9000"/>
            <w:vAlign w:val="top"/>
          </w:tcPr>
          <w:p>
            <w:pPr>
              <w:pStyle w:val="ContentsText"/>
              <w:ind w:left="216"/>
            </w:pPr>
            <w:hyperlink w:anchor="SEC_704" w:history="1">
              <w:r>
                <w:rPr>
                  <w:rFonts w:ascii="Liberation Serif" w:hAnsi="Liberation Serif"/>
                  <w:color w:val="111111"/>
                  <w:sz w:val="19"/>
                </w:rPr>
                <w:t>Sec. 704. arts, making, practical skills, and embodied learning.</w:t>
              </w:r>
            </w:hyperlink>
          </w:p>
        </w:tc>
        <w:tc>
          <w:tcPr>
            <w:tcW w:type="dxa" w:w="648"/>
            <w:vAlign w:val="top"/>
          </w:tcPr>
          <w:p>
            <w:pPr>
              <w:pStyle w:val="ContentsText"/>
              <w:jc w:val="right"/>
            </w:pPr>
            <w:fldSimple w:instr=" PAGEREF SEC_704 \h ">
              <w:r>
                <w:t>44</w:t>
              </w:r>
            </w:fldSimple>
          </w:p>
        </w:tc>
      </w:tr>
      <w:tr>
        <w:trPr>
          <w:cantSplit/>
        </w:trPr>
        <w:tc>
          <w:tcPr>
            <w:tcW w:type="dxa" w:w="9000"/>
            <w:vAlign w:val="top"/>
          </w:tcPr>
          <w:p>
            <w:pPr>
              <w:pStyle w:val="ContentsText"/>
              <w:ind w:left="216"/>
            </w:pPr>
            <w:hyperlink w:anchor="SEC_705" w:history="1">
              <w:r>
                <w:rPr>
                  <w:rFonts w:ascii="Liberation Serif" w:hAnsi="Liberation Serif"/>
                  <w:color w:val="111111"/>
                  <w:sz w:val="19"/>
                </w:rPr>
                <w:t>Sec. 705. artificial intelligence and educational technology.</w:t>
              </w:r>
            </w:hyperlink>
          </w:p>
        </w:tc>
        <w:tc>
          <w:tcPr>
            <w:tcW w:type="dxa" w:w="648"/>
            <w:vAlign w:val="top"/>
          </w:tcPr>
          <w:p>
            <w:pPr>
              <w:pStyle w:val="ContentsText"/>
              <w:jc w:val="right"/>
            </w:pPr>
            <w:fldSimple w:instr=" PAGEREF SEC_705 \h ">
              <w:r>
                <w:t>45</w:t>
              </w:r>
            </w:fldSimple>
          </w:p>
        </w:tc>
      </w:tr>
      <w:tr>
        <w:trPr>
          <w:cantSplit/>
        </w:trPr>
        <w:tc>
          <w:tcPr>
            <w:tcW w:type="dxa" w:w="9000"/>
            <w:vAlign w:val="top"/>
          </w:tcPr>
          <w:p>
            <w:pPr>
              <w:pStyle w:val="ContentsText"/>
              <w:ind w:left="216"/>
            </w:pPr>
            <w:hyperlink w:anchor="SEC_706" w:history="1">
              <w:r>
                <w:rPr>
                  <w:rFonts w:ascii="Liberation Serif" w:hAnsi="Liberation Serif"/>
                  <w:color w:val="111111"/>
                  <w:sz w:val="19"/>
                </w:rPr>
                <w:t>Sec. 706. student records, assessment, and freedom from profiling.</w:t>
              </w:r>
            </w:hyperlink>
          </w:p>
        </w:tc>
        <w:tc>
          <w:tcPr>
            <w:tcW w:type="dxa" w:w="648"/>
            <w:vAlign w:val="top"/>
          </w:tcPr>
          <w:p>
            <w:pPr>
              <w:pStyle w:val="ContentsText"/>
              <w:jc w:val="right"/>
            </w:pPr>
            <w:fldSimple w:instr=" PAGEREF SEC_706 \h ">
              <w:r>
                <w:t>45</w:t>
              </w:r>
            </w:fldSimple>
          </w:p>
        </w:tc>
      </w:tr>
      <w:tr>
        <w:trPr>
          <w:cantSplit/>
        </w:trPr>
        <w:tc>
          <w:tcPr>
            <w:tcW w:type="dxa" w:w="9000"/>
            <w:vAlign w:val="top"/>
          </w:tcPr>
          <w:p>
            <w:pPr>
              <w:pStyle w:val="ContentsText"/>
              <w:ind w:left="216"/>
            </w:pPr>
            <w:hyperlink w:anchor="SEC_707" w:history="1">
              <w:r>
                <w:rPr>
                  <w:rFonts w:ascii="Liberation Serif" w:hAnsi="Liberation Serif"/>
                  <w:color w:val="111111"/>
                  <w:sz w:val="19"/>
                </w:rPr>
                <w:t>Sec. 707. adult learning and second-chance education.</w:t>
              </w:r>
            </w:hyperlink>
          </w:p>
        </w:tc>
        <w:tc>
          <w:tcPr>
            <w:tcW w:type="dxa" w:w="648"/>
            <w:vAlign w:val="top"/>
          </w:tcPr>
          <w:p>
            <w:pPr>
              <w:pStyle w:val="ContentsText"/>
              <w:jc w:val="right"/>
            </w:pPr>
            <w:fldSimple w:instr=" PAGEREF SEC_707 \h ">
              <w:r>
                <w:t>46</w:t>
              </w:r>
            </w:fldSimple>
          </w:p>
        </w:tc>
      </w:tr>
      <w:tr>
        <w:trPr>
          <w:cantSplit/>
        </w:trPr>
        <w:tc>
          <w:tcPr>
            <w:tcW w:type="dxa" w:w="9000"/>
            <w:vAlign w:val="top"/>
          </w:tcPr>
          <w:p>
            <w:pPr>
              <w:pStyle w:val="ContentsText"/>
              <w:ind w:left="216"/>
            </w:pPr>
            <w:hyperlink w:anchor="SEC_708" w:history="1">
              <w:r>
                <w:rPr>
                  <w:rFonts w:ascii="Liberation Serif" w:hAnsi="Liberation Serif"/>
                  <w:color w:val="111111"/>
                  <w:sz w:val="19"/>
                </w:rPr>
                <w:t>Sec. 708. libraries, public knowledge, and community learning.</w:t>
              </w:r>
            </w:hyperlink>
          </w:p>
        </w:tc>
        <w:tc>
          <w:tcPr>
            <w:tcW w:type="dxa" w:w="648"/>
            <w:vAlign w:val="top"/>
          </w:tcPr>
          <w:p>
            <w:pPr>
              <w:pStyle w:val="ContentsText"/>
              <w:jc w:val="right"/>
            </w:pPr>
            <w:fldSimple w:instr=" PAGEREF SEC_708 \h ">
              <w:r>
                <w:t>46</w:t>
              </w:r>
            </w:fldSimple>
          </w:p>
        </w:tc>
      </w:tr>
      <w:tr>
        <w:trPr>
          <w:cantSplit/>
        </w:trPr>
        <w:tc>
          <w:tcPr>
            <w:tcW w:type="dxa" w:w="9000"/>
            <w:vAlign w:val="top"/>
          </w:tcPr>
          <w:p>
            <w:pPr>
              <w:pStyle w:val="ContentsText"/>
              <w:ind w:left="216"/>
            </w:pPr>
            <w:hyperlink w:anchor="SEC_709" w:history="1">
              <w:r>
                <w:rPr>
                  <w:rFonts w:ascii="Liberation Serif" w:hAnsi="Liberation Serif"/>
                  <w:color w:val="111111"/>
                  <w:sz w:val="19"/>
                </w:rPr>
                <w:t>Sec. 709. educational transitions and portable support.</w:t>
              </w:r>
            </w:hyperlink>
          </w:p>
        </w:tc>
        <w:tc>
          <w:tcPr>
            <w:tcW w:type="dxa" w:w="648"/>
            <w:vAlign w:val="top"/>
          </w:tcPr>
          <w:p>
            <w:pPr>
              <w:pStyle w:val="ContentsText"/>
              <w:jc w:val="right"/>
            </w:pPr>
            <w:fldSimple w:instr=" PAGEREF SEC_709 \h ">
              <w:r>
                <w:t>46</w:t>
              </w:r>
            </w:fldSimple>
          </w:p>
        </w:tc>
      </w:tr>
      <w:tr>
        <w:trPr>
          <w:cantSplit/>
        </w:trPr>
        <w:tc>
          <w:tcPr>
            <w:tcW w:type="dxa" w:w="9000"/>
            <w:vAlign w:val="top"/>
          </w:tcPr>
          <w:p>
            <w:pPr>
              <w:pStyle w:val="ContentsText"/>
              <w:ind w:left="216"/>
            </w:pPr>
            <w:hyperlink w:anchor="SEC_710" w:history="1">
              <w:r>
                <w:rPr>
                  <w:rFonts w:ascii="Liberation Serif" w:hAnsi="Liberation Serif"/>
                  <w:color w:val="111111"/>
                  <w:sz w:val="19"/>
                </w:rPr>
                <w:t>Sec. 710. education program review and limits.</w:t>
              </w:r>
            </w:hyperlink>
          </w:p>
        </w:tc>
        <w:tc>
          <w:tcPr>
            <w:tcW w:type="dxa" w:w="648"/>
            <w:vAlign w:val="top"/>
          </w:tcPr>
          <w:p>
            <w:pPr>
              <w:pStyle w:val="ContentsText"/>
              <w:jc w:val="right"/>
            </w:pPr>
            <w:fldSimple w:instr=" PAGEREF SEC_710 \h ">
              <w:r>
                <w:t>47</w:t>
              </w:r>
            </w:fldSimple>
          </w:p>
        </w:tc>
      </w:tr>
      <w:tr>
        <w:trPr>
          <w:cantSplit/>
        </w:trPr>
        <w:tc>
          <w:tcPr>
            <w:tcW w:type="dxa" w:w="9000"/>
            <w:vAlign w:val="top"/>
          </w:tcPr>
          <w:p>
            <w:pPr>
              <w:pStyle w:val="ContentsText"/>
              <w:keepNext/>
              <w:spacing w:before="100"/>
            </w:pPr>
            <w:hyperlink w:anchor="TITLE_VIII" w:history="1">
              <w:r>
                <w:rPr>
                  <w:rFonts w:ascii="Liberation Serif" w:hAnsi="Liberation Serif"/>
                  <w:b/>
                  <w:color w:val="182C3D"/>
                  <w:sz w:val="19"/>
                </w:rPr>
                <w:t>TITLE VIII. INTEGRATED HEALTHCARE, PREVENTION, AND FUNCTIONAL ABILITY</w:t>
              </w:r>
            </w:hyperlink>
          </w:p>
        </w:tc>
        <w:tc>
          <w:tcPr>
            <w:tcW w:type="dxa" w:w="648"/>
            <w:vAlign w:val="top"/>
          </w:tcPr>
          <w:p>
            <w:pPr>
              <w:pStyle w:val="ContentsText"/>
              <w:spacing w:before="100"/>
              <w:jc w:val="right"/>
            </w:pPr>
            <w:fldSimple w:instr=" PAGEREF TITLE_VIII \h ">
              <w:r>
                <w:t>48</w:t>
              </w:r>
            </w:fldSimple>
          </w:p>
        </w:tc>
      </w:tr>
      <w:tr>
        <w:trPr>
          <w:cantSplit/>
        </w:trPr>
        <w:tc>
          <w:tcPr>
            <w:tcW w:type="dxa" w:w="9000"/>
            <w:vAlign w:val="top"/>
          </w:tcPr>
          <w:p>
            <w:pPr>
              <w:pStyle w:val="ContentsText"/>
              <w:ind w:left="216"/>
            </w:pPr>
            <w:hyperlink w:anchor="SEC_801" w:history="1">
              <w:r>
                <w:rPr>
                  <w:rFonts w:ascii="Liberation Serif" w:hAnsi="Liberation Serif"/>
                  <w:color w:val="111111"/>
                  <w:sz w:val="19"/>
                </w:rPr>
                <w:t>Sec. 801. human capability health networks.</w:t>
              </w:r>
            </w:hyperlink>
          </w:p>
        </w:tc>
        <w:tc>
          <w:tcPr>
            <w:tcW w:type="dxa" w:w="648"/>
            <w:vAlign w:val="top"/>
          </w:tcPr>
          <w:p>
            <w:pPr>
              <w:pStyle w:val="ContentsText"/>
              <w:jc w:val="right"/>
            </w:pPr>
            <w:fldSimple w:instr=" PAGEREF SEC_801 \h ">
              <w:r>
                <w:t>48</w:t>
              </w:r>
            </w:fldSimple>
          </w:p>
        </w:tc>
      </w:tr>
      <w:tr>
        <w:trPr>
          <w:cantSplit/>
        </w:trPr>
        <w:tc>
          <w:tcPr>
            <w:tcW w:type="dxa" w:w="9000"/>
            <w:vAlign w:val="top"/>
          </w:tcPr>
          <w:p>
            <w:pPr>
              <w:pStyle w:val="ContentsText"/>
              <w:ind w:left="216"/>
            </w:pPr>
            <w:hyperlink w:anchor="SEC_802" w:history="1">
              <w:r>
                <w:rPr>
                  <w:rFonts w:ascii="Liberation Serif" w:hAnsi="Liberation Serif"/>
                  <w:color w:val="111111"/>
                  <w:sz w:val="19"/>
                </w:rPr>
                <w:t>Sec. 802. primary care, prevention, and shared decisions.</w:t>
              </w:r>
            </w:hyperlink>
          </w:p>
        </w:tc>
        <w:tc>
          <w:tcPr>
            <w:tcW w:type="dxa" w:w="648"/>
            <w:vAlign w:val="top"/>
          </w:tcPr>
          <w:p>
            <w:pPr>
              <w:pStyle w:val="ContentsText"/>
              <w:jc w:val="right"/>
            </w:pPr>
            <w:fldSimple w:instr=" PAGEREF SEC_802 \h ">
              <w:r>
                <w:t>48</w:t>
              </w:r>
            </w:fldSimple>
          </w:p>
        </w:tc>
      </w:tr>
      <w:tr>
        <w:trPr>
          <w:cantSplit/>
        </w:trPr>
        <w:tc>
          <w:tcPr>
            <w:tcW w:type="dxa" w:w="9000"/>
            <w:vAlign w:val="top"/>
          </w:tcPr>
          <w:p>
            <w:pPr>
              <w:pStyle w:val="ContentsText"/>
              <w:ind w:left="216"/>
            </w:pPr>
            <w:hyperlink w:anchor="SEC_803" w:history="1">
              <w:r>
                <w:rPr>
                  <w:rFonts w:ascii="Liberation Serif" w:hAnsi="Liberation Serif"/>
                  <w:color w:val="111111"/>
                  <w:sz w:val="19"/>
                </w:rPr>
                <w:t>Sec. 803. chronic conditions, multimorbidity, and coordinated care.</w:t>
              </w:r>
            </w:hyperlink>
          </w:p>
        </w:tc>
        <w:tc>
          <w:tcPr>
            <w:tcW w:type="dxa" w:w="648"/>
            <w:vAlign w:val="top"/>
          </w:tcPr>
          <w:p>
            <w:pPr>
              <w:pStyle w:val="ContentsText"/>
              <w:jc w:val="right"/>
            </w:pPr>
            <w:fldSimple w:instr=" PAGEREF SEC_803 \h ">
              <w:r>
                <w:t>49</w:t>
              </w:r>
            </w:fldSimple>
          </w:p>
        </w:tc>
      </w:tr>
      <w:tr>
        <w:trPr>
          <w:cantSplit/>
        </w:trPr>
        <w:tc>
          <w:tcPr>
            <w:tcW w:type="dxa" w:w="9000"/>
            <w:vAlign w:val="top"/>
          </w:tcPr>
          <w:p>
            <w:pPr>
              <w:pStyle w:val="ContentsText"/>
              <w:ind w:left="216"/>
            </w:pPr>
            <w:hyperlink w:anchor="SEC_804" w:history="1">
              <w:r>
                <w:rPr>
                  <w:rFonts w:ascii="Liberation Serif" w:hAnsi="Liberation Serif"/>
                  <w:color w:val="111111"/>
                  <w:sz w:val="19"/>
                </w:rPr>
                <w:t>Sec. 804. oral, vision, hearing, and communication health.</w:t>
              </w:r>
            </w:hyperlink>
          </w:p>
        </w:tc>
        <w:tc>
          <w:tcPr>
            <w:tcW w:type="dxa" w:w="648"/>
            <w:vAlign w:val="top"/>
          </w:tcPr>
          <w:p>
            <w:pPr>
              <w:pStyle w:val="ContentsText"/>
              <w:jc w:val="right"/>
            </w:pPr>
            <w:fldSimple w:instr=" PAGEREF SEC_804 \h ">
              <w:r>
                <w:t>49</w:t>
              </w:r>
            </w:fldSimple>
          </w:p>
        </w:tc>
      </w:tr>
      <w:tr>
        <w:trPr>
          <w:cantSplit/>
        </w:trPr>
        <w:tc>
          <w:tcPr>
            <w:tcW w:type="dxa" w:w="9000"/>
            <w:vAlign w:val="top"/>
          </w:tcPr>
          <w:p>
            <w:pPr>
              <w:pStyle w:val="ContentsText"/>
              <w:ind w:left="216"/>
            </w:pPr>
            <w:hyperlink w:anchor="SEC_805" w:history="1">
              <w:r>
                <w:rPr>
                  <w:rFonts w:ascii="Liberation Serif" w:hAnsi="Liberation Serif"/>
                  <w:color w:val="111111"/>
                  <w:sz w:val="19"/>
                </w:rPr>
                <w:t>Sec. 805. rehabilitation, habilitation, pain, and assistive technology.</w:t>
              </w:r>
            </w:hyperlink>
          </w:p>
        </w:tc>
        <w:tc>
          <w:tcPr>
            <w:tcW w:type="dxa" w:w="648"/>
            <w:vAlign w:val="top"/>
          </w:tcPr>
          <w:p>
            <w:pPr>
              <w:pStyle w:val="ContentsText"/>
              <w:jc w:val="right"/>
            </w:pPr>
            <w:fldSimple w:instr=" PAGEREF SEC_805 \h ">
              <w:r>
                <w:t>49</w:t>
              </w:r>
            </w:fldSimple>
          </w:p>
        </w:tc>
      </w:tr>
      <w:tr>
        <w:trPr>
          <w:cantSplit/>
        </w:trPr>
        <w:tc>
          <w:tcPr>
            <w:tcW w:type="dxa" w:w="9000"/>
            <w:vAlign w:val="top"/>
          </w:tcPr>
          <w:p>
            <w:pPr>
              <w:pStyle w:val="ContentsText"/>
              <w:ind w:left="216"/>
            </w:pPr>
            <w:hyperlink w:anchor="SEC_806" w:history="1">
              <w:r>
                <w:rPr>
                  <w:rFonts w:ascii="Liberation Serif" w:hAnsi="Liberation Serif"/>
                  <w:color w:val="111111"/>
                  <w:sz w:val="19"/>
                </w:rPr>
                <w:t>Sec. 806. telehealth, digital therapeutics, and human access.</w:t>
              </w:r>
            </w:hyperlink>
          </w:p>
        </w:tc>
        <w:tc>
          <w:tcPr>
            <w:tcW w:type="dxa" w:w="648"/>
            <w:vAlign w:val="top"/>
          </w:tcPr>
          <w:p>
            <w:pPr>
              <w:pStyle w:val="ContentsText"/>
              <w:jc w:val="right"/>
            </w:pPr>
            <w:fldSimple w:instr=" PAGEREF SEC_806 \h ">
              <w:r>
                <w:t>50</w:t>
              </w:r>
            </w:fldSimple>
          </w:p>
        </w:tc>
      </w:tr>
      <w:tr>
        <w:trPr>
          <w:cantSplit/>
        </w:trPr>
        <w:tc>
          <w:tcPr>
            <w:tcW w:type="dxa" w:w="9000"/>
            <w:vAlign w:val="top"/>
          </w:tcPr>
          <w:p>
            <w:pPr>
              <w:pStyle w:val="ContentsText"/>
              <w:ind w:left="216"/>
            </w:pPr>
            <w:hyperlink w:anchor="SEC_807" w:history="1">
              <w:r>
                <w:rPr>
                  <w:rFonts w:ascii="Liberation Serif" w:hAnsi="Liberation Serif"/>
                  <w:color w:val="111111"/>
                  <w:sz w:val="19"/>
                </w:rPr>
                <w:t>Sec. 807. clinical workforce and community health capacity.</w:t>
              </w:r>
            </w:hyperlink>
          </w:p>
        </w:tc>
        <w:tc>
          <w:tcPr>
            <w:tcW w:type="dxa" w:w="648"/>
            <w:vAlign w:val="top"/>
          </w:tcPr>
          <w:p>
            <w:pPr>
              <w:pStyle w:val="ContentsText"/>
              <w:jc w:val="right"/>
            </w:pPr>
            <w:fldSimple w:instr=" PAGEREF SEC_807 \h ">
              <w:r>
                <w:t>50</w:t>
              </w:r>
            </w:fldSimple>
          </w:p>
        </w:tc>
      </w:tr>
      <w:tr>
        <w:trPr>
          <w:cantSplit/>
        </w:trPr>
        <w:tc>
          <w:tcPr>
            <w:tcW w:type="dxa" w:w="9000"/>
            <w:vAlign w:val="top"/>
          </w:tcPr>
          <w:p>
            <w:pPr>
              <w:pStyle w:val="ContentsText"/>
              <w:ind w:left="216"/>
            </w:pPr>
            <w:hyperlink w:anchor="SEC_808" w:history="1">
              <w:r>
                <w:rPr>
                  <w:rFonts w:ascii="Liberation Serif" w:hAnsi="Liberation Serif"/>
                  <w:color w:val="111111"/>
                  <w:sz w:val="19"/>
                </w:rPr>
                <w:t>Sec. 808. health literacy, navigation, and commercial independence.</w:t>
              </w:r>
            </w:hyperlink>
          </w:p>
        </w:tc>
        <w:tc>
          <w:tcPr>
            <w:tcW w:type="dxa" w:w="648"/>
            <w:vAlign w:val="top"/>
          </w:tcPr>
          <w:p>
            <w:pPr>
              <w:pStyle w:val="ContentsText"/>
              <w:jc w:val="right"/>
            </w:pPr>
            <w:fldSimple w:instr=" PAGEREF SEC_808 \h ">
              <w:r>
                <w:t>51</w:t>
              </w:r>
            </w:fldSimple>
          </w:p>
        </w:tc>
      </w:tr>
      <w:tr>
        <w:trPr>
          <w:cantSplit/>
        </w:trPr>
        <w:tc>
          <w:tcPr>
            <w:tcW w:type="dxa" w:w="9000"/>
            <w:vAlign w:val="top"/>
          </w:tcPr>
          <w:p>
            <w:pPr>
              <w:pStyle w:val="ContentsText"/>
              <w:ind w:left="216"/>
            </w:pPr>
            <w:hyperlink w:anchor="SEC_809" w:history="1">
              <w:r>
                <w:rPr>
                  <w:rFonts w:ascii="Liberation Serif" w:hAnsi="Liberation Serif"/>
                  <w:color w:val="111111"/>
                  <w:sz w:val="19"/>
                </w:rPr>
                <w:t>Sec. 809. quality, patient safety, and learning systems.</w:t>
              </w:r>
            </w:hyperlink>
          </w:p>
        </w:tc>
        <w:tc>
          <w:tcPr>
            <w:tcW w:type="dxa" w:w="648"/>
            <w:vAlign w:val="top"/>
          </w:tcPr>
          <w:p>
            <w:pPr>
              <w:pStyle w:val="ContentsText"/>
              <w:jc w:val="right"/>
            </w:pPr>
            <w:fldSimple w:instr=" PAGEREF SEC_809 \h ">
              <w:r>
                <w:t>51</w:t>
              </w:r>
            </w:fldSimple>
          </w:p>
        </w:tc>
      </w:tr>
      <w:tr>
        <w:trPr>
          <w:cantSplit/>
        </w:trPr>
        <w:tc>
          <w:tcPr>
            <w:tcW w:type="dxa" w:w="9000"/>
            <w:vAlign w:val="top"/>
          </w:tcPr>
          <w:p>
            <w:pPr>
              <w:pStyle w:val="ContentsText"/>
              <w:ind w:left="216"/>
            </w:pPr>
            <w:hyperlink w:anchor="SEC_810" w:history="1">
              <w:r>
                <w:rPr>
                  <w:rFonts w:ascii="Liberation Serif" w:hAnsi="Liberation Serif"/>
                  <w:color w:val="111111"/>
                  <w:sz w:val="19"/>
                </w:rPr>
                <w:t>Sec. 810. health program financial and outcome review.</w:t>
              </w:r>
            </w:hyperlink>
          </w:p>
        </w:tc>
        <w:tc>
          <w:tcPr>
            <w:tcW w:type="dxa" w:w="648"/>
            <w:vAlign w:val="top"/>
          </w:tcPr>
          <w:p>
            <w:pPr>
              <w:pStyle w:val="ContentsText"/>
              <w:jc w:val="right"/>
            </w:pPr>
            <w:fldSimple w:instr=" PAGEREF SEC_810 \h ">
              <w:r>
                <w:t>52</w:t>
              </w:r>
            </w:fldSimple>
          </w:p>
        </w:tc>
      </w:tr>
      <w:tr>
        <w:trPr>
          <w:cantSplit/>
        </w:trPr>
        <w:tc>
          <w:tcPr>
            <w:tcW w:type="dxa" w:w="9000"/>
            <w:vAlign w:val="top"/>
          </w:tcPr>
          <w:p>
            <w:pPr>
              <w:pStyle w:val="ContentsText"/>
              <w:keepNext/>
              <w:spacing w:before="100"/>
            </w:pPr>
            <w:hyperlink w:anchor="TITLE_IX" w:history="1">
              <w:r>
                <w:rPr>
                  <w:rFonts w:ascii="Liberation Serif" w:hAnsi="Liberation Serif"/>
                  <w:b/>
                  <w:color w:val="182C3D"/>
                  <w:sz w:val="19"/>
                </w:rPr>
                <w:t>TITLE IX. MENTAL HEALTH, TRAUMA, ADDICTION, AND PSYCHOLOGICAL SUPPORT</w:t>
              </w:r>
            </w:hyperlink>
          </w:p>
        </w:tc>
        <w:tc>
          <w:tcPr>
            <w:tcW w:type="dxa" w:w="648"/>
            <w:vAlign w:val="top"/>
          </w:tcPr>
          <w:p>
            <w:pPr>
              <w:pStyle w:val="ContentsText"/>
              <w:spacing w:before="100"/>
              <w:jc w:val="right"/>
            </w:pPr>
            <w:fldSimple w:instr=" PAGEREF TITLE_IX \h ">
              <w:r>
                <w:t>53</w:t>
              </w:r>
            </w:fldSimple>
          </w:p>
        </w:tc>
      </w:tr>
      <w:tr>
        <w:trPr>
          <w:cantSplit/>
        </w:trPr>
        <w:tc>
          <w:tcPr>
            <w:tcW w:type="dxa" w:w="9000"/>
            <w:vAlign w:val="top"/>
          </w:tcPr>
          <w:p>
            <w:pPr>
              <w:pStyle w:val="ContentsText"/>
              <w:ind w:left="216"/>
            </w:pPr>
            <w:hyperlink w:anchor="SEC_901" w:history="1">
              <w:r>
                <w:rPr>
                  <w:rFonts w:ascii="Liberation Serif" w:hAnsi="Liberation Serif"/>
                  <w:color w:val="111111"/>
                  <w:sz w:val="19"/>
                </w:rPr>
                <w:t>Sec. 901. community mental-health access program.</w:t>
              </w:r>
            </w:hyperlink>
          </w:p>
        </w:tc>
        <w:tc>
          <w:tcPr>
            <w:tcW w:type="dxa" w:w="648"/>
            <w:vAlign w:val="top"/>
          </w:tcPr>
          <w:p>
            <w:pPr>
              <w:pStyle w:val="ContentsText"/>
              <w:jc w:val="right"/>
            </w:pPr>
            <w:fldSimple w:instr=" PAGEREF SEC_901 \h ">
              <w:r>
                <w:t>53</w:t>
              </w:r>
            </w:fldSimple>
          </w:p>
        </w:tc>
      </w:tr>
      <w:tr>
        <w:trPr>
          <w:cantSplit/>
        </w:trPr>
        <w:tc>
          <w:tcPr>
            <w:tcW w:type="dxa" w:w="9000"/>
            <w:vAlign w:val="top"/>
          </w:tcPr>
          <w:p>
            <w:pPr>
              <w:pStyle w:val="ContentsText"/>
              <w:ind w:left="216"/>
            </w:pPr>
            <w:hyperlink w:anchor="SEC_902" w:history="1">
              <w:r>
                <w:rPr>
                  <w:rFonts w:ascii="Liberation Serif" w:hAnsi="Liberation Serif"/>
                  <w:color w:val="111111"/>
                  <w:sz w:val="19"/>
                </w:rPr>
                <w:t>Sec. 902. voluntary crisis response and continuity.</w:t>
              </w:r>
            </w:hyperlink>
          </w:p>
        </w:tc>
        <w:tc>
          <w:tcPr>
            <w:tcW w:type="dxa" w:w="648"/>
            <w:vAlign w:val="top"/>
          </w:tcPr>
          <w:p>
            <w:pPr>
              <w:pStyle w:val="ContentsText"/>
              <w:jc w:val="right"/>
            </w:pPr>
            <w:fldSimple w:instr=" PAGEREF SEC_902 \h ">
              <w:r>
                <w:t>53</w:t>
              </w:r>
            </w:fldSimple>
          </w:p>
        </w:tc>
      </w:tr>
      <w:tr>
        <w:trPr>
          <w:cantSplit/>
        </w:trPr>
        <w:tc>
          <w:tcPr>
            <w:tcW w:type="dxa" w:w="9000"/>
            <w:vAlign w:val="top"/>
          </w:tcPr>
          <w:p>
            <w:pPr>
              <w:pStyle w:val="ContentsText"/>
              <w:ind w:left="216"/>
            </w:pPr>
            <w:hyperlink w:anchor="SEC_903" w:history="1">
              <w:r>
                <w:rPr>
                  <w:rFonts w:ascii="Liberation Serif" w:hAnsi="Liberation Serif"/>
                  <w:color w:val="111111"/>
                  <w:sz w:val="19"/>
                </w:rPr>
                <w:t>Sec. 903. suicide prevention and responsible safety practices.</w:t>
              </w:r>
            </w:hyperlink>
          </w:p>
        </w:tc>
        <w:tc>
          <w:tcPr>
            <w:tcW w:type="dxa" w:w="648"/>
            <w:vAlign w:val="top"/>
          </w:tcPr>
          <w:p>
            <w:pPr>
              <w:pStyle w:val="ContentsText"/>
              <w:jc w:val="right"/>
            </w:pPr>
            <w:fldSimple w:instr=" PAGEREF SEC_903 \h ">
              <w:r>
                <w:t>54</w:t>
              </w:r>
            </w:fldSimple>
          </w:p>
        </w:tc>
      </w:tr>
      <w:tr>
        <w:trPr>
          <w:cantSplit/>
        </w:trPr>
        <w:tc>
          <w:tcPr>
            <w:tcW w:type="dxa" w:w="9000"/>
            <w:vAlign w:val="top"/>
          </w:tcPr>
          <w:p>
            <w:pPr>
              <w:pStyle w:val="ContentsText"/>
              <w:ind w:left="216"/>
            </w:pPr>
            <w:hyperlink w:anchor="SEC_904" w:history="1">
              <w:r>
                <w:rPr>
                  <w:rFonts w:ascii="Liberation Serif" w:hAnsi="Liberation Serif"/>
                  <w:color w:val="111111"/>
                  <w:sz w:val="19"/>
                </w:rPr>
                <w:t>Sec. 904. trauma-informed and culturally responsive support.</w:t>
              </w:r>
            </w:hyperlink>
          </w:p>
        </w:tc>
        <w:tc>
          <w:tcPr>
            <w:tcW w:type="dxa" w:w="648"/>
            <w:vAlign w:val="top"/>
          </w:tcPr>
          <w:p>
            <w:pPr>
              <w:pStyle w:val="ContentsText"/>
              <w:jc w:val="right"/>
            </w:pPr>
            <w:fldSimple w:instr=" PAGEREF SEC_904 \h ">
              <w:r>
                <w:t>54</w:t>
              </w:r>
            </w:fldSimple>
          </w:p>
        </w:tc>
      </w:tr>
      <w:tr>
        <w:trPr>
          <w:cantSplit/>
        </w:trPr>
        <w:tc>
          <w:tcPr>
            <w:tcW w:type="dxa" w:w="9000"/>
            <w:vAlign w:val="top"/>
          </w:tcPr>
          <w:p>
            <w:pPr>
              <w:pStyle w:val="ContentsText"/>
              <w:ind w:left="216"/>
            </w:pPr>
            <w:hyperlink w:anchor="SEC_905" w:history="1">
              <w:r>
                <w:rPr>
                  <w:rFonts w:ascii="Liberation Serif" w:hAnsi="Liberation Serif"/>
                  <w:color w:val="111111"/>
                  <w:sz w:val="19"/>
                </w:rPr>
                <w:t>Sec. 905. substance-use prevention, treatment, and recovery.</w:t>
              </w:r>
            </w:hyperlink>
          </w:p>
        </w:tc>
        <w:tc>
          <w:tcPr>
            <w:tcW w:type="dxa" w:w="648"/>
            <w:vAlign w:val="top"/>
          </w:tcPr>
          <w:p>
            <w:pPr>
              <w:pStyle w:val="ContentsText"/>
              <w:jc w:val="right"/>
            </w:pPr>
            <w:fldSimple w:instr=" PAGEREF SEC_905 \h ">
              <w:r>
                <w:t>54</w:t>
              </w:r>
            </w:fldSimple>
          </w:p>
        </w:tc>
      </w:tr>
      <w:tr>
        <w:trPr>
          <w:cantSplit/>
        </w:trPr>
        <w:tc>
          <w:tcPr>
            <w:tcW w:type="dxa" w:w="9000"/>
            <w:vAlign w:val="top"/>
          </w:tcPr>
          <w:p>
            <w:pPr>
              <w:pStyle w:val="ContentsText"/>
              <w:ind w:left="216"/>
            </w:pPr>
            <w:hyperlink w:anchor="SEC_906" w:history="1">
              <w:r>
                <w:rPr>
                  <w:rFonts w:ascii="Liberation Serif" w:hAnsi="Liberation Serif"/>
                  <w:color w:val="111111"/>
                  <w:sz w:val="19"/>
                </w:rPr>
                <w:t>Sec. 906. peer support, recovery communities, and practical assistance.</w:t>
              </w:r>
            </w:hyperlink>
          </w:p>
        </w:tc>
        <w:tc>
          <w:tcPr>
            <w:tcW w:type="dxa" w:w="648"/>
            <w:vAlign w:val="top"/>
          </w:tcPr>
          <w:p>
            <w:pPr>
              <w:pStyle w:val="ContentsText"/>
              <w:jc w:val="right"/>
            </w:pPr>
            <w:fldSimple w:instr=" PAGEREF SEC_906 \h ">
              <w:r>
                <w:t>55</w:t>
              </w:r>
            </w:fldSimple>
          </w:p>
        </w:tc>
      </w:tr>
      <w:tr>
        <w:trPr>
          <w:cantSplit/>
        </w:trPr>
        <w:tc>
          <w:tcPr>
            <w:tcW w:type="dxa" w:w="9000"/>
            <w:vAlign w:val="top"/>
          </w:tcPr>
          <w:p>
            <w:pPr>
              <w:pStyle w:val="ContentsText"/>
              <w:ind w:left="216"/>
            </w:pPr>
            <w:hyperlink w:anchor="SEC_907" w:history="1">
              <w:r>
                <w:rPr>
                  <w:rFonts w:ascii="Liberation Serif" w:hAnsi="Liberation Serif"/>
                  <w:color w:val="111111"/>
                  <w:sz w:val="19"/>
                </w:rPr>
                <w:t>Sec. 907. mental-health technology and conversational systems.</w:t>
              </w:r>
            </w:hyperlink>
          </w:p>
        </w:tc>
        <w:tc>
          <w:tcPr>
            <w:tcW w:type="dxa" w:w="648"/>
            <w:vAlign w:val="top"/>
          </w:tcPr>
          <w:p>
            <w:pPr>
              <w:pStyle w:val="ContentsText"/>
              <w:jc w:val="right"/>
            </w:pPr>
            <w:fldSimple w:instr=" PAGEREF SEC_907 \h ">
              <w:r>
                <w:t>55</w:t>
              </w:r>
            </w:fldSimple>
          </w:p>
        </w:tc>
      </w:tr>
      <w:tr>
        <w:trPr>
          <w:cantSplit/>
        </w:trPr>
        <w:tc>
          <w:tcPr>
            <w:tcW w:type="dxa" w:w="9000"/>
            <w:vAlign w:val="top"/>
          </w:tcPr>
          <w:p>
            <w:pPr>
              <w:pStyle w:val="ContentsText"/>
              <w:ind w:left="216"/>
            </w:pPr>
            <w:hyperlink w:anchor="SEC_908" w:history="1">
              <w:r>
                <w:rPr>
                  <w:rFonts w:ascii="Liberation Serif" w:hAnsi="Liberation Serif"/>
                  <w:color w:val="111111"/>
                  <w:sz w:val="19"/>
                </w:rPr>
                <w:t>Sec. 908. prevention of abuse in mental-health services.</w:t>
              </w:r>
            </w:hyperlink>
          </w:p>
        </w:tc>
        <w:tc>
          <w:tcPr>
            <w:tcW w:type="dxa" w:w="648"/>
            <w:vAlign w:val="top"/>
          </w:tcPr>
          <w:p>
            <w:pPr>
              <w:pStyle w:val="ContentsText"/>
              <w:jc w:val="right"/>
            </w:pPr>
            <w:fldSimple w:instr=" PAGEREF SEC_908 \h ">
              <w:r>
                <w:t>56</w:t>
              </w:r>
            </w:fldSimple>
          </w:p>
        </w:tc>
      </w:tr>
      <w:tr>
        <w:trPr>
          <w:cantSplit/>
        </w:trPr>
        <w:tc>
          <w:tcPr>
            <w:tcW w:type="dxa" w:w="9000"/>
            <w:vAlign w:val="top"/>
          </w:tcPr>
          <w:p>
            <w:pPr>
              <w:pStyle w:val="ContentsText"/>
              <w:ind w:left="216"/>
            </w:pPr>
            <w:hyperlink w:anchor="SEC_909" w:history="1">
              <w:r>
                <w:rPr>
                  <w:rFonts w:ascii="Liberation Serif" w:hAnsi="Liberation Serif"/>
                  <w:color w:val="111111"/>
                  <w:sz w:val="19"/>
                </w:rPr>
                <w:t>Sec. 909. psychological well-being without compulsory normalization.</w:t>
              </w:r>
            </w:hyperlink>
          </w:p>
        </w:tc>
        <w:tc>
          <w:tcPr>
            <w:tcW w:type="dxa" w:w="648"/>
            <w:vAlign w:val="top"/>
          </w:tcPr>
          <w:p>
            <w:pPr>
              <w:pStyle w:val="ContentsText"/>
              <w:jc w:val="right"/>
            </w:pPr>
            <w:fldSimple w:instr=" PAGEREF SEC_909 \h ">
              <w:r>
                <w:t>56</w:t>
              </w:r>
            </w:fldSimple>
          </w:p>
        </w:tc>
      </w:tr>
      <w:tr>
        <w:trPr>
          <w:cantSplit/>
        </w:trPr>
        <w:tc>
          <w:tcPr>
            <w:tcW w:type="dxa" w:w="9000"/>
            <w:vAlign w:val="top"/>
          </w:tcPr>
          <w:p>
            <w:pPr>
              <w:pStyle w:val="ContentsText"/>
              <w:ind w:left="216"/>
            </w:pPr>
            <w:hyperlink w:anchor="SEC_910" w:history="1">
              <w:r>
                <w:rPr>
                  <w:rFonts w:ascii="Liberation Serif" w:hAnsi="Liberation Serif"/>
                  <w:color w:val="111111"/>
                  <w:sz w:val="19"/>
                </w:rPr>
                <w:t>Sec. 910. mental-health research and accountability.</w:t>
              </w:r>
            </w:hyperlink>
          </w:p>
        </w:tc>
        <w:tc>
          <w:tcPr>
            <w:tcW w:type="dxa" w:w="648"/>
            <w:vAlign w:val="top"/>
          </w:tcPr>
          <w:p>
            <w:pPr>
              <w:pStyle w:val="ContentsText"/>
              <w:jc w:val="right"/>
            </w:pPr>
            <w:fldSimple w:instr=" PAGEREF SEC_910 \h ">
              <w:r>
                <w:t>57</w:t>
              </w:r>
            </w:fldSimple>
          </w:p>
        </w:tc>
      </w:tr>
      <w:tr>
        <w:trPr>
          <w:cantSplit/>
        </w:trPr>
        <w:tc>
          <w:tcPr>
            <w:tcW w:type="dxa" w:w="9000"/>
            <w:vAlign w:val="top"/>
          </w:tcPr>
          <w:p>
            <w:pPr>
              <w:pStyle w:val="ContentsText"/>
              <w:keepNext/>
              <w:spacing w:before="100"/>
            </w:pPr>
            <w:hyperlink w:anchor="TITLE_X" w:history="1">
              <w:r>
                <w:rPr>
                  <w:rFonts w:ascii="Liberation Serif" w:hAnsi="Liberation Serif"/>
                  <w:b/>
                  <w:color w:val="182C3D"/>
                  <w:sz w:val="19"/>
                </w:rPr>
                <w:t>TITLE X. NUTRITION, WATER, AND FOOD ENVIRONMENTS</w:t>
              </w:r>
            </w:hyperlink>
          </w:p>
        </w:tc>
        <w:tc>
          <w:tcPr>
            <w:tcW w:type="dxa" w:w="648"/>
            <w:vAlign w:val="top"/>
          </w:tcPr>
          <w:p>
            <w:pPr>
              <w:pStyle w:val="ContentsText"/>
              <w:spacing w:before="100"/>
              <w:jc w:val="right"/>
            </w:pPr>
            <w:fldSimple w:instr=" PAGEREF TITLE_X \h ">
              <w:r>
                <w:t>58</w:t>
              </w:r>
            </w:fldSimple>
          </w:p>
        </w:tc>
      </w:tr>
      <w:tr>
        <w:trPr>
          <w:cantSplit/>
        </w:trPr>
        <w:tc>
          <w:tcPr>
            <w:tcW w:type="dxa" w:w="9000"/>
            <w:vAlign w:val="top"/>
          </w:tcPr>
          <w:p>
            <w:pPr>
              <w:pStyle w:val="ContentsText"/>
              <w:ind w:left="216"/>
            </w:pPr>
            <w:hyperlink w:anchor="SEC_1001" w:history="1">
              <w:r>
                <w:rPr>
                  <w:rFonts w:ascii="Liberation Serif" w:hAnsi="Liberation Serif"/>
                  <w:color w:val="111111"/>
                  <w:sz w:val="19"/>
                </w:rPr>
                <w:t>Sec. 1001. healthy food access and cultural suitability.</w:t>
              </w:r>
            </w:hyperlink>
          </w:p>
        </w:tc>
        <w:tc>
          <w:tcPr>
            <w:tcW w:type="dxa" w:w="648"/>
            <w:vAlign w:val="top"/>
          </w:tcPr>
          <w:p>
            <w:pPr>
              <w:pStyle w:val="ContentsText"/>
              <w:jc w:val="right"/>
            </w:pPr>
            <w:fldSimple w:instr=" PAGEREF SEC_1001 \h ">
              <w:r>
                <w:t>58</w:t>
              </w:r>
            </w:fldSimple>
          </w:p>
        </w:tc>
      </w:tr>
      <w:tr>
        <w:trPr>
          <w:cantSplit/>
        </w:trPr>
        <w:tc>
          <w:tcPr>
            <w:tcW w:type="dxa" w:w="9000"/>
            <w:vAlign w:val="top"/>
          </w:tcPr>
          <w:p>
            <w:pPr>
              <w:pStyle w:val="ContentsText"/>
              <w:ind w:left="216"/>
            </w:pPr>
            <w:hyperlink w:anchor="SEC_1002" w:history="1">
              <w:r>
                <w:rPr>
                  <w:rFonts w:ascii="Liberation Serif" w:hAnsi="Liberation Serif"/>
                  <w:color w:val="111111"/>
                  <w:sz w:val="19"/>
                </w:rPr>
                <w:t>Sec. 1002. public food procurement and institutional meals.</w:t>
              </w:r>
            </w:hyperlink>
          </w:p>
        </w:tc>
        <w:tc>
          <w:tcPr>
            <w:tcW w:type="dxa" w:w="648"/>
            <w:vAlign w:val="top"/>
          </w:tcPr>
          <w:p>
            <w:pPr>
              <w:pStyle w:val="ContentsText"/>
              <w:jc w:val="right"/>
            </w:pPr>
            <w:fldSimple w:instr=" PAGEREF SEC_1002 \h ">
              <w:r>
                <w:t>58</w:t>
              </w:r>
            </w:fldSimple>
          </w:p>
        </w:tc>
      </w:tr>
      <w:tr>
        <w:trPr>
          <w:cantSplit/>
        </w:trPr>
        <w:tc>
          <w:tcPr>
            <w:tcW w:type="dxa" w:w="9000"/>
            <w:vAlign w:val="top"/>
          </w:tcPr>
          <w:p>
            <w:pPr>
              <w:pStyle w:val="ContentsText"/>
              <w:ind w:left="216"/>
            </w:pPr>
            <w:hyperlink w:anchor="SEC_1003" w:history="1">
              <w:r>
                <w:rPr>
                  <w:rFonts w:ascii="Liberation Serif" w:hAnsi="Liberation Serif"/>
                  <w:color w:val="111111"/>
                  <w:sz w:val="19"/>
                </w:rPr>
                <w:t>Sec. 1003. nutrition literacy and independent counseling.</w:t>
              </w:r>
            </w:hyperlink>
          </w:p>
        </w:tc>
        <w:tc>
          <w:tcPr>
            <w:tcW w:type="dxa" w:w="648"/>
            <w:vAlign w:val="top"/>
          </w:tcPr>
          <w:p>
            <w:pPr>
              <w:pStyle w:val="ContentsText"/>
              <w:jc w:val="right"/>
            </w:pPr>
            <w:fldSimple w:instr=" PAGEREF SEC_1003 \h ">
              <w:r>
                <w:t>59</w:t>
              </w:r>
            </w:fldSimple>
          </w:p>
        </w:tc>
      </w:tr>
      <w:tr>
        <w:trPr>
          <w:cantSplit/>
        </w:trPr>
        <w:tc>
          <w:tcPr>
            <w:tcW w:type="dxa" w:w="9000"/>
            <w:vAlign w:val="top"/>
          </w:tcPr>
          <w:p>
            <w:pPr>
              <w:pStyle w:val="ContentsText"/>
              <w:ind w:left="216"/>
            </w:pPr>
            <w:hyperlink w:anchor="SEC_1004" w:history="1">
              <w:r>
                <w:rPr>
                  <w:rFonts w:ascii="Liberation Serif" w:hAnsi="Liberation Serif"/>
                  <w:color w:val="111111"/>
                  <w:sz w:val="19"/>
                </w:rPr>
                <w:t>Sec. 1004. safe water, hydration, and sanitation access.</w:t>
              </w:r>
            </w:hyperlink>
          </w:p>
        </w:tc>
        <w:tc>
          <w:tcPr>
            <w:tcW w:type="dxa" w:w="648"/>
            <w:vAlign w:val="top"/>
          </w:tcPr>
          <w:p>
            <w:pPr>
              <w:pStyle w:val="ContentsText"/>
              <w:jc w:val="right"/>
            </w:pPr>
            <w:fldSimple w:instr=" PAGEREF SEC_1004 \h ">
              <w:r>
                <w:t>59</w:t>
              </w:r>
            </w:fldSimple>
          </w:p>
        </w:tc>
      </w:tr>
      <w:tr>
        <w:trPr>
          <w:cantSplit/>
        </w:trPr>
        <w:tc>
          <w:tcPr>
            <w:tcW w:type="dxa" w:w="9000"/>
            <w:vAlign w:val="top"/>
          </w:tcPr>
          <w:p>
            <w:pPr>
              <w:pStyle w:val="ContentsText"/>
              <w:ind w:left="216"/>
            </w:pPr>
            <w:hyperlink w:anchor="SEC_1005" w:history="1">
              <w:r>
                <w:rPr>
                  <w:rFonts w:ascii="Liberation Serif" w:hAnsi="Liberation Serif"/>
                  <w:color w:val="111111"/>
                  <w:sz w:val="19"/>
                </w:rPr>
                <w:t>Sec. 1005. food security, emergency supply, and service coordination.</w:t>
              </w:r>
            </w:hyperlink>
          </w:p>
        </w:tc>
        <w:tc>
          <w:tcPr>
            <w:tcW w:type="dxa" w:w="648"/>
            <w:vAlign w:val="top"/>
          </w:tcPr>
          <w:p>
            <w:pPr>
              <w:pStyle w:val="ContentsText"/>
              <w:jc w:val="right"/>
            </w:pPr>
            <w:fldSimple w:instr=" PAGEREF SEC_1005 \h ">
              <w:r>
                <w:t>59</w:t>
              </w:r>
            </w:fldSimple>
          </w:p>
        </w:tc>
      </w:tr>
      <w:tr>
        <w:trPr>
          <w:cantSplit/>
        </w:trPr>
        <w:tc>
          <w:tcPr>
            <w:tcW w:type="dxa" w:w="9000"/>
            <w:vAlign w:val="top"/>
          </w:tcPr>
          <w:p>
            <w:pPr>
              <w:pStyle w:val="ContentsText"/>
              <w:ind w:left="216"/>
            </w:pPr>
            <w:hyperlink w:anchor="SEC_1006" w:history="1">
              <w:r>
                <w:rPr>
                  <w:rFonts w:ascii="Liberation Serif" w:hAnsi="Liberation Serif"/>
                  <w:color w:val="111111"/>
                  <w:sz w:val="19"/>
                </w:rPr>
                <w:t>Sec. 1006. food production, preparation, and community skills.</w:t>
              </w:r>
            </w:hyperlink>
          </w:p>
        </w:tc>
        <w:tc>
          <w:tcPr>
            <w:tcW w:type="dxa" w:w="648"/>
            <w:vAlign w:val="top"/>
          </w:tcPr>
          <w:p>
            <w:pPr>
              <w:pStyle w:val="ContentsText"/>
              <w:jc w:val="right"/>
            </w:pPr>
            <w:fldSimple w:instr=" PAGEREF SEC_1006 \h ">
              <w:r>
                <w:t>60</w:t>
              </w:r>
            </w:fldSimple>
          </w:p>
        </w:tc>
      </w:tr>
      <w:tr>
        <w:trPr>
          <w:cantSplit/>
        </w:trPr>
        <w:tc>
          <w:tcPr>
            <w:tcW w:type="dxa" w:w="9000"/>
            <w:vAlign w:val="top"/>
          </w:tcPr>
          <w:p>
            <w:pPr>
              <w:pStyle w:val="ContentsText"/>
              <w:ind w:left="216"/>
            </w:pPr>
            <w:hyperlink w:anchor="SEC_1007" w:history="1">
              <w:r>
                <w:rPr>
                  <w:rFonts w:ascii="Liberation Serif" w:hAnsi="Liberation Serif"/>
                  <w:color w:val="111111"/>
                  <w:sz w:val="19"/>
                </w:rPr>
                <w:t>Sec. 1007. commercial food claims and procurement integrity.</w:t>
              </w:r>
            </w:hyperlink>
          </w:p>
        </w:tc>
        <w:tc>
          <w:tcPr>
            <w:tcW w:type="dxa" w:w="648"/>
            <w:vAlign w:val="top"/>
          </w:tcPr>
          <w:p>
            <w:pPr>
              <w:pStyle w:val="ContentsText"/>
              <w:jc w:val="right"/>
            </w:pPr>
            <w:fldSimple w:instr=" PAGEREF SEC_1007 \h ">
              <w:r>
                <w:t>60</w:t>
              </w:r>
            </w:fldSimple>
          </w:p>
        </w:tc>
      </w:tr>
      <w:tr>
        <w:trPr>
          <w:cantSplit/>
        </w:trPr>
        <w:tc>
          <w:tcPr>
            <w:tcW w:type="dxa" w:w="9000"/>
            <w:vAlign w:val="top"/>
          </w:tcPr>
          <w:p>
            <w:pPr>
              <w:pStyle w:val="ContentsText"/>
              <w:ind w:left="216"/>
            </w:pPr>
            <w:hyperlink w:anchor="SEC_1008" w:history="1">
              <w:r>
                <w:rPr>
                  <w:rFonts w:ascii="Liberation Serif" w:hAnsi="Liberation Serif"/>
                  <w:color w:val="111111"/>
                  <w:sz w:val="19"/>
                </w:rPr>
                <w:t>Sec. 1008. food waste, recovery, and nutritional value.</w:t>
              </w:r>
            </w:hyperlink>
          </w:p>
        </w:tc>
        <w:tc>
          <w:tcPr>
            <w:tcW w:type="dxa" w:w="648"/>
            <w:vAlign w:val="top"/>
          </w:tcPr>
          <w:p>
            <w:pPr>
              <w:pStyle w:val="ContentsText"/>
              <w:jc w:val="right"/>
            </w:pPr>
            <w:fldSimple w:instr=" PAGEREF SEC_1008 \h ">
              <w:r>
                <w:t>61</w:t>
              </w:r>
            </w:fldSimple>
          </w:p>
        </w:tc>
      </w:tr>
      <w:tr>
        <w:trPr>
          <w:cantSplit/>
        </w:trPr>
        <w:tc>
          <w:tcPr>
            <w:tcW w:type="dxa" w:w="9000"/>
            <w:vAlign w:val="top"/>
          </w:tcPr>
          <w:p>
            <w:pPr>
              <w:pStyle w:val="ContentsText"/>
              <w:ind w:left="216"/>
            </w:pPr>
            <w:hyperlink w:anchor="SEC_1009" w:history="1">
              <w:r>
                <w:rPr>
                  <w:rFonts w:ascii="Liberation Serif" w:hAnsi="Liberation Serif"/>
                  <w:color w:val="111111"/>
                  <w:sz w:val="19"/>
                </w:rPr>
                <w:t>Sec. 1009. nutrition research and individual variation.</w:t>
              </w:r>
            </w:hyperlink>
          </w:p>
        </w:tc>
        <w:tc>
          <w:tcPr>
            <w:tcW w:type="dxa" w:w="648"/>
            <w:vAlign w:val="top"/>
          </w:tcPr>
          <w:p>
            <w:pPr>
              <w:pStyle w:val="ContentsText"/>
              <w:jc w:val="right"/>
            </w:pPr>
            <w:fldSimple w:instr=" PAGEREF SEC_1009 \h ">
              <w:r>
                <w:t>61</w:t>
              </w:r>
            </w:fldSimple>
          </w:p>
        </w:tc>
      </w:tr>
      <w:tr>
        <w:trPr>
          <w:cantSplit/>
        </w:trPr>
        <w:tc>
          <w:tcPr>
            <w:tcW w:type="dxa" w:w="9000"/>
            <w:vAlign w:val="top"/>
          </w:tcPr>
          <w:p>
            <w:pPr>
              <w:pStyle w:val="ContentsText"/>
              <w:ind w:left="216"/>
            </w:pPr>
            <w:hyperlink w:anchor="SEC_1010" w:history="1">
              <w:r>
                <w:rPr>
                  <w:rFonts w:ascii="Liberation Serif" w:hAnsi="Liberation Serif"/>
                  <w:color w:val="111111"/>
                  <w:sz w:val="19"/>
                </w:rPr>
                <w:t>Sec. 1010. food and water program accountability.</w:t>
              </w:r>
            </w:hyperlink>
          </w:p>
        </w:tc>
        <w:tc>
          <w:tcPr>
            <w:tcW w:type="dxa" w:w="648"/>
            <w:vAlign w:val="top"/>
          </w:tcPr>
          <w:p>
            <w:pPr>
              <w:pStyle w:val="ContentsText"/>
              <w:jc w:val="right"/>
            </w:pPr>
            <w:fldSimple w:instr=" PAGEREF SEC_1010 \h ">
              <w:r>
                <w:t>62</w:t>
              </w:r>
            </w:fldSimple>
          </w:p>
        </w:tc>
      </w:tr>
      <w:tr>
        <w:trPr>
          <w:cantSplit/>
        </w:trPr>
        <w:tc>
          <w:tcPr>
            <w:tcW w:type="dxa" w:w="9000"/>
            <w:vAlign w:val="top"/>
          </w:tcPr>
          <w:p>
            <w:pPr>
              <w:pStyle w:val="ContentsText"/>
              <w:keepNext/>
              <w:spacing w:before="100"/>
            </w:pPr>
            <w:hyperlink w:anchor="TITLE_XI" w:history="1">
              <w:r>
                <w:rPr>
                  <w:rFonts w:ascii="Liberation Serif" w:hAnsi="Liberation Serif"/>
                  <w:b/>
                  <w:color w:val="182C3D"/>
                  <w:sz w:val="19"/>
                </w:rPr>
                <w:t>TITLE XI. MOVEMENT, SLEEP, CIRCADIAN HEALTH, AND SENSORY ENVIRONMENTS</w:t>
              </w:r>
            </w:hyperlink>
          </w:p>
        </w:tc>
        <w:tc>
          <w:tcPr>
            <w:tcW w:type="dxa" w:w="648"/>
            <w:vAlign w:val="top"/>
          </w:tcPr>
          <w:p>
            <w:pPr>
              <w:pStyle w:val="ContentsText"/>
              <w:spacing w:before="100"/>
              <w:jc w:val="right"/>
            </w:pPr>
            <w:fldSimple w:instr=" PAGEREF TITLE_XI \h ">
              <w:r>
                <w:t>63</w:t>
              </w:r>
            </w:fldSimple>
          </w:p>
        </w:tc>
      </w:tr>
      <w:tr>
        <w:trPr>
          <w:cantSplit/>
        </w:trPr>
        <w:tc>
          <w:tcPr>
            <w:tcW w:type="dxa" w:w="9000"/>
            <w:vAlign w:val="top"/>
          </w:tcPr>
          <w:p>
            <w:pPr>
              <w:pStyle w:val="ContentsText"/>
              <w:ind w:left="216"/>
            </w:pPr>
            <w:hyperlink w:anchor="SEC_1101" w:history="1">
              <w:r>
                <w:rPr>
                  <w:rFonts w:ascii="Liberation Serif" w:hAnsi="Liberation Serif"/>
                  <w:color w:val="111111"/>
                  <w:sz w:val="19"/>
                </w:rPr>
                <w:t>Sec. 1101. everyday movement and accessible activity.</w:t>
              </w:r>
            </w:hyperlink>
          </w:p>
        </w:tc>
        <w:tc>
          <w:tcPr>
            <w:tcW w:type="dxa" w:w="648"/>
            <w:vAlign w:val="top"/>
          </w:tcPr>
          <w:p>
            <w:pPr>
              <w:pStyle w:val="ContentsText"/>
              <w:jc w:val="right"/>
            </w:pPr>
            <w:fldSimple w:instr=" PAGEREF SEC_1101 \h ">
              <w:r>
                <w:t>63</w:t>
              </w:r>
            </w:fldSimple>
          </w:p>
        </w:tc>
      </w:tr>
      <w:tr>
        <w:trPr>
          <w:cantSplit/>
        </w:trPr>
        <w:tc>
          <w:tcPr>
            <w:tcW w:type="dxa" w:w="9000"/>
            <w:vAlign w:val="top"/>
          </w:tcPr>
          <w:p>
            <w:pPr>
              <w:pStyle w:val="ContentsText"/>
              <w:ind w:left="216"/>
            </w:pPr>
            <w:hyperlink w:anchor="SEC_1102" w:history="1">
              <w:r>
                <w:rPr>
                  <w:rFonts w:ascii="Liberation Serif" w:hAnsi="Liberation Serif"/>
                  <w:color w:val="111111"/>
                  <w:sz w:val="19"/>
                </w:rPr>
                <w:t>Sec. 1102. sedentary conditions and flexible daily routines.</w:t>
              </w:r>
            </w:hyperlink>
          </w:p>
        </w:tc>
        <w:tc>
          <w:tcPr>
            <w:tcW w:type="dxa" w:w="648"/>
            <w:vAlign w:val="top"/>
          </w:tcPr>
          <w:p>
            <w:pPr>
              <w:pStyle w:val="ContentsText"/>
              <w:jc w:val="right"/>
            </w:pPr>
            <w:fldSimple w:instr=" PAGEREF SEC_1102 \h ">
              <w:r>
                <w:t>63</w:t>
              </w:r>
            </w:fldSimple>
          </w:p>
        </w:tc>
      </w:tr>
      <w:tr>
        <w:trPr>
          <w:cantSplit/>
        </w:trPr>
        <w:tc>
          <w:tcPr>
            <w:tcW w:type="dxa" w:w="9000"/>
            <w:vAlign w:val="top"/>
          </w:tcPr>
          <w:p>
            <w:pPr>
              <w:pStyle w:val="ContentsText"/>
              <w:ind w:left="216"/>
            </w:pPr>
            <w:hyperlink w:anchor="SEC_1103" w:history="1">
              <w:r>
                <w:rPr>
                  <w:rFonts w:ascii="Liberation Serif" w:hAnsi="Liberation Serif"/>
                  <w:color w:val="111111"/>
                  <w:sz w:val="19"/>
                </w:rPr>
                <w:t>Sec. 1103. sleep opportunity and sleep-health services.</w:t>
              </w:r>
            </w:hyperlink>
          </w:p>
        </w:tc>
        <w:tc>
          <w:tcPr>
            <w:tcW w:type="dxa" w:w="648"/>
            <w:vAlign w:val="top"/>
          </w:tcPr>
          <w:p>
            <w:pPr>
              <w:pStyle w:val="ContentsText"/>
              <w:jc w:val="right"/>
            </w:pPr>
            <w:fldSimple w:instr=" PAGEREF SEC_1103 \h ">
              <w:r>
                <w:t>64</w:t>
              </w:r>
            </w:fldSimple>
          </w:p>
        </w:tc>
      </w:tr>
      <w:tr>
        <w:trPr>
          <w:cantSplit/>
        </w:trPr>
        <w:tc>
          <w:tcPr>
            <w:tcW w:type="dxa" w:w="9000"/>
            <w:vAlign w:val="top"/>
          </w:tcPr>
          <w:p>
            <w:pPr>
              <w:pStyle w:val="ContentsText"/>
              <w:ind w:left="216"/>
            </w:pPr>
            <w:hyperlink w:anchor="SEC_1104" w:history="1">
              <w:r>
                <w:rPr>
                  <w:rFonts w:ascii="Liberation Serif" w:hAnsi="Liberation Serif"/>
                  <w:color w:val="111111"/>
                  <w:sz w:val="19"/>
                </w:rPr>
                <w:t>Sec. 1104. circadian lighting and built environments.</w:t>
              </w:r>
            </w:hyperlink>
          </w:p>
        </w:tc>
        <w:tc>
          <w:tcPr>
            <w:tcW w:type="dxa" w:w="648"/>
            <w:vAlign w:val="top"/>
          </w:tcPr>
          <w:p>
            <w:pPr>
              <w:pStyle w:val="ContentsText"/>
              <w:jc w:val="right"/>
            </w:pPr>
            <w:fldSimple w:instr=" PAGEREF SEC_1104 \h ">
              <w:r>
                <w:t>64</w:t>
              </w:r>
            </w:fldSimple>
          </w:p>
        </w:tc>
      </w:tr>
      <w:tr>
        <w:trPr>
          <w:cantSplit/>
        </w:trPr>
        <w:tc>
          <w:tcPr>
            <w:tcW w:type="dxa" w:w="9000"/>
            <w:vAlign w:val="top"/>
          </w:tcPr>
          <w:p>
            <w:pPr>
              <w:pStyle w:val="ContentsText"/>
              <w:ind w:left="216"/>
            </w:pPr>
            <w:hyperlink w:anchor="SEC_1105" w:history="1">
              <w:r>
                <w:rPr>
                  <w:rFonts w:ascii="Liberation Serif" w:hAnsi="Liberation Serif"/>
                  <w:color w:val="111111"/>
                  <w:sz w:val="19"/>
                </w:rPr>
                <w:t>Sec. 1105. noise, sound, and hearing-friendly programs.</w:t>
              </w:r>
            </w:hyperlink>
          </w:p>
        </w:tc>
        <w:tc>
          <w:tcPr>
            <w:tcW w:type="dxa" w:w="648"/>
            <w:vAlign w:val="top"/>
          </w:tcPr>
          <w:p>
            <w:pPr>
              <w:pStyle w:val="ContentsText"/>
              <w:jc w:val="right"/>
            </w:pPr>
            <w:fldSimple w:instr=" PAGEREF SEC_1105 \h ">
              <w:r>
                <w:t>64</w:t>
              </w:r>
            </w:fldSimple>
          </w:p>
        </w:tc>
      </w:tr>
      <w:tr>
        <w:trPr>
          <w:cantSplit/>
        </w:trPr>
        <w:tc>
          <w:tcPr>
            <w:tcW w:type="dxa" w:w="9000"/>
            <w:vAlign w:val="top"/>
          </w:tcPr>
          <w:p>
            <w:pPr>
              <w:pStyle w:val="ContentsText"/>
              <w:ind w:left="216"/>
            </w:pPr>
            <w:hyperlink w:anchor="SEC_1106" w:history="1">
              <w:r>
                <w:rPr>
                  <w:rFonts w:ascii="Liberation Serif" w:hAnsi="Liberation Serif"/>
                  <w:color w:val="111111"/>
                  <w:sz w:val="19"/>
                </w:rPr>
                <w:t>Sec. 1106. sensory access and neurodiverse participation.</w:t>
              </w:r>
            </w:hyperlink>
          </w:p>
        </w:tc>
        <w:tc>
          <w:tcPr>
            <w:tcW w:type="dxa" w:w="648"/>
            <w:vAlign w:val="top"/>
          </w:tcPr>
          <w:p>
            <w:pPr>
              <w:pStyle w:val="ContentsText"/>
              <w:jc w:val="right"/>
            </w:pPr>
            <w:fldSimple w:instr=" PAGEREF SEC_1106 \h ">
              <w:r>
                <w:t>65</w:t>
              </w:r>
            </w:fldSimple>
          </w:p>
        </w:tc>
      </w:tr>
      <w:tr>
        <w:trPr>
          <w:cantSplit/>
        </w:trPr>
        <w:tc>
          <w:tcPr>
            <w:tcW w:type="dxa" w:w="9000"/>
            <w:vAlign w:val="top"/>
          </w:tcPr>
          <w:p>
            <w:pPr>
              <w:pStyle w:val="ContentsText"/>
              <w:ind w:left="216"/>
            </w:pPr>
            <w:hyperlink w:anchor="SEC_1107" w:history="1">
              <w:r>
                <w:rPr>
                  <w:rFonts w:ascii="Liberation Serif" w:hAnsi="Liberation Serif"/>
                  <w:color w:val="111111"/>
                  <w:sz w:val="19"/>
                </w:rPr>
                <w:t>Sec. 1107. sport, recreation, and safe skill development.</w:t>
              </w:r>
            </w:hyperlink>
          </w:p>
        </w:tc>
        <w:tc>
          <w:tcPr>
            <w:tcW w:type="dxa" w:w="648"/>
            <w:vAlign w:val="top"/>
          </w:tcPr>
          <w:p>
            <w:pPr>
              <w:pStyle w:val="ContentsText"/>
              <w:jc w:val="right"/>
            </w:pPr>
            <w:fldSimple w:instr=" PAGEREF SEC_1107 \h ">
              <w:r>
                <w:t>65</w:t>
              </w:r>
            </w:fldSimple>
          </w:p>
        </w:tc>
      </w:tr>
      <w:tr>
        <w:trPr>
          <w:cantSplit/>
        </w:trPr>
        <w:tc>
          <w:tcPr>
            <w:tcW w:type="dxa" w:w="9000"/>
            <w:vAlign w:val="top"/>
          </w:tcPr>
          <w:p>
            <w:pPr>
              <w:pStyle w:val="ContentsText"/>
              <w:ind w:left="216"/>
            </w:pPr>
            <w:hyperlink w:anchor="SEC_1108" w:history="1">
              <w:r>
                <w:rPr>
                  <w:rFonts w:ascii="Liberation Serif" w:hAnsi="Liberation Serif"/>
                  <w:color w:val="111111"/>
                  <w:sz w:val="19"/>
                </w:rPr>
                <w:t>Sec. 1108. fatigue, shift patterns, and safety-critical research.</w:t>
              </w:r>
            </w:hyperlink>
          </w:p>
        </w:tc>
        <w:tc>
          <w:tcPr>
            <w:tcW w:type="dxa" w:w="648"/>
            <w:vAlign w:val="top"/>
          </w:tcPr>
          <w:p>
            <w:pPr>
              <w:pStyle w:val="ContentsText"/>
              <w:jc w:val="right"/>
            </w:pPr>
            <w:fldSimple w:instr=" PAGEREF SEC_1108 \h ">
              <w:r>
                <w:t>66</w:t>
              </w:r>
            </w:fldSimple>
          </w:p>
        </w:tc>
      </w:tr>
      <w:tr>
        <w:trPr>
          <w:cantSplit/>
        </w:trPr>
        <w:tc>
          <w:tcPr>
            <w:tcW w:type="dxa" w:w="9000"/>
            <w:vAlign w:val="top"/>
          </w:tcPr>
          <w:p>
            <w:pPr>
              <w:pStyle w:val="ContentsText"/>
              <w:ind w:left="216"/>
            </w:pPr>
            <w:hyperlink w:anchor="SEC_1109" w:history="1">
              <w:r>
                <w:rPr>
                  <w:rFonts w:ascii="Liberation Serif" w:hAnsi="Liberation Serif"/>
                  <w:color w:val="111111"/>
                  <w:sz w:val="19"/>
                </w:rPr>
                <w:t>Sec. 1109. measurement without compulsory biometrics.</w:t>
              </w:r>
            </w:hyperlink>
          </w:p>
        </w:tc>
        <w:tc>
          <w:tcPr>
            <w:tcW w:type="dxa" w:w="648"/>
            <w:vAlign w:val="top"/>
          </w:tcPr>
          <w:p>
            <w:pPr>
              <w:pStyle w:val="ContentsText"/>
              <w:jc w:val="right"/>
            </w:pPr>
            <w:fldSimple w:instr=" PAGEREF SEC_1109 \h ">
              <w:r>
                <w:t>66</w:t>
              </w:r>
            </w:fldSimple>
          </w:p>
        </w:tc>
      </w:tr>
      <w:tr>
        <w:trPr>
          <w:cantSplit/>
        </w:trPr>
        <w:tc>
          <w:tcPr>
            <w:tcW w:type="dxa" w:w="9000"/>
            <w:vAlign w:val="top"/>
          </w:tcPr>
          <w:p>
            <w:pPr>
              <w:pStyle w:val="ContentsText"/>
              <w:ind w:left="216"/>
            </w:pPr>
            <w:hyperlink w:anchor="SEC_1110" w:history="1">
              <w:r>
                <w:rPr>
                  <w:rFonts w:ascii="Liberation Serif" w:hAnsi="Liberation Serif"/>
                  <w:color w:val="111111"/>
                  <w:sz w:val="19"/>
                </w:rPr>
                <w:t>Sec. 1110. movement and rest program review.</w:t>
              </w:r>
            </w:hyperlink>
          </w:p>
        </w:tc>
        <w:tc>
          <w:tcPr>
            <w:tcW w:type="dxa" w:w="648"/>
            <w:vAlign w:val="top"/>
          </w:tcPr>
          <w:p>
            <w:pPr>
              <w:pStyle w:val="ContentsText"/>
              <w:jc w:val="right"/>
            </w:pPr>
            <w:fldSimple w:instr=" PAGEREF SEC_1110 \h ">
              <w:r>
                <w:t>67</w:t>
              </w:r>
            </w:fldSimple>
          </w:p>
        </w:tc>
      </w:tr>
      <w:tr>
        <w:trPr>
          <w:cantSplit/>
        </w:trPr>
        <w:tc>
          <w:tcPr>
            <w:tcW w:type="dxa" w:w="9000"/>
            <w:vAlign w:val="top"/>
          </w:tcPr>
          <w:p>
            <w:pPr>
              <w:pStyle w:val="ContentsText"/>
              <w:keepNext/>
              <w:spacing w:before="100"/>
            </w:pPr>
            <w:hyperlink w:anchor="TITLE_XII" w:history="1">
              <w:r>
                <w:rPr>
                  <w:rFonts w:ascii="Liberation Serif" w:hAnsi="Liberation Serif"/>
                  <w:b/>
                  <w:color w:val="182C3D"/>
                  <w:sz w:val="19"/>
                </w:rPr>
                <w:t>TITLE XII. SOCIAL CONNECTION, RELATIONSHIPS, AND COMMUNITY LIFE</w:t>
              </w:r>
            </w:hyperlink>
          </w:p>
        </w:tc>
        <w:tc>
          <w:tcPr>
            <w:tcW w:type="dxa" w:w="648"/>
            <w:vAlign w:val="top"/>
          </w:tcPr>
          <w:p>
            <w:pPr>
              <w:pStyle w:val="ContentsText"/>
              <w:spacing w:before="100"/>
              <w:jc w:val="right"/>
            </w:pPr>
            <w:fldSimple w:instr=" PAGEREF TITLE_XII \h ">
              <w:r>
                <w:t>68</w:t>
              </w:r>
            </w:fldSimple>
          </w:p>
        </w:tc>
      </w:tr>
      <w:tr>
        <w:trPr>
          <w:cantSplit/>
        </w:trPr>
        <w:tc>
          <w:tcPr>
            <w:tcW w:type="dxa" w:w="9000"/>
            <w:vAlign w:val="top"/>
          </w:tcPr>
          <w:p>
            <w:pPr>
              <w:pStyle w:val="ContentsText"/>
              <w:ind w:left="216"/>
            </w:pPr>
            <w:hyperlink w:anchor="SEC_1201" w:history="1">
              <w:r>
                <w:rPr>
                  <w:rFonts w:ascii="Liberation Serif" w:hAnsi="Liberation Serif"/>
                  <w:color w:val="111111"/>
                  <w:sz w:val="19"/>
                </w:rPr>
                <w:t>Sec. 1201. voluntary social-connection infrastructure.</w:t>
              </w:r>
            </w:hyperlink>
          </w:p>
        </w:tc>
        <w:tc>
          <w:tcPr>
            <w:tcW w:type="dxa" w:w="648"/>
            <w:vAlign w:val="top"/>
          </w:tcPr>
          <w:p>
            <w:pPr>
              <w:pStyle w:val="ContentsText"/>
              <w:jc w:val="right"/>
            </w:pPr>
            <w:fldSimple w:instr=" PAGEREF SEC_1201 \h ">
              <w:r>
                <w:t>68</w:t>
              </w:r>
            </w:fldSimple>
          </w:p>
        </w:tc>
      </w:tr>
      <w:tr>
        <w:trPr>
          <w:cantSplit/>
        </w:trPr>
        <w:tc>
          <w:tcPr>
            <w:tcW w:type="dxa" w:w="9000"/>
            <w:vAlign w:val="top"/>
          </w:tcPr>
          <w:p>
            <w:pPr>
              <w:pStyle w:val="ContentsText"/>
              <w:ind w:left="216"/>
            </w:pPr>
            <w:hyperlink w:anchor="SEC_1202" w:history="1">
              <w:r>
                <w:rPr>
                  <w:rFonts w:ascii="Liberation Serif" w:hAnsi="Liberation Serif"/>
                  <w:color w:val="111111"/>
                  <w:sz w:val="19"/>
                </w:rPr>
                <w:t>Sec. 1202. community centers and noncommercial gathering space.</w:t>
              </w:r>
            </w:hyperlink>
          </w:p>
        </w:tc>
        <w:tc>
          <w:tcPr>
            <w:tcW w:type="dxa" w:w="648"/>
            <w:vAlign w:val="top"/>
          </w:tcPr>
          <w:p>
            <w:pPr>
              <w:pStyle w:val="ContentsText"/>
              <w:jc w:val="right"/>
            </w:pPr>
            <w:fldSimple w:instr=" PAGEREF SEC_1202 \h ">
              <w:r>
                <w:t>68</w:t>
              </w:r>
            </w:fldSimple>
          </w:p>
        </w:tc>
      </w:tr>
      <w:tr>
        <w:trPr>
          <w:cantSplit/>
        </w:trPr>
        <w:tc>
          <w:tcPr>
            <w:tcW w:type="dxa" w:w="9000"/>
            <w:vAlign w:val="top"/>
          </w:tcPr>
          <w:p>
            <w:pPr>
              <w:pStyle w:val="ContentsText"/>
              <w:ind w:left="216"/>
            </w:pPr>
            <w:hyperlink w:anchor="SEC_1203" w:history="1">
              <w:r>
                <w:rPr>
                  <w:rFonts w:ascii="Liberation Serif" w:hAnsi="Liberation Serif"/>
                  <w:color w:val="111111"/>
                  <w:sz w:val="19"/>
                </w:rPr>
                <w:t>Sec. 1203. intergenerational and neighborhood support.</w:t>
              </w:r>
            </w:hyperlink>
          </w:p>
        </w:tc>
        <w:tc>
          <w:tcPr>
            <w:tcW w:type="dxa" w:w="648"/>
            <w:vAlign w:val="top"/>
          </w:tcPr>
          <w:p>
            <w:pPr>
              <w:pStyle w:val="ContentsText"/>
              <w:jc w:val="right"/>
            </w:pPr>
            <w:fldSimple w:instr=" PAGEREF SEC_1203 \h ">
              <w:r>
                <w:t>68</w:t>
              </w:r>
            </w:fldSimple>
          </w:p>
        </w:tc>
      </w:tr>
      <w:tr>
        <w:trPr>
          <w:cantSplit/>
        </w:trPr>
        <w:tc>
          <w:tcPr>
            <w:tcW w:type="dxa" w:w="9000"/>
            <w:vAlign w:val="top"/>
          </w:tcPr>
          <w:p>
            <w:pPr>
              <w:pStyle w:val="ContentsText"/>
              <w:ind w:left="216"/>
            </w:pPr>
            <w:hyperlink w:anchor="SEC_1204" w:history="1">
              <w:r>
                <w:rPr>
                  <w:rFonts w:ascii="Liberation Serif" w:hAnsi="Liberation Serif"/>
                  <w:color w:val="111111"/>
                  <w:sz w:val="19"/>
                </w:rPr>
                <w:t>Sec. 1204. family, chosen family, and relationship support.</w:t>
              </w:r>
            </w:hyperlink>
          </w:p>
        </w:tc>
        <w:tc>
          <w:tcPr>
            <w:tcW w:type="dxa" w:w="648"/>
            <w:vAlign w:val="top"/>
          </w:tcPr>
          <w:p>
            <w:pPr>
              <w:pStyle w:val="ContentsText"/>
              <w:jc w:val="right"/>
            </w:pPr>
            <w:fldSimple w:instr=" PAGEREF SEC_1204 \h ">
              <w:r>
                <w:t>69</w:t>
              </w:r>
            </w:fldSimple>
          </w:p>
        </w:tc>
      </w:tr>
      <w:tr>
        <w:trPr>
          <w:cantSplit/>
        </w:trPr>
        <w:tc>
          <w:tcPr>
            <w:tcW w:type="dxa" w:w="9000"/>
            <w:vAlign w:val="top"/>
          </w:tcPr>
          <w:p>
            <w:pPr>
              <w:pStyle w:val="ContentsText"/>
              <w:ind w:left="216"/>
            </w:pPr>
            <w:hyperlink w:anchor="SEC_1205" w:history="1">
              <w:r>
                <w:rPr>
                  <w:rFonts w:ascii="Liberation Serif" w:hAnsi="Liberation Serif"/>
                  <w:color w:val="111111"/>
                  <w:sz w:val="19"/>
                </w:rPr>
                <w:t>Sec. 1205. sexual health, intimacy, and adult autonomy.</w:t>
              </w:r>
            </w:hyperlink>
          </w:p>
        </w:tc>
        <w:tc>
          <w:tcPr>
            <w:tcW w:type="dxa" w:w="648"/>
            <w:vAlign w:val="top"/>
          </w:tcPr>
          <w:p>
            <w:pPr>
              <w:pStyle w:val="ContentsText"/>
              <w:jc w:val="right"/>
            </w:pPr>
            <w:fldSimple w:instr=" PAGEREF SEC_1205 \h ">
              <w:r>
                <w:t>69</w:t>
              </w:r>
            </w:fldSimple>
          </w:p>
        </w:tc>
      </w:tr>
      <w:tr>
        <w:trPr>
          <w:cantSplit/>
        </w:trPr>
        <w:tc>
          <w:tcPr>
            <w:tcW w:type="dxa" w:w="9000"/>
            <w:vAlign w:val="top"/>
          </w:tcPr>
          <w:p>
            <w:pPr>
              <w:pStyle w:val="ContentsText"/>
              <w:ind w:left="216"/>
            </w:pPr>
            <w:hyperlink w:anchor="SEC_1206" w:history="1">
              <w:r>
                <w:rPr>
                  <w:rFonts w:ascii="Liberation Serif" w:hAnsi="Liberation Serif"/>
                  <w:color w:val="111111"/>
                  <w:sz w:val="19"/>
                </w:rPr>
                <w:t>Sec. 1206. loneliness, outreach, and social support referral.</w:t>
              </w:r>
            </w:hyperlink>
          </w:p>
        </w:tc>
        <w:tc>
          <w:tcPr>
            <w:tcW w:type="dxa" w:w="648"/>
            <w:vAlign w:val="top"/>
          </w:tcPr>
          <w:p>
            <w:pPr>
              <w:pStyle w:val="ContentsText"/>
              <w:jc w:val="right"/>
            </w:pPr>
            <w:fldSimple w:instr=" PAGEREF SEC_1206 \h ">
              <w:r>
                <w:t>70</w:t>
              </w:r>
            </w:fldSimple>
          </w:p>
        </w:tc>
      </w:tr>
      <w:tr>
        <w:trPr>
          <w:cantSplit/>
        </w:trPr>
        <w:tc>
          <w:tcPr>
            <w:tcW w:type="dxa" w:w="9000"/>
            <w:vAlign w:val="top"/>
          </w:tcPr>
          <w:p>
            <w:pPr>
              <w:pStyle w:val="ContentsText"/>
              <w:ind w:left="216"/>
            </w:pPr>
            <w:hyperlink w:anchor="SEC_1207" w:history="1">
              <w:r>
                <w:rPr>
                  <w:rFonts w:ascii="Liberation Serif" w:hAnsi="Liberation Serif"/>
                  <w:color w:val="111111"/>
                  <w:sz w:val="19"/>
                </w:rPr>
                <w:t>Sec. 1207. volunteering, civic participation, and mutual aid.</w:t>
              </w:r>
            </w:hyperlink>
          </w:p>
        </w:tc>
        <w:tc>
          <w:tcPr>
            <w:tcW w:type="dxa" w:w="648"/>
            <w:vAlign w:val="top"/>
          </w:tcPr>
          <w:p>
            <w:pPr>
              <w:pStyle w:val="ContentsText"/>
              <w:jc w:val="right"/>
            </w:pPr>
            <w:fldSimple w:instr=" PAGEREF SEC_1207 \h ">
              <w:r>
                <w:t>70</w:t>
              </w:r>
            </w:fldSimple>
          </w:p>
        </w:tc>
      </w:tr>
      <w:tr>
        <w:trPr>
          <w:cantSplit/>
        </w:trPr>
        <w:tc>
          <w:tcPr>
            <w:tcW w:type="dxa" w:w="9000"/>
            <w:vAlign w:val="top"/>
          </w:tcPr>
          <w:p>
            <w:pPr>
              <w:pStyle w:val="ContentsText"/>
              <w:ind w:left="216"/>
            </w:pPr>
            <w:hyperlink w:anchor="SEC_1208" w:history="1">
              <w:r>
                <w:rPr>
                  <w:rFonts w:ascii="Liberation Serif" w:hAnsi="Liberation Serif"/>
                  <w:color w:val="111111"/>
                  <w:sz w:val="19"/>
                </w:rPr>
                <w:t>Sec. 1208. bereavement, transition, and belonging.</w:t>
              </w:r>
            </w:hyperlink>
          </w:p>
        </w:tc>
        <w:tc>
          <w:tcPr>
            <w:tcW w:type="dxa" w:w="648"/>
            <w:vAlign w:val="top"/>
          </w:tcPr>
          <w:p>
            <w:pPr>
              <w:pStyle w:val="ContentsText"/>
              <w:jc w:val="right"/>
            </w:pPr>
            <w:fldSimple w:instr=" PAGEREF SEC_1208 \h ">
              <w:r>
                <w:t>71</w:t>
              </w:r>
            </w:fldSimple>
          </w:p>
        </w:tc>
      </w:tr>
      <w:tr>
        <w:trPr>
          <w:cantSplit/>
        </w:trPr>
        <w:tc>
          <w:tcPr>
            <w:tcW w:type="dxa" w:w="9000"/>
            <w:vAlign w:val="top"/>
          </w:tcPr>
          <w:p>
            <w:pPr>
              <w:pStyle w:val="ContentsText"/>
              <w:ind w:left="216"/>
            </w:pPr>
            <w:hyperlink w:anchor="SEC_1209" w:history="1">
              <w:r>
                <w:rPr>
                  <w:rFonts w:ascii="Liberation Serif" w:hAnsi="Liberation Serif"/>
                  <w:color w:val="111111"/>
                  <w:sz w:val="19"/>
                </w:rPr>
                <w:t>Sec. 1209. technology-mediated connection and companionship.</w:t>
              </w:r>
            </w:hyperlink>
          </w:p>
        </w:tc>
        <w:tc>
          <w:tcPr>
            <w:tcW w:type="dxa" w:w="648"/>
            <w:vAlign w:val="top"/>
          </w:tcPr>
          <w:p>
            <w:pPr>
              <w:pStyle w:val="ContentsText"/>
              <w:jc w:val="right"/>
            </w:pPr>
            <w:fldSimple w:instr=" PAGEREF SEC_1209 \h ">
              <w:r>
                <w:t>71</w:t>
              </w:r>
            </w:fldSimple>
          </w:p>
        </w:tc>
      </w:tr>
      <w:tr>
        <w:trPr>
          <w:cantSplit/>
        </w:trPr>
        <w:tc>
          <w:tcPr>
            <w:tcW w:type="dxa" w:w="9000"/>
            <w:vAlign w:val="top"/>
          </w:tcPr>
          <w:p>
            <w:pPr>
              <w:pStyle w:val="ContentsText"/>
              <w:ind w:left="216"/>
            </w:pPr>
            <w:hyperlink w:anchor="SEC_1210" w:history="1">
              <w:r>
                <w:rPr>
                  <w:rFonts w:ascii="Liberation Serif" w:hAnsi="Liberation Serif"/>
                  <w:color w:val="111111"/>
                  <w:sz w:val="19"/>
                </w:rPr>
                <w:t>Sec. 1210. community program performance and autonomy audit.</w:t>
              </w:r>
            </w:hyperlink>
          </w:p>
        </w:tc>
        <w:tc>
          <w:tcPr>
            <w:tcW w:type="dxa" w:w="648"/>
            <w:vAlign w:val="top"/>
          </w:tcPr>
          <w:p>
            <w:pPr>
              <w:pStyle w:val="ContentsText"/>
              <w:jc w:val="right"/>
            </w:pPr>
            <w:fldSimple w:instr=" PAGEREF SEC_1210 \h ">
              <w:r>
                <w:t>72</w:t>
              </w:r>
            </w:fldSimple>
          </w:p>
        </w:tc>
      </w:tr>
      <w:tr>
        <w:trPr>
          <w:cantSplit/>
        </w:trPr>
        <w:tc>
          <w:tcPr>
            <w:tcW w:type="dxa" w:w="9000"/>
            <w:vAlign w:val="top"/>
          </w:tcPr>
          <w:p>
            <w:pPr>
              <w:pStyle w:val="ContentsText"/>
              <w:keepNext/>
              <w:spacing w:before="100"/>
            </w:pPr>
            <w:hyperlink w:anchor="TITLE_XIII" w:history="1">
              <w:r>
                <w:rPr>
                  <w:rFonts w:ascii="Liberation Serif" w:hAnsi="Liberation Serif"/>
                  <w:b/>
                  <w:color w:val="182C3D"/>
                  <w:sz w:val="19"/>
                </w:rPr>
                <w:t>TITLE XIII. CULTURE, ARTS, LANGUAGE, AND CREATIVE EXPRESSION</w:t>
              </w:r>
            </w:hyperlink>
          </w:p>
        </w:tc>
        <w:tc>
          <w:tcPr>
            <w:tcW w:type="dxa" w:w="648"/>
            <w:vAlign w:val="top"/>
          </w:tcPr>
          <w:p>
            <w:pPr>
              <w:pStyle w:val="ContentsText"/>
              <w:spacing w:before="100"/>
              <w:jc w:val="right"/>
            </w:pPr>
            <w:fldSimple w:instr=" PAGEREF TITLE_XIII \h ">
              <w:r>
                <w:t>73</w:t>
              </w:r>
            </w:fldSimple>
          </w:p>
        </w:tc>
      </w:tr>
      <w:tr>
        <w:trPr>
          <w:cantSplit/>
        </w:trPr>
        <w:tc>
          <w:tcPr>
            <w:tcW w:type="dxa" w:w="9000"/>
            <w:vAlign w:val="top"/>
          </w:tcPr>
          <w:p>
            <w:pPr>
              <w:pStyle w:val="ContentsText"/>
              <w:ind w:left="216"/>
            </w:pPr>
            <w:hyperlink w:anchor="SEC_1301" w:history="1">
              <w:r>
                <w:rPr>
                  <w:rFonts w:ascii="Liberation Serif" w:hAnsi="Liberation Serif"/>
                  <w:color w:val="111111"/>
                  <w:sz w:val="19"/>
                </w:rPr>
                <w:t>Sec. 1301. cultural participation and creative opportunity.</w:t>
              </w:r>
            </w:hyperlink>
          </w:p>
        </w:tc>
        <w:tc>
          <w:tcPr>
            <w:tcW w:type="dxa" w:w="648"/>
            <w:vAlign w:val="top"/>
          </w:tcPr>
          <w:p>
            <w:pPr>
              <w:pStyle w:val="ContentsText"/>
              <w:jc w:val="right"/>
            </w:pPr>
            <w:fldSimple w:instr=" PAGEREF SEC_1301 \h ">
              <w:r>
                <w:t>73</w:t>
              </w:r>
            </w:fldSimple>
          </w:p>
        </w:tc>
      </w:tr>
      <w:tr>
        <w:trPr>
          <w:cantSplit/>
        </w:trPr>
        <w:tc>
          <w:tcPr>
            <w:tcW w:type="dxa" w:w="9000"/>
            <w:vAlign w:val="top"/>
          </w:tcPr>
          <w:p>
            <w:pPr>
              <w:pStyle w:val="ContentsText"/>
              <w:ind w:left="216"/>
            </w:pPr>
            <w:hyperlink w:anchor="SEC_1302" w:history="1">
              <w:r>
                <w:rPr>
                  <w:rFonts w:ascii="Liberation Serif" w:hAnsi="Liberation Serif"/>
                  <w:color w:val="111111"/>
                  <w:sz w:val="19"/>
                </w:rPr>
                <w:t>Sec. 1302. accessible cultural facilities and public programming.</w:t>
              </w:r>
            </w:hyperlink>
          </w:p>
        </w:tc>
        <w:tc>
          <w:tcPr>
            <w:tcW w:type="dxa" w:w="648"/>
            <w:vAlign w:val="top"/>
          </w:tcPr>
          <w:p>
            <w:pPr>
              <w:pStyle w:val="ContentsText"/>
              <w:jc w:val="right"/>
            </w:pPr>
            <w:fldSimple w:instr=" PAGEREF SEC_1302 \h ">
              <w:r>
                <w:t>73</w:t>
              </w:r>
            </w:fldSimple>
          </w:p>
        </w:tc>
      </w:tr>
      <w:tr>
        <w:trPr>
          <w:cantSplit/>
        </w:trPr>
        <w:tc>
          <w:tcPr>
            <w:tcW w:type="dxa" w:w="9000"/>
            <w:vAlign w:val="top"/>
          </w:tcPr>
          <w:p>
            <w:pPr>
              <w:pStyle w:val="ContentsText"/>
              <w:ind w:left="216"/>
            </w:pPr>
            <w:hyperlink w:anchor="SEC_1303" w:history="1">
              <w:r>
                <w:rPr>
                  <w:rFonts w:ascii="Liberation Serif" w:hAnsi="Liberation Serif"/>
                  <w:color w:val="111111"/>
                  <w:sz w:val="19"/>
                </w:rPr>
                <w:t>Sec. 1303. artists, cultural workers, and fair project conditions.</w:t>
              </w:r>
            </w:hyperlink>
          </w:p>
        </w:tc>
        <w:tc>
          <w:tcPr>
            <w:tcW w:type="dxa" w:w="648"/>
            <w:vAlign w:val="top"/>
          </w:tcPr>
          <w:p>
            <w:pPr>
              <w:pStyle w:val="ContentsText"/>
              <w:jc w:val="right"/>
            </w:pPr>
            <w:fldSimple w:instr=" PAGEREF SEC_1303 \h ">
              <w:r>
                <w:t>74</w:t>
              </w:r>
            </w:fldSimple>
          </w:p>
        </w:tc>
      </w:tr>
      <w:tr>
        <w:trPr>
          <w:cantSplit/>
        </w:trPr>
        <w:tc>
          <w:tcPr>
            <w:tcW w:type="dxa" w:w="9000"/>
            <w:vAlign w:val="top"/>
          </w:tcPr>
          <w:p>
            <w:pPr>
              <w:pStyle w:val="ContentsText"/>
              <w:ind w:left="216"/>
            </w:pPr>
            <w:hyperlink w:anchor="SEC_1304" w:history="1">
              <w:r>
                <w:rPr>
                  <w:rFonts w:ascii="Liberation Serif" w:hAnsi="Liberation Serif"/>
                  <w:color w:val="111111"/>
                  <w:sz w:val="19"/>
                </w:rPr>
                <w:t>Sec. 1304. languages, oral traditions, and community knowledge.</w:t>
              </w:r>
            </w:hyperlink>
          </w:p>
        </w:tc>
        <w:tc>
          <w:tcPr>
            <w:tcW w:type="dxa" w:w="648"/>
            <w:vAlign w:val="top"/>
          </w:tcPr>
          <w:p>
            <w:pPr>
              <w:pStyle w:val="ContentsText"/>
              <w:jc w:val="right"/>
            </w:pPr>
            <w:fldSimple w:instr=" PAGEREF SEC_1304 \h ">
              <w:r>
                <w:t>74</w:t>
              </w:r>
            </w:fldSimple>
          </w:p>
        </w:tc>
      </w:tr>
      <w:tr>
        <w:trPr>
          <w:cantSplit/>
        </w:trPr>
        <w:tc>
          <w:tcPr>
            <w:tcW w:type="dxa" w:w="9000"/>
            <w:vAlign w:val="top"/>
          </w:tcPr>
          <w:p>
            <w:pPr>
              <w:pStyle w:val="ContentsText"/>
              <w:ind w:left="216"/>
            </w:pPr>
            <w:hyperlink w:anchor="SEC_1305" w:history="1">
              <w:r>
                <w:rPr>
                  <w:rFonts w:ascii="Liberation Serif" w:hAnsi="Liberation Serif"/>
                  <w:color w:val="111111"/>
                  <w:sz w:val="19"/>
                </w:rPr>
                <w:t>Sec. 1305. heritage, museums, and historical interpretation.</w:t>
              </w:r>
            </w:hyperlink>
          </w:p>
        </w:tc>
        <w:tc>
          <w:tcPr>
            <w:tcW w:type="dxa" w:w="648"/>
            <w:vAlign w:val="top"/>
          </w:tcPr>
          <w:p>
            <w:pPr>
              <w:pStyle w:val="ContentsText"/>
              <w:jc w:val="right"/>
            </w:pPr>
            <w:fldSimple w:instr=" PAGEREF SEC_1305 \h ">
              <w:r>
                <w:t>74</w:t>
              </w:r>
            </w:fldSimple>
          </w:p>
        </w:tc>
      </w:tr>
      <w:tr>
        <w:trPr>
          <w:cantSplit/>
        </w:trPr>
        <w:tc>
          <w:tcPr>
            <w:tcW w:type="dxa" w:w="9000"/>
            <w:vAlign w:val="top"/>
          </w:tcPr>
          <w:p>
            <w:pPr>
              <w:pStyle w:val="ContentsText"/>
              <w:ind w:left="216"/>
            </w:pPr>
            <w:hyperlink w:anchor="SEC_1306" w:history="1">
              <w:r>
                <w:rPr>
                  <w:rFonts w:ascii="Liberation Serif" w:hAnsi="Liberation Serif"/>
                  <w:color w:val="111111"/>
                  <w:sz w:val="19"/>
                </w:rPr>
                <w:t>Sec. 1306. arts in health and care settings.</w:t>
              </w:r>
            </w:hyperlink>
          </w:p>
        </w:tc>
        <w:tc>
          <w:tcPr>
            <w:tcW w:type="dxa" w:w="648"/>
            <w:vAlign w:val="top"/>
          </w:tcPr>
          <w:p>
            <w:pPr>
              <w:pStyle w:val="ContentsText"/>
              <w:jc w:val="right"/>
            </w:pPr>
            <w:fldSimple w:instr=" PAGEREF SEC_1306 \h ">
              <w:r>
                <w:t>75</w:t>
              </w:r>
            </w:fldSimple>
          </w:p>
        </w:tc>
      </w:tr>
      <w:tr>
        <w:trPr>
          <w:cantSplit/>
        </w:trPr>
        <w:tc>
          <w:tcPr>
            <w:tcW w:type="dxa" w:w="9000"/>
            <w:vAlign w:val="top"/>
          </w:tcPr>
          <w:p>
            <w:pPr>
              <w:pStyle w:val="ContentsText"/>
              <w:ind w:left="216"/>
            </w:pPr>
            <w:hyperlink w:anchor="SEC_1307" w:history="1">
              <w:r>
                <w:rPr>
                  <w:rFonts w:ascii="Liberation Serif" w:hAnsi="Liberation Serif"/>
                  <w:color w:val="111111"/>
                  <w:sz w:val="19"/>
                </w:rPr>
                <w:t>Sec. 1307. digital culture, creative tools, and human authorship.</w:t>
              </w:r>
            </w:hyperlink>
          </w:p>
        </w:tc>
        <w:tc>
          <w:tcPr>
            <w:tcW w:type="dxa" w:w="648"/>
            <w:vAlign w:val="top"/>
          </w:tcPr>
          <w:p>
            <w:pPr>
              <w:pStyle w:val="ContentsText"/>
              <w:jc w:val="right"/>
            </w:pPr>
            <w:fldSimple w:instr=" PAGEREF SEC_1307 \h ">
              <w:r>
                <w:t>75</w:t>
              </w:r>
            </w:fldSimple>
          </w:p>
        </w:tc>
      </w:tr>
      <w:tr>
        <w:trPr>
          <w:cantSplit/>
        </w:trPr>
        <w:tc>
          <w:tcPr>
            <w:tcW w:type="dxa" w:w="9000"/>
            <w:vAlign w:val="top"/>
          </w:tcPr>
          <w:p>
            <w:pPr>
              <w:pStyle w:val="ContentsText"/>
              <w:ind w:left="216"/>
            </w:pPr>
            <w:hyperlink w:anchor="SEC_1308" w:history="1">
              <w:r>
                <w:rPr>
                  <w:rFonts w:ascii="Liberation Serif" w:hAnsi="Liberation Serif"/>
                  <w:color w:val="111111"/>
                  <w:sz w:val="19"/>
                </w:rPr>
                <w:t>Sec. 1308. public space, festivals, and community expression.</w:t>
              </w:r>
            </w:hyperlink>
          </w:p>
        </w:tc>
        <w:tc>
          <w:tcPr>
            <w:tcW w:type="dxa" w:w="648"/>
            <w:vAlign w:val="top"/>
          </w:tcPr>
          <w:p>
            <w:pPr>
              <w:pStyle w:val="ContentsText"/>
              <w:jc w:val="right"/>
            </w:pPr>
            <w:fldSimple w:instr=" PAGEREF SEC_1308 \h ">
              <w:r>
                <w:t>76</w:t>
              </w:r>
            </w:fldSimple>
          </w:p>
        </w:tc>
      </w:tr>
      <w:tr>
        <w:trPr>
          <w:cantSplit/>
        </w:trPr>
        <w:tc>
          <w:tcPr>
            <w:tcW w:type="dxa" w:w="9000"/>
            <w:vAlign w:val="top"/>
          </w:tcPr>
          <w:p>
            <w:pPr>
              <w:pStyle w:val="ContentsText"/>
              <w:ind w:left="216"/>
            </w:pPr>
            <w:hyperlink w:anchor="SEC_1309" w:history="1">
              <w:r>
                <w:rPr>
                  <w:rFonts w:ascii="Liberation Serif" w:hAnsi="Liberation Serif"/>
                  <w:color w:val="111111"/>
                  <w:sz w:val="19"/>
                </w:rPr>
                <w:t>Sec. 1309. cultural research and international exchange.</w:t>
              </w:r>
            </w:hyperlink>
          </w:p>
        </w:tc>
        <w:tc>
          <w:tcPr>
            <w:tcW w:type="dxa" w:w="648"/>
            <w:vAlign w:val="top"/>
          </w:tcPr>
          <w:p>
            <w:pPr>
              <w:pStyle w:val="ContentsText"/>
              <w:jc w:val="right"/>
            </w:pPr>
            <w:fldSimple w:instr=" PAGEREF SEC_1309 \h ">
              <w:r>
                <w:t>76</w:t>
              </w:r>
            </w:fldSimple>
          </w:p>
        </w:tc>
      </w:tr>
      <w:tr>
        <w:trPr>
          <w:cantSplit/>
        </w:trPr>
        <w:tc>
          <w:tcPr>
            <w:tcW w:type="dxa" w:w="9000"/>
            <w:vAlign w:val="top"/>
          </w:tcPr>
          <w:p>
            <w:pPr>
              <w:pStyle w:val="ContentsText"/>
              <w:ind w:left="216"/>
            </w:pPr>
            <w:hyperlink w:anchor="SEC_1310" w:history="1">
              <w:r>
                <w:rPr>
                  <w:rFonts w:ascii="Liberation Serif" w:hAnsi="Liberation Serif"/>
                  <w:color w:val="111111"/>
                  <w:sz w:val="19"/>
                </w:rPr>
                <w:t>Sec. 1310. cultural program governance and review.</w:t>
              </w:r>
            </w:hyperlink>
          </w:p>
        </w:tc>
        <w:tc>
          <w:tcPr>
            <w:tcW w:type="dxa" w:w="648"/>
            <w:vAlign w:val="top"/>
          </w:tcPr>
          <w:p>
            <w:pPr>
              <w:pStyle w:val="ContentsText"/>
              <w:jc w:val="right"/>
            </w:pPr>
            <w:fldSimple w:instr=" PAGEREF SEC_1310 \h ">
              <w:r>
                <w:t>77</w:t>
              </w:r>
            </w:fldSimple>
          </w:p>
        </w:tc>
      </w:tr>
      <w:tr>
        <w:trPr>
          <w:cantSplit/>
        </w:trPr>
        <w:tc>
          <w:tcPr>
            <w:tcW w:type="dxa" w:w="9000"/>
            <w:vAlign w:val="top"/>
          </w:tcPr>
          <w:p>
            <w:pPr>
              <w:pStyle w:val="ContentsText"/>
              <w:keepNext/>
              <w:spacing w:before="100"/>
            </w:pPr>
            <w:hyperlink w:anchor="TITLE_XIV" w:history="1">
              <w:r>
                <w:rPr>
                  <w:rFonts w:ascii="Liberation Serif" w:hAnsi="Liberation Serif"/>
                  <w:b/>
                  <w:color w:val="182C3D"/>
                  <w:sz w:val="19"/>
                </w:rPr>
                <w:t>TITLE XIV. WORK, REST, CAREGIVING TIME, AND ECONOMIC TRANSITION</w:t>
              </w:r>
            </w:hyperlink>
          </w:p>
        </w:tc>
        <w:tc>
          <w:tcPr>
            <w:tcW w:type="dxa" w:w="648"/>
            <w:vAlign w:val="top"/>
          </w:tcPr>
          <w:p>
            <w:pPr>
              <w:pStyle w:val="ContentsText"/>
              <w:spacing w:before="100"/>
              <w:jc w:val="right"/>
            </w:pPr>
            <w:fldSimple w:instr=" PAGEREF TITLE_XIV \h ">
              <w:r>
                <w:t>78</w:t>
              </w:r>
            </w:fldSimple>
          </w:p>
        </w:tc>
      </w:tr>
      <w:tr>
        <w:trPr>
          <w:cantSplit/>
        </w:trPr>
        <w:tc>
          <w:tcPr>
            <w:tcW w:type="dxa" w:w="9000"/>
            <w:vAlign w:val="top"/>
          </w:tcPr>
          <w:p>
            <w:pPr>
              <w:pStyle w:val="ContentsText"/>
              <w:ind w:left="216"/>
            </w:pPr>
            <w:hyperlink w:anchor="SEC_1401" w:history="1">
              <w:r>
                <w:rPr>
                  <w:rFonts w:ascii="Liberation Serif" w:hAnsi="Liberation Serif"/>
                  <w:color w:val="111111"/>
                  <w:sz w:val="19"/>
                </w:rPr>
                <w:t>Sec. 1401. covered employment and labor administration.</w:t>
              </w:r>
            </w:hyperlink>
          </w:p>
        </w:tc>
        <w:tc>
          <w:tcPr>
            <w:tcW w:type="dxa" w:w="648"/>
            <w:vAlign w:val="top"/>
          </w:tcPr>
          <w:p>
            <w:pPr>
              <w:pStyle w:val="ContentsText"/>
              <w:jc w:val="right"/>
            </w:pPr>
            <w:fldSimple w:instr=" PAGEREF SEC_1401 \h ">
              <w:r>
                <w:t>78</w:t>
              </w:r>
            </w:fldSimple>
          </w:p>
        </w:tc>
      </w:tr>
      <w:tr>
        <w:trPr>
          <w:cantSplit/>
        </w:trPr>
        <w:tc>
          <w:tcPr>
            <w:tcW w:type="dxa" w:w="9000"/>
            <w:vAlign w:val="top"/>
          </w:tcPr>
          <w:p>
            <w:pPr>
              <w:pStyle w:val="ContentsText"/>
              <w:ind w:left="216"/>
            </w:pPr>
            <w:hyperlink w:anchor="SEC_1402" w:history="1">
              <w:r>
                <w:rPr>
                  <w:rFonts w:ascii="Liberation Serif" w:hAnsi="Liberation Serif"/>
                  <w:color w:val="111111"/>
                  <w:sz w:val="19"/>
                </w:rPr>
                <w:t>Sec. 1402. paid health and caregiving time.</w:t>
              </w:r>
            </w:hyperlink>
          </w:p>
        </w:tc>
        <w:tc>
          <w:tcPr>
            <w:tcW w:type="dxa" w:w="648"/>
            <w:vAlign w:val="top"/>
          </w:tcPr>
          <w:p>
            <w:pPr>
              <w:pStyle w:val="ContentsText"/>
              <w:jc w:val="right"/>
            </w:pPr>
            <w:fldSimple w:instr=" PAGEREF SEC_1402 \h ">
              <w:r>
                <w:t>78</w:t>
              </w:r>
            </w:fldSimple>
          </w:p>
        </w:tc>
      </w:tr>
      <w:tr>
        <w:trPr>
          <w:cantSplit/>
        </w:trPr>
        <w:tc>
          <w:tcPr>
            <w:tcW w:type="dxa" w:w="9000"/>
            <w:vAlign w:val="top"/>
          </w:tcPr>
          <w:p>
            <w:pPr>
              <w:pStyle w:val="ContentsText"/>
              <w:ind w:left="216"/>
            </w:pPr>
            <w:hyperlink w:anchor="SEC_1403" w:history="1">
              <w:r>
                <w:rPr>
                  <w:rFonts w:ascii="Liberation Serif" w:hAnsi="Liberation Serif"/>
                  <w:color w:val="111111"/>
                  <w:sz w:val="19"/>
                </w:rPr>
                <w:t>Sec. 1403. rest between shifts and weekly recovery.</w:t>
              </w:r>
            </w:hyperlink>
          </w:p>
        </w:tc>
        <w:tc>
          <w:tcPr>
            <w:tcW w:type="dxa" w:w="648"/>
            <w:vAlign w:val="top"/>
          </w:tcPr>
          <w:p>
            <w:pPr>
              <w:pStyle w:val="ContentsText"/>
              <w:jc w:val="right"/>
            </w:pPr>
            <w:fldSimple w:instr=" PAGEREF SEC_1403 \h ">
              <w:r>
                <w:t>79</w:t>
              </w:r>
            </w:fldSimple>
          </w:p>
        </w:tc>
      </w:tr>
      <w:tr>
        <w:trPr>
          <w:cantSplit/>
        </w:trPr>
        <w:tc>
          <w:tcPr>
            <w:tcW w:type="dxa" w:w="9000"/>
            <w:vAlign w:val="top"/>
          </w:tcPr>
          <w:p>
            <w:pPr>
              <w:pStyle w:val="ContentsText"/>
              <w:ind w:left="216"/>
            </w:pPr>
            <w:hyperlink w:anchor="SEC_1404" w:history="1">
              <w:r>
                <w:rPr>
                  <w:rFonts w:ascii="Liberation Serif" w:hAnsi="Liberation Serif"/>
                  <w:color w:val="111111"/>
                  <w:sz w:val="19"/>
                </w:rPr>
                <w:t>Sec. 1404. predictable scheduling for large hourly workforces.</w:t>
              </w:r>
            </w:hyperlink>
          </w:p>
        </w:tc>
        <w:tc>
          <w:tcPr>
            <w:tcW w:type="dxa" w:w="648"/>
            <w:vAlign w:val="top"/>
          </w:tcPr>
          <w:p>
            <w:pPr>
              <w:pStyle w:val="ContentsText"/>
              <w:jc w:val="right"/>
            </w:pPr>
            <w:fldSimple w:instr=" PAGEREF SEC_1404 \h ">
              <w:r>
                <w:t>79</w:t>
              </w:r>
            </w:fldSimple>
          </w:p>
        </w:tc>
      </w:tr>
      <w:tr>
        <w:trPr>
          <w:cantSplit/>
        </w:trPr>
        <w:tc>
          <w:tcPr>
            <w:tcW w:type="dxa" w:w="9000"/>
            <w:vAlign w:val="top"/>
          </w:tcPr>
          <w:p>
            <w:pPr>
              <w:pStyle w:val="ContentsText"/>
              <w:ind w:left="216"/>
            </w:pPr>
            <w:hyperlink w:anchor="SEC_1405" w:history="1">
              <w:r>
                <w:rPr>
                  <w:rFonts w:ascii="Liberation Serif" w:hAnsi="Liberation Serif"/>
                  <w:color w:val="111111"/>
                  <w:sz w:val="19"/>
                </w:rPr>
                <w:t>Sec. 1405. after-hours contact and right to disconnect.</w:t>
              </w:r>
            </w:hyperlink>
          </w:p>
        </w:tc>
        <w:tc>
          <w:tcPr>
            <w:tcW w:type="dxa" w:w="648"/>
            <w:vAlign w:val="top"/>
          </w:tcPr>
          <w:p>
            <w:pPr>
              <w:pStyle w:val="ContentsText"/>
              <w:jc w:val="right"/>
            </w:pPr>
            <w:fldSimple w:instr=" PAGEREF SEC_1405 \h ">
              <w:r>
                <w:t>80</w:t>
              </w:r>
            </w:fldSimple>
          </w:p>
        </w:tc>
      </w:tr>
      <w:tr>
        <w:trPr>
          <w:cantSplit/>
        </w:trPr>
        <w:tc>
          <w:tcPr>
            <w:tcW w:type="dxa" w:w="9000"/>
            <w:vAlign w:val="top"/>
          </w:tcPr>
          <w:p>
            <w:pPr>
              <w:pStyle w:val="ContentsText"/>
              <w:ind w:left="216"/>
            </w:pPr>
            <w:hyperlink w:anchor="SEC_1406" w:history="1">
              <w:r>
                <w:rPr>
                  <w:rFonts w:ascii="Liberation Serif" w:hAnsi="Liberation Serif"/>
                  <w:color w:val="111111"/>
                  <w:sz w:val="19"/>
                </w:rPr>
                <w:t>Sec. 1406. worker monitoring, biometrics, and human oversight.</w:t>
              </w:r>
            </w:hyperlink>
          </w:p>
        </w:tc>
        <w:tc>
          <w:tcPr>
            <w:tcW w:type="dxa" w:w="648"/>
            <w:vAlign w:val="top"/>
          </w:tcPr>
          <w:p>
            <w:pPr>
              <w:pStyle w:val="ContentsText"/>
              <w:jc w:val="right"/>
            </w:pPr>
            <w:fldSimple w:instr=" PAGEREF SEC_1406 \h ">
              <w:r>
                <w:t>80</w:t>
              </w:r>
            </w:fldSimple>
          </w:p>
        </w:tc>
      </w:tr>
      <w:tr>
        <w:trPr>
          <w:cantSplit/>
        </w:trPr>
        <w:tc>
          <w:tcPr>
            <w:tcW w:type="dxa" w:w="9000"/>
            <w:vAlign w:val="top"/>
          </w:tcPr>
          <w:p>
            <w:pPr>
              <w:pStyle w:val="ContentsText"/>
              <w:ind w:left="216"/>
            </w:pPr>
            <w:hyperlink w:anchor="SEC_1407" w:history="1">
              <w:r>
                <w:rPr>
                  <w:rFonts w:ascii="Liberation Serif" w:hAnsi="Liberation Serif"/>
                  <w:color w:val="111111"/>
                  <w:sz w:val="19"/>
                </w:rPr>
                <w:t>Sec. 1407. work design, worker voice, and occupational well-being.</w:t>
              </w:r>
            </w:hyperlink>
          </w:p>
        </w:tc>
        <w:tc>
          <w:tcPr>
            <w:tcW w:type="dxa" w:w="648"/>
            <w:vAlign w:val="top"/>
          </w:tcPr>
          <w:p>
            <w:pPr>
              <w:pStyle w:val="ContentsText"/>
              <w:jc w:val="right"/>
            </w:pPr>
            <w:fldSimple w:instr=" PAGEREF SEC_1407 \h ">
              <w:r>
                <w:t>81</w:t>
              </w:r>
            </w:fldSimple>
          </w:p>
        </w:tc>
      </w:tr>
      <w:tr>
        <w:trPr>
          <w:cantSplit/>
        </w:trPr>
        <w:tc>
          <w:tcPr>
            <w:tcW w:type="dxa" w:w="9000"/>
            <w:vAlign w:val="top"/>
          </w:tcPr>
          <w:p>
            <w:pPr>
              <w:pStyle w:val="ContentsText"/>
              <w:ind w:left="216"/>
            </w:pPr>
            <w:hyperlink w:anchor="SEC_1408" w:history="1">
              <w:r>
                <w:rPr>
                  <w:rFonts w:ascii="Liberation Serif" w:hAnsi="Liberation Serif"/>
                  <w:color w:val="111111"/>
                  <w:sz w:val="19"/>
                </w:rPr>
                <w:t>Sec. 1408. reduced-hours and flexible-work demonstrations.</w:t>
              </w:r>
            </w:hyperlink>
          </w:p>
        </w:tc>
        <w:tc>
          <w:tcPr>
            <w:tcW w:type="dxa" w:w="648"/>
            <w:vAlign w:val="top"/>
          </w:tcPr>
          <w:p>
            <w:pPr>
              <w:pStyle w:val="ContentsText"/>
              <w:jc w:val="right"/>
            </w:pPr>
            <w:fldSimple w:instr=" PAGEREF SEC_1408 \h ">
              <w:r>
                <w:t>81</w:t>
              </w:r>
            </w:fldSimple>
          </w:p>
        </w:tc>
      </w:tr>
      <w:tr>
        <w:trPr>
          <w:cantSplit/>
        </w:trPr>
        <w:tc>
          <w:tcPr>
            <w:tcW w:type="dxa" w:w="9000"/>
            <w:vAlign w:val="top"/>
          </w:tcPr>
          <w:p>
            <w:pPr>
              <w:pStyle w:val="ContentsText"/>
              <w:ind w:left="216"/>
            </w:pPr>
            <w:hyperlink w:anchor="SEC_1409" w:history="1">
              <w:r>
                <w:rPr>
                  <w:rFonts w:ascii="Liberation Serif" w:hAnsi="Liberation Serif"/>
                  <w:color w:val="111111"/>
                  <w:sz w:val="19"/>
                </w:rPr>
                <w:t>Sec. 1409. automation transition and livelihood capability.</w:t>
              </w:r>
            </w:hyperlink>
          </w:p>
        </w:tc>
        <w:tc>
          <w:tcPr>
            <w:tcW w:type="dxa" w:w="648"/>
            <w:vAlign w:val="top"/>
          </w:tcPr>
          <w:p>
            <w:pPr>
              <w:pStyle w:val="ContentsText"/>
              <w:jc w:val="right"/>
            </w:pPr>
            <w:fldSimple w:instr=" PAGEREF SEC_1409 \h ">
              <w:r>
                <w:t>82</w:t>
              </w:r>
            </w:fldSimple>
          </w:p>
        </w:tc>
      </w:tr>
      <w:tr>
        <w:trPr>
          <w:cantSplit/>
        </w:trPr>
        <w:tc>
          <w:tcPr>
            <w:tcW w:type="dxa" w:w="9000"/>
            <w:vAlign w:val="top"/>
          </w:tcPr>
          <w:p>
            <w:pPr>
              <w:pStyle w:val="ContentsText"/>
              <w:ind w:left="216"/>
            </w:pPr>
            <w:hyperlink w:anchor="SEC_1410" w:history="1">
              <w:r>
                <w:rPr>
                  <w:rFonts w:ascii="Liberation Serif" w:hAnsi="Liberation Serif"/>
                  <w:color w:val="111111"/>
                  <w:sz w:val="19"/>
                </w:rPr>
                <w:t>Sec. 1410. labor compliance, public employers, and remedies.</w:t>
              </w:r>
            </w:hyperlink>
          </w:p>
        </w:tc>
        <w:tc>
          <w:tcPr>
            <w:tcW w:type="dxa" w:w="648"/>
            <w:vAlign w:val="top"/>
          </w:tcPr>
          <w:p>
            <w:pPr>
              <w:pStyle w:val="ContentsText"/>
              <w:jc w:val="right"/>
            </w:pPr>
            <w:fldSimple w:instr=" PAGEREF SEC_1410 \h ">
              <w:r>
                <w:t>82</w:t>
              </w:r>
            </w:fldSimple>
          </w:p>
        </w:tc>
      </w:tr>
      <w:tr>
        <w:trPr>
          <w:cantSplit/>
        </w:trPr>
        <w:tc>
          <w:tcPr>
            <w:tcW w:type="dxa" w:w="9000"/>
            <w:vAlign w:val="top"/>
          </w:tcPr>
          <w:p>
            <w:pPr>
              <w:pStyle w:val="ContentsText"/>
              <w:keepNext/>
              <w:spacing w:before="100"/>
            </w:pPr>
            <w:hyperlink w:anchor="TITLE_XV" w:history="1">
              <w:r>
                <w:rPr>
                  <w:rFonts w:ascii="Liberation Serif" w:hAnsi="Liberation Serif"/>
                  <w:b/>
                  <w:color w:val="182C3D"/>
                  <w:sz w:val="19"/>
                </w:rPr>
                <w:t>TITLE XV. CAREGIVING, DISABILITY, AGING, AND LATER LIFE</w:t>
              </w:r>
            </w:hyperlink>
          </w:p>
        </w:tc>
        <w:tc>
          <w:tcPr>
            <w:tcW w:type="dxa" w:w="648"/>
            <w:vAlign w:val="top"/>
          </w:tcPr>
          <w:p>
            <w:pPr>
              <w:pStyle w:val="ContentsText"/>
              <w:spacing w:before="100"/>
              <w:jc w:val="right"/>
            </w:pPr>
            <w:fldSimple w:instr=" PAGEREF TITLE_XV \h ">
              <w:r>
                <w:t>84</w:t>
              </w:r>
            </w:fldSimple>
          </w:p>
        </w:tc>
      </w:tr>
      <w:tr>
        <w:trPr>
          <w:cantSplit/>
        </w:trPr>
        <w:tc>
          <w:tcPr>
            <w:tcW w:type="dxa" w:w="9000"/>
            <w:vAlign w:val="top"/>
          </w:tcPr>
          <w:p>
            <w:pPr>
              <w:pStyle w:val="ContentsText"/>
              <w:ind w:left="216"/>
            </w:pPr>
            <w:hyperlink w:anchor="SEC_1501" w:history="1">
              <w:r>
                <w:rPr>
                  <w:rFonts w:ascii="Liberation Serif" w:hAnsi="Liberation Serif"/>
                  <w:color w:val="111111"/>
                  <w:sz w:val="19"/>
                </w:rPr>
                <w:t>Sec. 1501. capability and care support grants.</w:t>
              </w:r>
            </w:hyperlink>
          </w:p>
        </w:tc>
        <w:tc>
          <w:tcPr>
            <w:tcW w:type="dxa" w:w="648"/>
            <w:vAlign w:val="top"/>
          </w:tcPr>
          <w:p>
            <w:pPr>
              <w:pStyle w:val="ContentsText"/>
              <w:jc w:val="right"/>
            </w:pPr>
            <w:fldSimple w:instr=" PAGEREF SEC_1501 \h ">
              <w:r>
                <w:t>84</w:t>
              </w:r>
            </w:fldSimple>
          </w:p>
        </w:tc>
      </w:tr>
      <w:tr>
        <w:trPr>
          <w:cantSplit/>
        </w:trPr>
        <w:tc>
          <w:tcPr>
            <w:tcW w:type="dxa" w:w="9000"/>
            <w:vAlign w:val="top"/>
          </w:tcPr>
          <w:p>
            <w:pPr>
              <w:pStyle w:val="ContentsText"/>
              <w:ind w:left="216"/>
            </w:pPr>
            <w:hyperlink w:anchor="SEC_1502" w:history="1">
              <w:r>
                <w:rPr>
                  <w:rFonts w:ascii="Liberation Serif" w:hAnsi="Liberation Serif"/>
                  <w:color w:val="111111"/>
                  <w:sz w:val="19"/>
                </w:rPr>
                <w:t>Sec. 1502. supported decision-making and personal direction.</w:t>
              </w:r>
            </w:hyperlink>
          </w:p>
        </w:tc>
        <w:tc>
          <w:tcPr>
            <w:tcW w:type="dxa" w:w="648"/>
            <w:vAlign w:val="top"/>
          </w:tcPr>
          <w:p>
            <w:pPr>
              <w:pStyle w:val="ContentsText"/>
              <w:jc w:val="right"/>
            </w:pPr>
            <w:fldSimple w:instr=" PAGEREF SEC_1502 \h ">
              <w:r>
                <w:t>84</w:t>
              </w:r>
            </w:fldSimple>
          </w:p>
        </w:tc>
      </w:tr>
      <w:tr>
        <w:trPr>
          <w:cantSplit/>
        </w:trPr>
        <w:tc>
          <w:tcPr>
            <w:tcW w:type="dxa" w:w="9000"/>
            <w:vAlign w:val="top"/>
          </w:tcPr>
          <w:p>
            <w:pPr>
              <w:pStyle w:val="ContentsText"/>
              <w:ind w:left="216"/>
            </w:pPr>
            <w:hyperlink w:anchor="SEC_1503" w:history="1">
              <w:r>
                <w:rPr>
                  <w:rFonts w:ascii="Liberation Serif" w:hAnsi="Liberation Serif"/>
                  <w:color w:val="111111"/>
                  <w:sz w:val="19"/>
                </w:rPr>
                <w:t>Sec. 1503. home and community access.</w:t>
              </w:r>
            </w:hyperlink>
          </w:p>
        </w:tc>
        <w:tc>
          <w:tcPr>
            <w:tcW w:type="dxa" w:w="648"/>
            <w:vAlign w:val="top"/>
          </w:tcPr>
          <w:p>
            <w:pPr>
              <w:pStyle w:val="ContentsText"/>
              <w:jc w:val="right"/>
            </w:pPr>
            <w:fldSimple w:instr=" PAGEREF SEC_1503 \h ">
              <w:r>
                <w:t>85</w:t>
              </w:r>
            </w:fldSimple>
          </w:p>
        </w:tc>
      </w:tr>
      <w:tr>
        <w:trPr>
          <w:cantSplit/>
        </w:trPr>
        <w:tc>
          <w:tcPr>
            <w:tcW w:type="dxa" w:w="9000"/>
            <w:vAlign w:val="top"/>
          </w:tcPr>
          <w:p>
            <w:pPr>
              <w:pStyle w:val="ContentsText"/>
              <w:ind w:left="216"/>
            </w:pPr>
            <w:hyperlink w:anchor="SEC_1504" w:history="1">
              <w:r>
                <w:rPr>
                  <w:rFonts w:ascii="Liberation Serif" w:hAnsi="Liberation Serif"/>
                  <w:color w:val="111111"/>
                  <w:sz w:val="19"/>
                </w:rPr>
                <w:t>Sec. 1504. caregiver respite, training, and economic support navigation.</w:t>
              </w:r>
            </w:hyperlink>
          </w:p>
        </w:tc>
        <w:tc>
          <w:tcPr>
            <w:tcW w:type="dxa" w:w="648"/>
            <w:vAlign w:val="top"/>
          </w:tcPr>
          <w:p>
            <w:pPr>
              <w:pStyle w:val="ContentsText"/>
              <w:jc w:val="right"/>
            </w:pPr>
            <w:fldSimple w:instr=" PAGEREF SEC_1504 \h ">
              <w:r>
                <w:t>85</w:t>
              </w:r>
            </w:fldSimple>
          </w:p>
        </w:tc>
      </w:tr>
      <w:tr>
        <w:trPr>
          <w:cantSplit/>
        </w:trPr>
        <w:tc>
          <w:tcPr>
            <w:tcW w:type="dxa" w:w="9000"/>
            <w:vAlign w:val="top"/>
          </w:tcPr>
          <w:p>
            <w:pPr>
              <w:pStyle w:val="ContentsText"/>
              <w:ind w:left="216"/>
            </w:pPr>
            <w:hyperlink w:anchor="SEC_1505" w:history="1">
              <w:r>
                <w:rPr>
                  <w:rFonts w:ascii="Liberation Serif" w:hAnsi="Liberation Serif"/>
                  <w:color w:val="111111"/>
                  <w:sz w:val="19"/>
                </w:rPr>
                <w:t>Sec. 1505. direct-care workforce and service quality.</w:t>
              </w:r>
            </w:hyperlink>
          </w:p>
        </w:tc>
        <w:tc>
          <w:tcPr>
            <w:tcW w:type="dxa" w:w="648"/>
            <w:vAlign w:val="top"/>
          </w:tcPr>
          <w:p>
            <w:pPr>
              <w:pStyle w:val="ContentsText"/>
              <w:jc w:val="right"/>
            </w:pPr>
            <w:fldSimple w:instr=" PAGEREF SEC_1505 \h ">
              <w:r>
                <w:t>85</w:t>
              </w:r>
            </w:fldSimple>
          </w:p>
        </w:tc>
      </w:tr>
      <w:tr>
        <w:trPr>
          <w:cantSplit/>
        </w:trPr>
        <w:tc>
          <w:tcPr>
            <w:tcW w:type="dxa" w:w="9000"/>
            <w:vAlign w:val="top"/>
          </w:tcPr>
          <w:p>
            <w:pPr>
              <w:pStyle w:val="ContentsText"/>
              <w:ind w:left="216"/>
            </w:pPr>
            <w:hyperlink w:anchor="SEC_1506" w:history="1">
              <w:r>
                <w:rPr>
                  <w:rFonts w:ascii="Liberation Serif" w:hAnsi="Liberation Serif"/>
                  <w:color w:val="111111"/>
                  <w:sz w:val="19"/>
                </w:rPr>
                <w:t>Sec. 1506. assistive technology, robotics, and continuity.</w:t>
              </w:r>
            </w:hyperlink>
          </w:p>
        </w:tc>
        <w:tc>
          <w:tcPr>
            <w:tcW w:type="dxa" w:w="648"/>
            <w:vAlign w:val="top"/>
          </w:tcPr>
          <w:p>
            <w:pPr>
              <w:pStyle w:val="ContentsText"/>
              <w:jc w:val="right"/>
            </w:pPr>
            <w:fldSimple w:instr=" PAGEREF SEC_1506 \h ">
              <w:r>
                <w:t>86</w:t>
              </w:r>
            </w:fldSimple>
          </w:p>
        </w:tc>
      </w:tr>
      <w:tr>
        <w:trPr>
          <w:cantSplit/>
        </w:trPr>
        <w:tc>
          <w:tcPr>
            <w:tcW w:type="dxa" w:w="9000"/>
            <w:vAlign w:val="top"/>
          </w:tcPr>
          <w:p>
            <w:pPr>
              <w:pStyle w:val="ContentsText"/>
              <w:ind w:left="216"/>
            </w:pPr>
            <w:hyperlink w:anchor="SEC_1507" w:history="1">
              <w:r>
                <w:rPr>
                  <w:rFonts w:ascii="Liberation Serif" w:hAnsi="Liberation Serif"/>
                  <w:color w:val="111111"/>
                  <w:sz w:val="19"/>
                </w:rPr>
                <w:t>Sec. 1507. age-friendly participation and lifelong contribution.</w:t>
              </w:r>
            </w:hyperlink>
          </w:p>
        </w:tc>
        <w:tc>
          <w:tcPr>
            <w:tcW w:type="dxa" w:w="648"/>
            <w:vAlign w:val="top"/>
          </w:tcPr>
          <w:p>
            <w:pPr>
              <w:pStyle w:val="ContentsText"/>
              <w:jc w:val="right"/>
            </w:pPr>
            <w:fldSimple w:instr=" PAGEREF SEC_1507 \h ">
              <w:r>
                <w:t>86</w:t>
              </w:r>
            </w:fldSimple>
          </w:p>
        </w:tc>
      </w:tr>
      <w:tr>
        <w:trPr>
          <w:cantSplit/>
        </w:trPr>
        <w:tc>
          <w:tcPr>
            <w:tcW w:type="dxa" w:w="9000"/>
            <w:vAlign w:val="top"/>
          </w:tcPr>
          <w:p>
            <w:pPr>
              <w:pStyle w:val="ContentsText"/>
              <w:ind w:left="216"/>
            </w:pPr>
            <w:hyperlink w:anchor="SEC_1508" w:history="1">
              <w:r>
                <w:rPr>
                  <w:rFonts w:ascii="Liberation Serif" w:hAnsi="Liberation Serif"/>
                  <w:color w:val="111111"/>
                  <w:sz w:val="19"/>
                </w:rPr>
                <w:t>Sec. 1508. protection from abuse, neglect, and financial exploitation.</w:t>
              </w:r>
            </w:hyperlink>
          </w:p>
        </w:tc>
        <w:tc>
          <w:tcPr>
            <w:tcW w:type="dxa" w:w="648"/>
            <w:vAlign w:val="top"/>
          </w:tcPr>
          <w:p>
            <w:pPr>
              <w:pStyle w:val="ContentsText"/>
              <w:jc w:val="right"/>
            </w:pPr>
            <w:fldSimple w:instr=" PAGEREF SEC_1508 \h ">
              <w:r>
                <w:t>87</w:t>
              </w:r>
            </w:fldSimple>
          </w:p>
        </w:tc>
      </w:tr>
      <w:tr>
        <w:trPr>
          <w:cantSplit/>
        </w:trPr>
        <w:tc>
          <w:tcPr>
            <w:tcW w:type="dxa" w:w="9000"/>
            <w:vAlign w:val="top"/>
          </w:tcPr>
          <w:p>
            <w:pPr>
              <w:pStyle w:val="ContentsText"/>
              <w:ind w:left="216"/>
            </w:pPr>
            <w:hyperlink w:anchor="SEC_1509" w:history="1">
              <w:r>
                <w:rPr>
                  <w:rFonts w:ascii="Liberation Serif" w:hAnsi="Liberation Serif"/>
                  <w:color w:val="111111"/>
                  <w:sz w:val="19"/>
                </w:rPr>
                <w:t>Sec. 1509. palliative care, serious illness, and end-of-life support.</w:t>
              </w:r>
            </w:hyperlink>
          </w:p>
        </w:tc>
        <w:tc>
          <w:tcPr>
            <w:tcW w:type="dxa" w:w="648"/>
            <w:vAlign w:val="top"/>
          </w:tcPr>
          <w:p>
            <w:pPr>
              <w:pStyle w:val="ContentsText"/>
              <w:jc w:val="right"/>
            </w:pPr>
            <w:fldSimple w:instr=" PAGEREF SEC_1509 \h ">
              <w:r>
                <w:t>87</w:t>
              </w:r>
            </w:fldSimple>
          </w:p>
        </w:tc>
      </w:tr>
      <w:tr>
        <w:trPr>
          <w:cantSplit/>
        </w:trPr>
        <w:tc>
          <w:tcPr>
            <w:tcW w:type="dxa" w:w="9000"/>
            <w:vAlign w:val="top"/>
          </w:tcPr>
          <w:p>
            <w:pPr>
              <w:pStyle w:val="ContentsText"/>
              <w:ind w:left="216"/>
            </w:pPr>
            <w:hyperlink w:anchor="SEC_1510" w:history="1">
              <w:r>
                <w:rPr>
                  <w:rFonts w:ascii="Liberation Serif" w:hAnsi="Liberation Serif"/>
                  <w:color w:val="111111"/>
                  <w:sz w:val="19"/>
                </w:rPr>
                <w:t>Sec. 1510. care system evaluation and long-term planning.</w:t>
              </w:r>
            </w:hyperlink>
          </w:p>
        </w:tc>
        <w:tc>
          <w:tcPr>
            <w:tcW w:type="dxa" w:w="648"/>
            <w:vAlign w:val="top"/>
          </w:tcPr>
          <w:p>
            <w:pPr>
              <w:pStyle w:val="ContentsText"/>
              <w:jc w:val="right"/>
            </w:pPr>
            <w:fldSimple w:instr=" PAGEREF SEC_1510 \h ">
              <w:r>
                <w:t>88</w:t>
              </w:r>
            </w:fldSimple>
          </w:p>
        </w:tc>
      </w:tr>
      <w:tr>
        <w:trPr>
          <w:cantSplit/>
        </w:trPr>
        <w:tc>
          <w:tcPr>
            <w:tcW w:type="dxa" w:w="9000"/>
            <w:vAlign w:val="top"/>
          </w:tcPr>
          <w:p>
            <w:pPr>
              <w:pStyle w:val="ContentsText"/>
              <w:keepNext/>
              <w:spacing w:before="100"/>
            </w:pPr>
            <w:hyperlink w:anchor="TITLE_XVI" w:history="1">
              <w:r>
                <w:rPr>
                  <w:rFonts w:ascii="Liberation Serif" w:hAnsi="Liberation Serif"/>
                  <w:b/>
                  <w:color w:val="182C3D"/>
                  <w:sz w:val="19"/>
                </w:rPr>
                <w:t>TITLE XVI. HOUSING, NEIGHBORHOODS, TRANSPORTATION, AND PUBLIC SPACE</w:t>
              </w:r>
            </w:hyperlink>
          </w:p>
        </w:tc>
        <w:tc>
          <w:tcPr>
            <w:tcW w:type="dxa" w:w="648"/>
            <w:vAlign w:val="top"/>
          </w:tcPr>
          <w:p>
            <w:pPr>
              <w:pStyle w:val="ContentsText"/>
              <w:spacing w:before="100"/>
              <w:jc w:val="right"/>
            </w:pPr>
            <w:fldSimple w:instr=" PAGEREF TITLE_XVI \h ">
              <w:r>
                <w:t>89</w:t>
              </w:r>
            </w:fldSimple>
          </w:p>
        </w:tc>
      </w:tr>
      <w:tr>
        <w:trPr>
          <w:cantSplit/>
        </w:trPr>
        <w:tc>
          <w:tcPr>
            <w:tcW w:type="dxa" w:w="9000"/>
            <w:vAlign w:val="top"/>
          </w:tcPr>
          <w:p>
            <w:pPr>
              <w:pStyle w:val="ContentsText"/>
              <w:ind w:left="216"/>
            </w:pPr>
            <w:hyperlink w:anchor="SEC_1601" w:history="1">
              <w:r>
                <w:rPr>
                  <w:rFonts w:ascii="Liberation Serif" w:hAnsi="Liberation Serif"/>
                  <w:color w:val="111111"/>
                  <w:sz w:val="19"/>
                </w:rPr>
                <w:t>Sec. 1601. human-capability place grants.</w:t>
              </w:r>
            </w:hyperlink>
          </w:p>
        </w:tc>
        <w:tc>
          <w:tcPr>
            <w:tcW w:type="dxa" w:w="648"/>
            <w:vAlign w:val="top"/>
          </w:tcPr>
          <w:p>
            <w:pPr>
              <w:pStyle w:val="ContentsText"/>
              <w:jc w:val="right"/>
            </w:pPr>
            <w:fldSimple w:instr=" PAGEREF SEC_1601 \h ">
              <w:r>
                <w:t>89</w:t>
              </w:r>
            </w:fldSimple>
          </w:p>
        </w:tc>
      </w:tr>
      <w:tr>
        <w:trPr>
          <w:cantSplit/>
        </w:trPr>
        <w:tc>
          <w:tcPr>
            <w:tcW w:type="dxa" w:w="9000"/>
            <w:vAlign w:val="top"/>
          </w:tcPr>
          <w:p>
            <w:pPr>
              <w:pStyle w:val="ContentsText"/>
              <w:ind w:left="216"/>
            </w:pPr>
            <w:hyperlink w:anchor="SEC_1602" w:history="1">
              <w:r>
                <w:rPr>
                  <w:rFonts w:ascii="Liberation Serif" w:hAnsi="Liberation Serif"/>
                  <w:color w:val="111111"/>
                  <w:sz w:val="19"/>
                </w:rPr>
                <w:t>Sec. 1602. housing quality and health-supporting conditions.</w:t>
              </w:r>
            </w:hyperlink>
          </w:p>
        </w:tc>
        <w:tc>
          <w:tcPr>
            <w:tcW w:type="dxa" w:w="648"/>
            <w:vAlign w:val="top"/>
          </w:tcPr>
          <w:p>
            <w:pPr>
              <w:pStyle w:val="ContentsText"/>
              <w:jc w:val="right"/>
            </w:pPr>
            <w:fldSimple w:instr=" PAGEREF SEC_1602 \h ">
              <w:r>
                <w:t>89</w:t>
              </w:r>
            </w:fldSimple>
          </w:p>
        </w:tc>
      </w:tr>
      <w:tr>
        <w:trPr>
          <w:cantSplit/>
        </w:trPr>
        <w:tc>
          <w:tcPr>
            <w:tcW w:type="dxa" w:w="9000"/>
            <w:vAlign w:val="top"/>
          </w:tcPr>
          <w:p>
            <w:pPr>
              <w:pStyle w:val="ContentsText"/>
              <w:ind w:left="216"/>
            </w:pPr>
            <w:hyperlink w:anchor="SEC_1603" w:history="1">
              <w:r>
                <w:rPr>
                  <w:rFonts w:ascii="Liberation Serif" w:hAnsi="Liberation Serif"/>
                  <w:color w:val="111111"/>
                  <w:sz w:val="19"/>
                </w:rPr>
                <w:t>Sec. 1603. land, siting, and complete project costs.</w:t>
              </w:r>
            </w:hyperlink>
          </w:p>
        </w:tc>
        <w:tc>
          <w:tcPr>
            <w:tcW w:type="dxa" w:w="648"/>
            <w:vAlign w:val="top"/>
          </w:tcPr>
          <w:p>
            <w:pPr>
              <w:pStyle w:val="ContentsText"/>
              <w:jc w:val="right"/>
            </w:pPr>
            <w:fldSimple w:instr=" PAGEREF SEC_1603 \h ">
              <w:r>
                <w:t>90</w:t>
              </w:r>
            </w:fldSimple>
          </w:p>
        </w:tc>
      </w:tr>
      <w:tr>
        <w:trPr>
          <w:cantSplit/>
        </w:trPr>
        <w:tc>
          <w:tcPr>
            <w:tcW w:type="dxa" w:w="9000"/>
            <w:vAlign w:val="top"/>
          </w:tcPr>
          <w:p>
            <w:pPr>
              <w:pStyle w:val="ContentsText"/>
              <w:ind w:left="216"/>
            </w:pPr>
            <w:hyperlink w:anchor="SEC_1604" w:history="1">
              <w:r>
                <w:rPr>
                  <w:rFonts w:ascii="Liberation Serif" w:hAnsi="Liberation Serif"/>
                  <w:color w:val="111111"/>
                  <w:sz w:val="19"/>
                </w:rPr>
                <w:t>Sec. 1604. walking, rolling, cycling, and daily destinations.</w:t>
              </w:r>
            </w:hyperlink>
          </w:p>
        </w:tc>
        <w:tc>
          <w:tcPr>
            <w:tcW w:type="dxa" w:w="648"/>
            <w:vAlign w:val="top"/>
          </w:tcPr>
          <w:p>
            <w:pPr>
              <w:pStyle w:val="ContentsText"/>
              <w:jc w:val="right"/>
            </w:pPr>
            <w:fldSimple w:instr=" PAGEREF SEC_1604 \h ">
              <w:r>
                <w:t>90</w:t>
              </w:r>
            </w:fldSimple>
          </w:p>
        </w:tc>
      </w:tr>
      <w:tr>
        <w:trPr>
          <w:cantSplit/>
        </w:trPr>
        <w:tc>
          <w:tcPr>
            <w:tcW w:type="dxa" w:w="9000"/>
            <w:vAlign w:val="top"/>
          </w:tcPr>
          <w:p>
            <w:pPr>
              <w:pStyle w:val="ContentsText"/>
              <w:ind w:left="216"/>
            </w:pPr>
            <w:hyperlink w:anchor="SEC_1605" w:history="1">
              <w:r>
                <w:rPr>
                  <w:rFonts w:ascii="Liberation Serif" w:hAnsi="Liberation Serif"/>
                  <w:color w:val="111111"/>
                  <w:sz w:val="19"/>
                </w:rPr>
                <w:t>Sec. 1605. public transportation and access to essential services.</w:t>
              </w:r>
            </w:hyperlink>
          </w:p>
        </w:tc>
        <w:tc>
          <w:tcPr>
            <w:tcW w:type="dxa" w:w="648"/>
            <w:vAlign w:val="top"/>
          </w:tcPr>
          <w:p>
            <w:pPr>
              <w:pStyle w:val="ContentsText"/>
              <w:jc w:val="right"/>
            </w:pPr>
            <w:fldSimple w:instr=" PAGEREF SEC_1605 \h ">
              <w:r>
                <w:t>90</w:t>
              </w:r>
            </w:fldSimple>
          </w:p>
        </w:tc>
      </w:tr>
      <w:tr>
        <w:trPr>
          <w:cantSplit/>
        </w:trPr>
        <w:tc>
          <w:tcPr>
            <w:tcW w:type="dxa" w:w="9000"/>
            <w:vAlign w:val="top"/>
          </w:tcPr>
          <w:p>
            <w:pPr>
              <w:pStyle w:val="ContentsText"/>
              <w:ind w:left="216"/>
            </w:pPr>
            <w:hyperlink w:anchor="SEC_1606" w:history="1">
              <w:r>
                <w:rPr>
                  <w:rFonts w:ascii="Liberation Serif" w:hAnsi="Liberation Serif"/>
                  <w:color w:val="111111"/>
                  <w:sz w:val="19"/>
                </w:rPr>
                <w:t>Sec. 1606. public toilets, water, seating, and basic amenities.</w:t>
              </w:r>
            </w:hyperlink>
          </w:p>
        </w:tc>
        <w:tc>
          <w:tcPr>
            <w:tcW w:type="dxa" w:w="648"/>
            <w:vAlign w:val="top"/>
          </w:tcPr>
          <w:p>
            <w:pPr>
              <w:pStyle w:val="ContentsText"/>
              <w:jc w:val="right"/>
            </w:pPr>
            <w:fldSimple w:instr=" PAGEREF SEC_1606 \h ">
              <w:r>
                <w:t>91</w:t>
              </w:r>
            </w:fldSimple>
          </w:p>
        </w:tc>
      </w:tr>
      <w:tr>
        <w:trPr>
          <w:cantSplit/>
        </w:trPr>
        <w:tc>
          <w:tcPr>
            <w:tcW w:type="dxa" w:w="9000"/>
            <w:vAlign w:val="top"/>
          </w:tcPr>
          <w:p>
            <w:pPr>
              <w:pStyle w:val="ContentsText"/>
              <w:ind w:left="216"/>
            </w:pPr>
            <w:hyperlink w:anchor="SEC_1607" w:history="1">
              <w:r>
                <w:rPr>
                  <w:rFonts w:ascii="Liberation Serif" w:hAnsi="Liberation Serif"/>
                  <w:color w:val="111111"/>
                  <w:sz w:val="19"/>
                </w:rPr>
                <w:t>Sec. 1607. green space, shade, and nature access.</w:t>
              </w:r>
            </w:hyperlink>
          </w:p>
        </w:tc>
        <w:tc>
          <w:tcPr>
            <w:tcW w:type="dxa" w:w="648"/>
            <w:vAlign w:val="top"/>
          </w:tcPr>
          <w:p>
            <w:pPr>
              <w:pStyle w:val="ContentsText"/>
              <w:jc w:val="right"/>
            </w:pPr>
            <w:fldSimple w:instr=" PAGEREF SEC_1607 \h ">
              <w:r>
                <w:t>91</w:t>
              </w:r>
            </w:fldSimple>
          </w:p>
        </w:tc>
      </w:tr>
      <w:tr>
        <w:trPr>
          <w:cantSplit/>
        </w:trPr>
        <w:tc>
          <w:tcPr>
            <w:tcW w:type="dxa" w:w="9000"/>
            <w:vAlign w:val="top"/>
          </w:tcPr>
          <w:p>
            <w:pPr>
              <w:pStyle w:val="ContentsText"/>
              <w:ind w:left="216"/>
            </w:pPr>
            <w:hyperlink w:anchor="SEC_1608" w:history="1">
              <w:r>
                <w:rPr>
                  <w:rFonts w:ascii="Liberation Serif" w:hAnsi="Liberation Serif"/>
                  <w:color w:val="111111"/>
                  <w:sz w:val="19"/>
                </w:rPr>
                <w:t>Sec. 1608. inclusive design, wayfinding, and human scale.</w:t>
              </w:r>
            </w:hyperlink>
          </w:p>
        </w:tc>
        <w:tc>
          <w:tcPr>
            <w:tcW w:type="dxa" w:w="648"/>
            <w:vAlign w:val="top"/>
          </w:tcPr>
          <w:p>
            <w:pPr>
              <w:pStyle w:val="ContentsText"/>
              <w:jc w:val="right"/>
            </w:pPr>
            <w:fldSimple w:instr=" PAGEREF SEC_1608 \h ">
              <w:r>
                <w:t>92</w:t>
              </w:r>
            </w:fldSimple>
          </w:p>
        </w:tc>
      </w:tr>
      <w:tr>
        <w:trPr>
          <w:cantSplit/>
        </w:trPr>
        <w:tc>
          <w:tcPr>
            <w:tcW w:type="dxa" w:w="9000"/>
            <w:vAlign w:val="top"/>
          </w:tcPr>
          <w:p>
            <w:pPr>
              <w:pStyle w:val="ContentsText"/>
              <w:ind w:left="216"/>
            </w:pPr>
            <w:hyperlink w:anchor="SEC_1609" w:history="1">
              <w:r>
                <w:rPr>
                  <w:rFonts w:ascii="Liberation Serif" w:hAnsi="Liberation Serif"/>
                  <w:color w:val="111111"/>
                  <w:sz w:val="19"/>
                </w:rPr>
                <w:t>Sec. 1609. anti-displacement, community participation, and project conditions.</w:t>
              </w:r>
            </w:hyperlink>
          </w:p>
        </w:tc>
        <w:tc>
          <w:tcPr>
            <w:tcW w:type="dxa" w:w="648"/>
            <w:vAlign w:val="top"/>
          </w:tcPr>
          <w:p>
            <w:pPr>
              <w:pStyle w:val="ContentsText"/>
              <w:jc w:val="right"/>
            </w:pPr>
            <w:fldSimple w:instr=" PAGEREF SEC_1609 \h ">
              <w:r>
                <w:t>92</w:t>
              </w:r>
            </w:fldSimple>
          </w:p>
        </w:tc>
      </w:tr>
      <w:tr>
        <w:trPr>
          <w:cantSplit/>
        </w:trPr>
        <w:tc>
          <w:tcPr>
            <w:tcW w:type="dxa" w:w="9000"/>
            <w:vAlign w:val="top"/>
          </w:tcPr>
          <w:p>
            <w:pPr>
              <w:pStyle w:val="ContentsText"/>
              <w:ind w:left="216"/>
            </w:pPr>
            <w:hyperlink w:anchor="SEC_1610" w:history="1">
              <w:r>
                <w:rPr>
                  <w:rFonts w:ascii="Liberation Serif" w:hAnsi="Liberation Serif"/>
                  <w:color w:val="111111"/>
                  <w:sz w:val="19"/>
                </w:rPr>
                <w:t>Sec. 1610. capital delivery, maintenance, and lifecycle review.</w:t>
              </w:r>
            </w:hyperlink>
          </w:p>
        </w:tc>
        <w:tc>
          <w:tcPr>
            <w:tcW w:type="dxa" w:w="648"/>
            <w:vAlign w:val="top"/>
          </w:tcPr>
          <w:p>
            <w:pPr>
              <w:pStyle w:val="ContentsText"/>
              <w:jc w:val="right"/>
            </w:pPr>
            <w:fldSimple w:instr=" PAGEREF SEC_1610 \h ">
              <w:r>
                <w:t>93</w:t>
              </w:r>
            </w:fldSimple>
          </w:p>
        </w:tc>
      </w:tr>
      <w:tr>
        <w:trPr>
          <w:cantSplit/>
        </w:trPr>
        <w:tc>
          <w:tcPr>
            <w:tcW w:type="dxa" w:w="9000"/>
            <w:vAlign w:val="top"/>
          </w:tcPr>
          <w:p>
            <w:pPr>
              <w:pStyle w:val="ContentsText"/>
              <w:keepNext/>
              <w:spacing w:before="100"/>
            </w:pPr>
            <w:hyperlink w:anchor="TITLE_XVII" w:history="1">
              <w:r>
                <w:rPr>
                  <w:rFonts w:ascii="Liberation Serif" w:hAnsi="Liberation Serif"/>
                  <w:b/>
                  <w:color w:val="182C3D"/>
                  <w:sz w:val="19"/>
                </w:rPr>
                <w:t>TITLE XVII. ENVIRONMENTAL CONDITIONS, ONE HEALTH, AND HUMAN RESILIENCE</w:t>
              </w:r>
            </w:hyperlink>
          </w:p>
        </w:tc>
        <w:tc>
          <w:tcPr>
            <w:tcW w:type="dxa" w:w="648"/>
            <w:vAlign w:val="top"/>
          </w:tcPr>
          <w:p>
            <w:pPr>
              <w:pStyle w:val="ContentsText"/>
              <w:spacing w:before="100"/>
              <w:jc w:val="right"/>
            </w:pPr>
            <w:fldSimple w:instr=" PAGEREF TITLE_XVII \h ">
              <w:r>
                <w:t>94</w:t>
              </w:r>
            </w:fldSimple>
          </w:p>
        </w:tc>
      </w:tr>
      <w:tr>
        <w:trPr>
          <w:cantSplit/>
        </w:trPr>
        <w:tc>
          <w:tcPr>
            <w:tcW w:type="dxa" w:w="9000"/>
            <w:vAlign w:val="top"/>
          </w:tcPr>
          <w:p>
            <w:pPr>
              <w:pStyle w:val="ContentsText"/>
              <w:ind w:left="216"/>
            </w:pPr>
            <w:hyperlink w:anchor="SEC_1701" w:history="1">
              <w:r>
                <w:rPr>
                  <w:rFonts w:ascii="Liberation Serif" w:hAnsi="Liberation Serif"/>
                  <w:color w:val="111111"/>
                  <w:sz w:val="19"/>
                </w:rPr>
                <w:t>Sec. 1701. environment and human capability program.</w:t>
              </w:r>
            </w:hyperlink>
          </w:p>
        </w:tc>
        <w:tc>
          <w:tcPr>
            <w:tcW w:type="dxa" w:w="648"/>
            <w:vAlign w:val="top"/>
          </w:tcPr>
          <w:p>
            <w:pPr>
              <w:pStyle w:val="ContentsText"/>
              <w:jc w:val="right"/>
            </w:pPr>
            <w:fldSimple w:instr=" PAGEREF SEC_1701 \h ">
              <w:r>
                <w:t>94</w:t>
              </w:r>
            </w:fldSimple>
          </w:p>
        </w:tc>
      </w:tr>
      <w:tr>
        <w:trPr>
          <w:cantSplit/>
        </w:trPr>
        <w:tc>
          <w:tcPr>
            <w:tcW w:type="dxa" w:w="9000"/>
            <w:vAlign w:val="top"/>
          </w:tcPr>
          <w:p>
            <w:pPr>
              <w:pStyle w:val="ContentsText"/>
              <w:ind w:left="216"/>
            </w:pPr>
            <w:hyperlink w:anchor="SEC_1702" w:history="1">
              <w:r>
                <w:rPr>
                  <w:rFonts w:ascii="Liberation Serif" w:hAnsi="Liberation Serif"/>
                  <w:color w:val="111111"/>
                  <w:sz w:val="19"/>
                </w:rPr>
                <w:t>Sec. 1702. clean indoor air and ventilation.</w:t>
              </w:r>
            </w:hyperlink>
          </w:p>
        </w:tc>
        <w:tc>
          <w:tcPr>
            <w:tcW w:type="dxa" w:w="648"/>
            <w:vAlign w:val="top"/>
          </w:tcPr>
          <w:p>
            <w:pPr>
              <w:pStyle w:val="ContentsText"/>
              <w:jc w:val="right"/>
            </w:pPr>
            <w:fldSimple w:instr=" PAGEREF SEC_1702 \h ">
              <w:r>
                <w:t>94</w:t>
              </w:r>
            </w:fldSimple>
          </w:p>
        </w:tc>
      </w:tr>
      <w:tr>
        <w:trPr>
          <w:cantSplit/>
        </w:trPr>
        <w:tc>
          <w:tcPr>
            <w:tcW w:type="dxa" w:w="9000"/>
            <w:vAlign w:val="top"/>
          </w:tcPr>
          <w:p>
            <w:pPr>
              <w:pStyle w:val="ContentsText"/>
              <w:ind w:left="216"/>
            </w:pPr>
            <w:hyperlink w:anchor="SEC_1703" w:history="1">
              <w:r>
                <w:rPr>
                  <w:rFonts w:ascii="Liberation Serif" w:hAnsi="Liberation Serif"/>
                  <w:color w:val="111111"/>
                  <w:sz w:val="19"/>
                </w:rPr>
                <w:t>Sec. 1703. heat, weather, and climate-related service continuity.</w:t>
              </w:r>
            </w:hyperlink>
          </w:p>
        </w:tc>
        <w:tc>
          <w:tcPr>
            <w:tcW w:type="dxa" w:w="648"/>
            <w:vAlign w:val="top"/>
          </w:tcPr>
          <w:p>
            <w:pPr>
              <w:pStyle w:val="ContentsText"/>
              <w:jc w:val="right"/>
            </w:pPr>
            <w:fldSimple w:instr=" PAGEREF SEC_1703 \h ">
              <w:r>
                <w:t>95</w:t>
              </w:r>
            </w:fldSimple>
          </w:p>
        </w:tc>
      </w:tr>
      <w:tr>
        <w:trPr>
          <w:cantSplit/>
        </w:trPr>
        <w:tc>
          <w:tcPr>
            <w:tcW w:type="dxa" w:w="9000"/>
            <w:vAlign w:val="top"/>
          </w:tcPr>
          <w:p>
            <w:pPr>
              <w:pStyle w:val="ContentsText"/>
              <w:ind w:left="216"/>
            </w:pPr>
            <w:hyperlink w:anchor="SEC_1704" w:history="1">
              <w:r>
                <w:rPr>
                  <w:rFonts w:ascii="Liberation Serif" w:hAnsi="Liberation Serif"/>
                  <w:color w:val="111111"/>
                  <w:sz w:val="19"/>
                </w:rPr>
                <w:t>Sec. 1704. environmental exposure and cumulative burden research.</w:t>
              </w:r>
            </w:hyperlink>
          </w:p>
        </w:tc>
        <w:tc>
          <w:tcPr>
            <w:tcW w:type="dxa" w:w="648"/>
            <w:vAlign w:val="top"/>
          </w:tcPr>
          <w:p>
            <w:pPr>
              <w:pStyle w:val="ContentsText"/>
              <w:jc w:val="right"/>
            </w:pPr>
            <w:fldSimple w:instr=" PAGEREF SEC_1704 \h ">
              <w:r>
                <w:t>95</w:t>
              </w:r>
            </w:fldSimple>
          </w:p>
        </w:tc>
      </w:tr>
      <w:tr>
        <w:trPr>
          <w:cantSplit/>
        </w:trPr>
        <w:tc>
          <w:tcPr>
            <w:tcW w:type="dxa" w:w="9000"/>
            <w:vAlign w:val="top"/>
          </w:tcPr>
          <w:p>
            <w:pPr>
              <w:pStyle w:val="ContentsText"/>
              <w:ind w:left="216"/>
            </w:pPr>
            <w:hyperlink w:anchor="SEC_1705" w:history="1">
              <w:r>
                <w:rPr>
                  <w:rFonts w:ascii="Liberation Serif" w:hAnsi="Liberation Serif"/>
                  <w:color w:val="111111"/>
                  <w:sz w:val="19"/>
                </w:rPr>
                <w:t>Sec. 1705. noise and light pollution in community settings.</w:t>
              </w:r>
            </w:hyperlink>
          </w:p>
        </w:tc>
        <w:tc>
          <w:tcPr>
            <w:tcW w:type="dxa" w:w="648"/>
            <w:vAlign w:val="top"/>
          </w:tcPr>
          <w:p>
            <w:pPr>
              <w:pStyle w:val="ContentsText"/>
              <w:jc w:val="right"/>
            </w:pPr>
            <w:fldSimple w:instr=" PAGEREF SEC_1705 \h ">
              <w:r>
                <w:t>95</w:t>
              </w:r>
            </w:fldSimple>
          </w:p>
        </w:tc>
      </w:tr>
      <w:tr>
        <w:trPr>
          <w:cantSplit/>
        </w:trPr>
        <w:tc>
          <w:tcPr>
            <w:tcW w:type="dxa" w:w="9000"/>
            <w:vAlign w:val="top"/>
          </w:tcPr>
          <w:p>
            <w:pPr>
              <w:pStyle w:val="ContentsText"/>
              <w:ind w:left="216"/>
            </w:pPr>
            <w:hyperlink w:anchor="SEC_1706" w:history="1">
              <w:r>
                <w:rPr>
                  <w:rFonts w:ascii="Liberation Serif" w:hAnsi="Liberation Serif"/>
                  <w:color w:val="111111"/>
                  <w:sz w:val="19"/>
                </w:rPr>
                <w:t>Sec. 1706. one health research and prevention partnerships.</w:t>
              </w:r>
            </w:hyperlink>
          </w:p>
        </w:tc>
        <w:tc>
          <w:tcPr>
            <w:tcW w:type="dxa" w:w="648"/>
            <w:vAlign w:val="top"/>
          </w:tcPr>
          <w:p>
            <w:pPr>
              <w:pStyle w:val="ContentsText"/>
              <w:jc w:val="right"/>
            </w:pPr>
            <w:fldSimple w:instr=" PAGEREF SEC_1706 \h ">
              <w:r>
                <w:t>96</w:t>
              </w:r>
            </w:fldSimple>
          </w:p>
        </w:tc>
      </w:tr>
      <w:tr>
        <w:trPr>
          <w:cantSplit/>
        </w:trPr>
        <w:tc>
          <w:tcPr>
            <w:tcW w:type="dxa" w:w="9000"/>
            <w:vAlign w:val="top"/>
          </w:tcPr>
          <w:p>
            <w:pPr>
              <w:pStyle w:val="ContentsText"/>
              <w:ind w:left="216"/>
            </w:pPr>
            <w:hyperlink w:anchor="SEC_1707" w:history="1">
              <w:r>
                <w:rPr>
                  <w:rFonts w:ascii="Liberation Serif" w:hAnsi="Liberation Serif"/>
                  <w:color w:val="111111"/>
                  <w:sz w:val="19"/>
                </w:rPr>
                <w:t>Sec. 1707. biodiversity, ecosystem services, and human access.</w:t>
              </w:r>
            </w:hyperlink>
          </w:p>
        </w:tc>
        <w:tc>
          <w:tcPr>
            <w:tcW w:type="dxa" w:w="648"/>
            <w:vAlign w:val="top"/>
          </w:tcPr>
          <w:p>
            <w:pPr>
              <w:pStyle w:val="ContentsText"/>
              <w:jc w:val="right"/>
            </w:pPr>
            <w:fldSimple w:instr=" PAGEREF SEC_1707 \h ">
              <w:r>
                <w:t>96</w:t>
              </w:r>
            </w:fldSimple>
          </w:p>
        </w:tc>
      </w:tr>
      <w:tr>
        <w:trPr>
          <w:cantSplit/>
        </w:trPr>
        <w:tc>
          <w:tcPr>
            <w:tcW w:type="dxa" w:w="9000"/>
            <w:vAlign w:val="top"/>
          </w:tcPr>
          <w:p>
            <w:pPr>
              <w:pStyle w:val="ContentsText"/>
              <w:ind w:left="216"/>
            </w:pPr>
            <w:hyperlink w:anchor="SEC_1708" w:history="1">
              <w:r>
                <w:rPr>
                  <w:rFonts w:ascii="Liberation Serif" w:hAnsi="Liberation Serif"/>
                  <w:color w:val="111111"/>
                  <w:sz w:val="19"/>
                </w:rPr>
                <w:t>Sec. 1708. human-animal interaction and responsible assistance.</w:t>
              </w:r>
            </w:hyperlink>
          </w:p>
        </w:tc>
        <w:tc>
          <w:tcPr>
            <w:tcW w:type="dxa" w:w="648"/>
            <w:vAlign w:val="top"/>
          </w:tcPr>
          <w:p>
            <w:pPr>
              <w:pStyle w:val="ContentsText"/>
              <w:jc w:val="right"/>
            </w:pPr>
            <w:fldSimple w:instr=" PAGEREF SEC_1708 \h ">
              <w:r>
                <w:t>97</w:t>
              </w:r>
            </w:fldSimple>
          </w:p>
        </w:tc>
      </w:tr>
      <w:tr>
        <w:trPr>
          <w:cantSplit/>
        </w:trPr>
        <w:tc>
          <w:tcPr>
            <w:tcW w:type="dxa" w:w="9000"/>
            <w:vAlign w:val="top"/>
          </w:tcPr>
          <w:p>
            <w:pPr>
              <w:pStyle w:val="ContentsText"/>
              <w:ind w:left="216"/>
            </w:pPr>
            <w:hyperlink w:anchor="SEC_1709" w:history="1">
              <w:r>
                <w:rPr>
                  <w:rFonts w:ascii="Liberation Serif" w:hAnsi="Liberation Serif"/>
                  <w:color w:val="111111"/>
                  <w:sz w:val="19"/>
                </w:rPr>
                <w:t>Sec. 1709. environmental data, community notice, and correction.</w:t>
              </w:r>
            </w:hyperlink>
          </w:p>
        </w:tc>
        <w:tc>
          <w:tcPr>
            <w:tcW w:type="dxa" w:w="648"/>
            <w:vAlign w:val="top"/>
          </w:tcPr>
          <w:p>
            <w:pPr>
              <w:pStyle w:val="ContentsText"/>
              <w:jc w:val="right"/>
            </w:pPr>
            <w:fldSimple w:instr=" PAGEREF SEC_1709 \h ">
              <w:r>
                <w:t>97</w:t>
              </w:r>
            </w:fldSimple>
          </w:p>
        </w:tc>
      </w:tr>
      <w:tr>
        <w:trPr>
          <w:cantSplit/>
        </w:trPr>
        <w:tc>
          <w:tcPr>
            <w:tcW w:type="dxa" w:w="9000"/>
            <w:vAlign w:val="top"/>
          </w:tcPr>
          <w:p>
            <w:pPr>
              <w:pStyle w:val="ContentsText"/>
              <w:ind w:left="216"/>
            </w:pPr>
            <w:hyperlink w:anchor="SEC_1710" w:history="1">
              <w:r>
                <w:rPr>
                  <w:rFonts w:ascii="Liberation Serif" w:hAnsi="Liberation Serif"/>
                  <w:color w:val="111111"/>
                  <w:sz w:val="19"/>
                </w:rPr>
                <w:t>Sec. 1710. environmental program review and lifecycle accounting.</w:t>
              </w:r>
            </w:hyperlink>
          </w:p>
        </w:tc>
        <w:tc>
          <w:tcPr>
            <w:tcW w:type="dxa" w:w="648"/>
            <w:vAlign w:val="top"/>
          </w:tcPr>
          <w:p>
            <w:pPr>
              <w:pStyle w:val="ContentsText"/>
              <w:jc w:val="right"/>
            </w:pPr>
            <w:fldSimple w:instr=" PAGEREF SEC_1710 \h ">
              <w:r>
                <w:t>98</w:t>
              </w:r>
            </w:fldSimple>
          </w:p>
        </w:tc>
      </w:tr>
      <w:tr>
        <w:trPr>
          <w:cantSplit/>
        </w:trPr>
        <w:tc>
          <w:tcPr>
            <w:tcW w:type="dxa" w:w="9000"/>
            <w:vAlign w:val="top"/>
          </w:tcPr>
          <w:p>
            <w:pPr>
              <w:pStyle w:val="ContentsText"/>
              <w:keepNext/>
              <w:spacing w:before="100"/>
            </w:pPr>
            <w:hyperlink w:anchor="TITLE_XVIII" w:history="1">
              <w:r>
                <w:rPr>
                  <w:rFonts w:ascii="Liberation Serif" w:hAnsi="Liberation Serif"/>
                  <w:b/>
                  <w:color w:val="182C3D"/>
                  <w:sz w:val="19"/>
                </w:rPr>
                <w:t>TITLE XVIII. DIGITAL ENVIRONMENTS, PRIVACY, AND CONSUMER AUTONOMY</w:t>
              </w:r>
            </w:hyperlink>
          </w:p>
        </w:tc>
        <w:tc>
          <w:tcPr>
            <w:tcW w:type="dxa" w:w="648"/>
            <w:vAlign w:val="top"/>
          </w:tcPr>
          <w:p>
            <w:pPr>
              <w:pStyle w:val="ContentsText"/>
              <w:spacing w:before="100"/>
              <w:jc w:val="right"/>
            </w:pPr>
            <w:fldSimple w:instr=" PAGEREF TITLE_XVIII \h ">
              <w:r>
                <w:t>99</w:t>
              </w:r>
            </w:fldSimple>
          </w:p>
        </w:tc>
      </w:tr>
      <w:tr>
        <w:trPr>
          <w:cantSplit/>
        </w:trPr>
        <w:tc>
          <w:tcPr>
            <w:tcW w:type="dxa" w:w="9000"/>
            <w:vAlign w:val="top"/>
          </w:tcPr>
          <w:p>
            <w:pPr>
              <w:pStyle w:val="ContentsText"/>
              <w:ind w:left="216"/>
            </w:pPr>
            <w:hyperlink w:anchor="SEC_1801" w:history="1">
              <w:r>
                <w:rPr>
                  <w:rFonts w:ascii="Liberation Serif" w:hAnsi="Liberation Serif"/>
                  <w:color w:val="111111"/>
                  <w:sz w:val="19"/>
                </w:rPr>
                <w:t>Sec. 1801. covered digital services and commission authority.</w:t>
              </w:r>
            </w:hyperlink>
          </w:p>
        </w:tc>
        <w:tc>
          <w:tcPr>
            <w:tcW w:type="dxa" w:w="648"/>
            <w:vAlign w:val="top"/>
          </w:tcPr>
          <w:p>
            <w:pPr>
              <w:pStyle w:val="ContentsText"/>
              <w:jc w:val="right"/>
            </w:pPr>
            <w:fldSimple w:instr=" PAGEREF SEC_1801 \h ">
              <w:r>
                <w:t>99</w:t>
              </w:r>
            </w:fldSimple>
          </w:p>
        </w:tc>
      </w:tr>
      <w:tr>
        <w:trPr>
          <w:cantSplit/>
        </w:trPr>
        <w:tc>
          <w:tcPr>
            <w:tcW w:type="dxa" w:w="9000"/>
            <w:vAlign w:val="top"/>
          </w:tcPr>
          <w:p>
            <w:pPr>
              <w:pStyle w:val="ContentsText"/>
              <w:ind w:left="216"/>
            </w:pPr>
            <w:hyperlink w:anchor="SEC_1802" w:history="1">
              <w:r>
                <w:rPr>
                  <w:rFonts w:ascii="Liberation Serif" w:hAnsi="Liberation Serif"/>
                  <w:color w:val="111111"/>
                  <w:sz w:val="19"/>
                </w:rPr>
                <w:t>Sec. 1802. purpose limitation, data minimization, and retention.</w:t>
              </w:r>
            </w:hyperlink>
          </w:p>
        </w:tc>
        <w:tc>
          <w:tcPr>
            <w:tcW w:type="dxa" w:w="648"/>
            <w:vAlign w:val="top"/>
          </w:tcPr>
          <w:p>
            <w:pPr>
              <w:pStyle w:val="ContentsText"/>
              <w:jc w:val="right"/>
            </w:pPr>
            <w:fldSimple w:instr=" PAGEREF SEC_1802 \h ">
              <w:r>
                <w:t>99</w:t>
              </w:r>
            </w:fldSimple>
          </w:p>
        </w:tc>
      </w:tr>
      <w:tr>
        <w:trPr>
          <w:cantSplit/>
        </w:trPr>
        <w:tc>
          <w:tcPr>
            <w:tcW w:type="dxa" w:w="9000"/>
            <w:vAlign w:val="top"/>
          </w:tcPr>
          <w:p>
            <w:pPr>
              <w:pStyle w:val="ContentsText"/>
              <w:ind w:left="216"/>
            </w:pPr>
            <w:hyperlink w:anchor="SEC_1803" w:history="1">
              <w:r>
                <w:rPr>
                  <w:rFonts w:ascii="Liberation Serif" w:hAnsi="Liberation Serif"/>
                  <w:color w:val="111111"/>
                  <w:sz w:val="19"/>
                </w:rPr>
                <w:t>Sec. 1803. consent, refusal, and deceptive interface practices.</w:t>
              </w:r>
            </w:hyperlink>
          </w:p>
        </w:tc>
        <w:tc>
          <w:tcPr>
            <w:tcW w:type="dxa" w:w="648"/>
            <w:vAlign w:val="top"/>
          </w:tcPr>
          <w:p>
            <w:pPr>
              <w:pStyle w:val="ContentsText"/>
              <w:jc w:val="right"/>
            </w:pPr>
            <w:fldSimple w:instr=" PAGEREF SEC_1803 \h ">
              <w:r>
                <w:t>100</w:t>
              </w:r>
            </w:fldSimple>
          </w:p>
        </w:tc>
      </w:tr>
      <w:tr>
        <w:trPr>
          <w:cantSplit/>
        </w:trPr>
        <w:tc>
          <w:tcPr>
            <w:tcW w:type="dxa" w:w="9000"/>
            <w:vAlign w:val="top"/>
          </w:tcPr>
          <w:p>
            <w:pPr>
              <w:pStyle w:val="ContentsText"/>
              <w:ind w:left="216"/>
            </w:pPr>
            <w:hyperlink w:anchor="SEC_1804" w:history="1">
              <w:r>
                <w:rPr>
                  <w:rFonts w:ascii="Liberation Serif" w:hAnsi="Liberation Serif"/>
                  <w:color w:val="111111"/>
                  <w:sz w:val="19"/>
                </w:rPr>
                <w:t>Sec. 1804. individual access, correction, deletion, and portability.</w:t>
              </w:r>
            </w:hyperlink>
          </w:p>
        </w:tc>
        <w:tc>
          <w:tcPr>
            <w:tcW w:type="dxa" w:w="648"/>
            <w:vAlign w:val="top"/>
          </w:tcPr>
          <w:p>
            <w:pPr>
              <w:pStyle w:val="ContentsText"/>
              <w:jc w:val="right"/>
            </w:pPr>
            <w:fldSimple w:instr=" PAGEREF SEC_1804 \h ">
              <w:r>
                <w:t>100</w:t>
              </w:r>
            </w:fldSimple>
          </w:p>
        </w:tc>
      </w:tr>
      <w:tr>
        <w:trPr>
          <w:cantSplit/>
        </w:trPr>
        <w:tc>
          <w:tcPr>
            <w:tcW w:type="dxa" w:w="9000"/>
            <w:vAlign w:val="top"/>
          </w:tcPr>
          <w:p>
            <w:pPr>
              <w:pStyle w:val="ContentsText"/>
              <w:ind w:left="216"/>
            </w:pPr>
            <w:hyperlink w:anchor="SEC_1805" w:history="1">
              <w:r>
                <w:rPr>
                  <w:rFonts w:ascii="Liberation Serif" w:hAnsi="Liberation Serif"/>
                  <w:color w:val="111111"/>
                  <w:sz w:val="19"/>
                </w:rPr>
                <w:t>Sec. 1805. children and adolescents in digital services.</w:t>
              </w:r>
            </w:hyperlink>
          </w:p>
        </w:tc>
        <w:tc>
          <w:tcPr>
            <w:tcW w:type="dxa" w:w="648"/>
            <w:vAlign w:val="top"/>
          </w:tcPr>
          <w:p>
            <w:pPr>
              <w:pStyle w:val="ContentsText"/>
              <w:jc w:val="right"/>
            </w:pPr>
            <w:fldSimple w:instr=" PAGEREF SEC_1805 \h ">
              <w:r>
                <w:t>101</w:t>
              </w:r>
            </w:fldSimple>
          </w:p>
        </w:tc>
      </w:tr>
      <w:tr>
        <w:trPr>
          <w:cantSplit/>
        </w:trPr>
        <w:tc>
          <w:tcPr>
            <w:tcW w:type="dxa" w:w="9000"/>
            <w:vAlign w:val="top"/>
          </w:tcPr>
          <w:p>
            <w:pPr>
              <w:pStyle w:val="ContentsText"/>
              <w:ind w:left="216"/>
            </w:pPr>
            <w:hyperlink w:anchor="SEC_1806" w:history="1">
              <w:r>
                <w:rPr>
                  <w:rFonts w:ascii="Liberation Serif" w:hAnsi="Liberation Serif"/>
                  <w:color w:val="111111"/>
                  <w:sz w:val="19"/>
                </w:rPr>
                <w:t>Sec. 1806. user control, notifications, and personalized recommendations.</w:t>
              </w:r>
            </w:hyperlink>
          </w:p>
        </w:tc>
        <w:tc>
          <w:tcPr>
            <w:tcW w:type="dxa" w:w="648"/>
            <w:vAlign w:val="top"/>
          </w:tcPr>
          <w:p>
            <w:pPr>
              <w:pStyle w:val="ContentsText"/>
              <w:jc w:val="right"/>
            </w:pPr>
            <w:fldSimple w:instr=" PAGEREF SEC_1806 \h ">
              <w:r>
                <w:t>101</w:t>
              </w:r>
            </w:fldSimple>
          </w:p>
        </w:tc>
      </w:tr>
      <w:tr>
        <w:trPr>
          <w:cantSplit/>
        </w:trPr>
        <w:tc>
          <w:tcPr>
            <w:tcW w:type="dxa" w:w="9000"/>
            <w:vAlign w:val="top"/>
          </w:tcPr>
          <w:p>
            <w:pPr>
              <w:pStyle w:val="ContentsText"/>
              <w:ind w:left="216"/>
            </w:pPr>
            <w:hyperlink w:anchor="SEC_1807" w:history="1">
              <w:r>
                <w:rPr>
                  <w:rFonts w:ascii="Liberation Serif" w:hAnsi="Liberation Serif"/>
                  <w:color w:val="111111"/>
                  <w:sz w:val="19"/>
                </w:rPr>
                <w:t>Sec. 1807. digital commerce, cancellation, and human assistance.</w:t>
              </w:r>
            </w:hyperlink>
          </w:p>
        </w:tc>
        <w:tc>
          <w:tcPr>
            <w:tcW w:type="dxa" w:w="648"/>
            <w:vAlign w:val="top"/>
          </w:tcPr>
          <w:p>
            <w:pPr>
              <w:pStyle w:val="ContentsText"/>
              <w:jc w:val="right"/>
            </w:pPr>
            <w:fldSimple w:instr=" PAGEREF SEC_1807 \h ">
              <w:r>
                <w:t>102</w:t>
              </w:r>
            </w:fldSimple>
          </w:p>
        </w:tc>
      </w:tr>
      <w:tr>
        <w:trPr>
          <w:cantSplit/>
        </w:trPr>
        <w:tc>
          <w:tcPr>
            <w:tcW w:type="dxa" w:w="9000"/>
            <w:vAlign w:val="top"/>
          </w:tcPr>
          <w:p>
            <w:pPr>
              <w:pStyle w:val="ContentsText"/>
              <w:ind w:left="216"/>
            </w:pPr>
            <w:hyperlink w:anchor="SEC_1808" w:history="1">
              <w:r>
                <w:rPr>
                  <w:rFonts w:ascii="Liberation Serif" w:hAnsi="Liberation Serif"/>
                  <w:color w:val="111111"/>
                  <w:sz w:val="19"/>
                </w:rPr>
                <w:t>Sec. 1808. security, processors, and data transfers.</w:t>
              </w:r>
            </w:hyperlink>
          </w:p>
        </w:tc>
        <w:tc>
          <w:tcPr>
            <w:tcW w:type="dxa" w:w="648"/>
            <w:vAlign w:val="top"/>
          </w:tcPr>
          <w:p>
            <w:pPr>
              <w:pStyle w:val="ContentsText"/>
              <w:jc w:val="right"/>
            </w:pPr>
            <w:fldSimple w:instr=" PAGEREF SEC_1808 \h ">
              <w:r>
                <w:t>102</w:t>
              </w:r>
            </w:fldSimple>
          </w:p>
        </w:tc>
      </w:tr>
      <w:tr>
        <w:trPr>
          <w:cantSplit/>
        </w:trPr>
        <w:tc>
          <w:tcPr>
            <w:tcW w:type="dxa" w:w="9000"/>
            <w:vAlign w:val="top"/>
          </w:tcPr>
          <w:p>
            <w:pPr>
              <w:pStyle w:val="ContentsText"/>
              <w:ind w:left="216"/>
            </w:pPr>
            <w:hyperlink w:anchor="SEC_1809" w:history="1">
              <w:r>
                <w:rPr>
                  <w:rFonts w:ascii="Liberation Serif" w:hAnsi="Liberation Serif"/>
                  <w:color w:val="111111"/>
                  <w:sz w:val="19"/>
                </w:rPr>
                <w:t>Sec. 1809. independent research access and transparency.</w:t>
              </w:r>
            </w:hyperlink>
          </w:p>
        </w:tc>
        <w:tc>
          <w:tcPr>
            <w:tcW w:type="dxa" w:w="648"/>
            <w:vAlign w:val="top"/>
          </w:tcPr>
          <w:p>
            <w:pPr>
              <w:pStyle w:val="ContentsText"/>
              <w:jc w:val="right"/>
            </w:pPr>
            <w:fldSimple w:instr=" PAGEREF SEC_1809 \h ">
              <w:r>
                <w:t>103</w:t>
              </w:r>
            </w:fldSimple>
          </w:p>
        </w:tc>
      </w:tr>
      <w:tr>
        <w:trPr>
          <w:cantSplit/>
        </w:trPr>
        <w:tc>
          <w:tcPr>
            <w:tcW w:type="dxa" w:w="9000"/>
            <w:vAlign w:val="top"/>
          </w:tcPr>
          <w:p>
            <w:pPr>
              <w:pStyle w:val="ContentsText"/>
              <w:ind w:left="216"/>
            </w:pPr>
            <w:hyperlink w:anchor="SEC_1810" w:history="1">
              <w:r>
                <w:rPr>
                  <w:rFonts w:ascii="Liberation Serif" w:hAnsi="Liberation Serif"/>
                  <w:color w:val="111111"/>
                  <w:sz w:val="19"/>
                </w:rPr>
                <w:t>Sec. 1810. enforcement, small-entity assistance, and state law.</w:t>
              </w:r>
            </w:hyperlink>
          </w:p>
        </w:tc>
        <w:tc>
          <w:tcPr>
            <w:tcW w:type="dxa" w:w="648"/>
            <w:vAlign w:val="top"/>
          </w:tcPr>
          <w:p>
            <w:pPr>
              <w:pStyle w:val="ContentsText"/>
              <w:jc w:val="right"/>
            </w:pPr>
            <w:fldSimple w:instr=" PAGEREF SEC_1810 \h ">
              <w:r>
                <w:t>103</w:t>
              </w:r>
            </w:fldSimple>
          </w:p>
        </w:tc>
      </w:tr>
      <w:tr>
        <w:trPr>
          <w:cantSplit/>
        </w:trPr>
        <w:tc>
          <w:tcPr>
            <w:tcW w:type="dxa" w:w="9000"/>
            <w:vAlign w:val="top"/>
          </w:tcPr>
          <w:p>
            <w:pPr>
              <w:pStyle w:val="ContentsText"/>
              <w:keepNext/>
              <w:spacing w:before="100"/>
            </w:pPr>
            <w:hyperlink w:anchor="TITLE_XIX" w:history="1">
              <w:r>
                <w:rPr>
                  <w:rFonts w:ascii="Liberation Serif" w:hAnsi="Liberation Serif"/>
                  <w:b/>
                  <w:color w:val="182C3D"/>
                  <w:sz w:val="19"/>
                </w:rPr>
                <w:t>TITLE XIX. AUTOMATED DECISIONS AND ACCOUNTABLE HUMAN OVERSIGHT</w:t>
              </w:r>
            </w:hyperlink>
          </w:p>
        </w:tc>
        <w:tc>
          <w:tcPr>
            <w:tcW w:type="dxa" w:w="648"/>
            <w:vAlign w:val="top"/>
          </w:tcPr>
          <w:p>
            <w:pPr>
              <w:pStyle w:val="ContentsText"/>
              <w:spacing w:before="100"/>
              <w:jc w:val="right"/>
            </w:pPr>
            <w:fldSimple w:instr=" PAGEREF TITLE_XIX \h ">
              <w:r>
                <w:t>104</w:t>
              </w:r>
            </w:fldSimple>
          </w:p>
        </w:tc>
      </w:tr>
      <w:tr>
        <w:trPr>
          <w:cantSplit/>
        </w:trPr>
        <w:tc>
          <w:tcPr>
            <w:tcW w:type="dxa" w:w="9000"/>
            <w:vAlign w:val="top"/>
          </w:tcPr>
          <w:p>
            <w:pPr>
              <w:pStyle w:val="ContentsText"/>
              <w:ind w:left="216"/>
            </w:pPr>
            <w:hyperlink w:anchor="SEC_1901" w:history="1">
              <w:r>
                <w:rPr>
                  <w:rFonts w:ascii="Liberation Serif" w:hAnsi="Liberation Serif"/>
                  <w:color w:val="111111"/>
                  <w:sz w:val="19"/>
                </w:rPr>
                <w:t>Sec. 1901. high-impact automated decisions.</w:t>
              </w:r>
            </w:hyperlink>
          </w:p>
        </w:tc>
        <w:tc>
          <w:tcPr>
            <w:tcW w:type="dxa" w:w="648"/>
            <w:vAlign w:val="top"/>
          </w:tcPr>
          <w:p>
            <w:pPr>
              <w:pStyle w:val="ContentsText"/>
              <w:jc w:val="right"/>
            </w:pPr>
            <w:fldSimple w:instr=" PAGEREF SEC_1901 \h ">
              <w:r>
                <w:t>104</w:t>
              </w:r>
            </w:fldSimple>
          </w:p>
        </w:tc>
      </w:tr>
      <w:tr>
        <w:trPr>
          <w:cantSplit/>
        </w:trPr>
        <w:tc>
          <w:tcPr>
            <w:tcW w:type="dxa" w:w="9000"/>
            <w:vAlign w:val="top"/>
          </w:tcPr>
          <w:p>
            <w:pPr>
              <w:pStyle w:val="ContentsText"/>
              <w:ind w:left="216"/>
            </w:pPr>
            <w:hyperlink w:anchor="SEC_1902" w:history="1">
              <w:r>
                <w:rPr>
                  <w:rFonts w:ascii="Liberation Serif" w:hAnsi="Liberation Serif"/>
                  <w:color w:val="111111"/>
                  <w:sz w:val="19"/>
                </w:rPr>
                <w:t>Sec. 1902. predeployment impact assessment.</w:t>
              </w:r>
            </w:hyperlink>
          </w:p>
        </w:tc>
        <w:tc>
          <w:tcPr>
            <w:tcW w:type="dxa" w:w="648"/>
            <w:vAlign w:val="top"/>
          </w:tcPr>
          <w:p>
            <w:pPr>
              <w:pStyle w:val="ContentsText"/>
              <w:jc w:val="right"/>
            </w:pPr>
            <w:fldSimple w:instr=" PAGEREF SEC_1902 \h ">
              <w:r>
                <w:t>104</w:t>
              </w:r>
            </w:fldSimple>
          </w:p>
        </w:tc>
      </w:tr>
      <w:tr>
        <w:trPr>
          <w:cantSplit/>
        </w:trPr>
        <w:tc>
          <w:tcPr>
            <w:tcW w:type="dxa" w:w="9000"/>
            <w:vAlign w:val="top"/>
          </w:tcPr>
          <w:p>
            <w:pPr>
              <w:pStyle w:val="ContentsText"/>
              <w:ind w:left="216"/>
            </w:pPr>
            <w:hyperlink w:anchor="SEC_1903" w:history="1">
              <w:r>
                <w:rPr>
                  <w:rFonts w:ascii="Liberation Serif" w:hAnsi="Liberation Serif"/>
                  <w:color w:val="111111"/>
                  <w:sz w:val="19"/>
                </w:rPr>
                <w:t>Sec. 1903. developer documentation and deployer responsibility.</w:t>
              </w:r>
            </w:hyperlink>
          </w:p>
        </w:tc>
        <w:tc>
          <w:tcPr>
            <w:tcW w:type="dxa" w:w="648"/>
            <w:vAlign w:val="top"/>
          </w:tcPr>
          <w:p>
            <w:pPr>
              <w:pStyle w:val="ContentsText"/>
              <w:jc w:val="right"/>
            </w:pPr>
            <w:fldSimple w:instr=" PAGEREF SEC_1903 \h ">
              <w:r>
                <w:t>105</w:t>
              </w:r>
            </w:fldSimple>
          </w:p>
        </w:tc>
      </w:tr>
      <w:tr>
        <w:trPr>
          <w:cantSplit/>
        </w:trPr>
        <w:tc>
          <w:tcPr>
            <w:tcW w:type="dxa" w:w="9000"/>
            <w:vAlign w:val="top"/>
          </w:tcPr>
          <w:p>
            <w:pPr>
              <w:pStyle w:val="ContentsText"/>
              <w:ind w:left="216"/>
            </w:pPr>
            <w:hyperlink w:anchor="SEC_1904" w:history="1">
              <w:r>
                <w:rPr>
                  <w:rFonts w:ascii="Liberation Serif" w:hAnsi="Liberation Serif"/>
                  <w:color w:val="111111"/>
                  <w:sz w:val="19"/>
                </w:rPr>
                <w:t>Sec. 1904. notice and meaningful explanation.</w:t>
              </w:r>
            </w:hyperlink>
          </w:p>
        </w:tc>
        <w:tc>
          <w:tcPr>
            <w:tcW w:type="dxa" w:w="648"/>
            <w:vAlign w:val="top"/>
          </w:tcPr>
          <w:p>
            <w:pPr>
              <w:pStyle w:val="ContentsText"/>
              <w:jc w:val="right"/>
            </w:pPr>
            <w:fldSimple w:instr=" PAGEREF SEC_1904 \h ">
              <w:r>
                <w:t>105</w:t>
              </w:r>
            </w:fldSimple>
          </w:p>
        </w:tc>
      </w:tr>
      <w:tr>
        <w:trPr>
          <w:cantSplit/>
        </w:trPr>
        <w:tc>
          <w:tcPr>
            <w:tcW w:type="dxa" w:w="9000"/>
            <w:vAlign w:val="top"/>
          </w:tcPr>
          <w:p>
            <w:pPr>
              <w:pStyle w:val="ContentsText"/>
              <w:ind w:left="216"/>
            </w:pPr>
            <w:hyperlink w:anchor="SEC_1905" w:history="1">
              <w:r>
                <w:rPr>
                  <w:rFonts w:ascii="Liberation Serif" w:hAnsi="Liberation Serif"/>
                  <w:color w:val="111111"/>
                  <w:sz w:val="19"/>
                </w:rPr>
                <w:t>Sec. 1905. human review and contestability.</w:t>
              </w:r>
            </w:hyperlink>
          </w:p>
        </w:tc>
        <w:tc>
          <w:tcPr>
            <w:tcW w:type="dxa" w:w="648"/>
            <w:vAlign w:val="top"/>
          </w:tcPr>
          <w:p>
            <w:pPr>
              <w:pStyle w:val="ContentsText"/>
              <w:jc w:val="right"/>
            </w:pPr>
            <w:fldSimple w:instr=" PAGEREF SEC_1905 \h ">
              <w:r>
                <w:t>105</w:t>
              </w:r>
            </w:fldSimple>
          </w:p>
        </w:tc>
      </w:tr>
      <w:tr>
        <w:trPr>
          <w:cantSplit/>
        </w:trPr>
        <w:tc>
          <w:tcPr>
            <w:tcW w:type="dxa" w:w="9000"/>
            <w:vAlign w:val="top"/>
          </w:tcPr>
          <w:p>
            <w:pPr>
              <w:pStyle w:val="ContentsText"/>
              <w:ind w:left="216"/>
            </w:pPr>
            <w:hyperlink w:anchor="SEC_1906" w:history="1">
              <w:r>
                <w:rPr>
                  <w:rFonts w:ascii="Liberation Serif" w:hAnsi="Liberation Serif"/>
                  <w:color w:val="111111"/>
                  <w:sz w:val="19"/>
                </w:rPr>
                <w:t>Sec. 1906. validity, discrimination testing, and accessibility.</w:t>
              </w:r>
            </w:hyperlink>
          </w:p>
        </w:tc>
        <w:tc>
          <w:tcPr>
            <w:tcW w:type="dxa" w:w="648"/>
            <w:vAlign w:val="top"/>
          </w:tcPr>
          <w:p>
            <w:pPr>
              <w:pStyle w:val="ContentsText"/>
              <w:jc w:val="right"/>
            </w:pPr>
            <w:fldSimple w:instr=" PAGEREF SEC_1906 \h ">
              <w:r>
                <w:t>106</w:t>
              </w:r>
            </w:fldSimple>
          </w:p>
        </w:tc>
      </w:tr>
      <w:tr>
        <w:trPr>
          <w:cantSplit/>
        </w:trPr>
        <w:tc>
          <w:tcPr>
            <w:tcW w:type="dxa" w:w="9000"/>
            <w:vAlign w:val="top"/>
          </w:tcPr>
          <w:p>
            <w:pPr>
              <w:pStyle w:val="ContentsText"/>
              <w:ind w:left="216"/>
            </w:pPr>
            <w:hyperlink w:anchor="SEC_1907" w:history="1">
              <w:r>
                <w:rPr>
                  <w:rFonts w:ascii="Liberation Serif" w:hAnsi="Liberation Serif"/>
                  <w:color w:val="111111"/>
                  <w:sz w:val="19"/>
                </w:rPr>
                <w:t>Sec. 1907. monitoring, incidents, and audit trails.</w:t>
              </w:r>
            </w:hyperlink>
          </w:p>
        </w:tc>
        <w:tc>
          <w:tcPr>
            <w:tcW w:type="dxa" w:w="648"/>
            <w:vAlign w:val="top"/>
          </w:tcPr>
          <w:p>
            <w:pPr>
              <w:pStyle w:val="ContentsText"/>
              <w:jc w:val="right"/>
            </w:pPr>
            <w:fldSimple w:instr=" PAGEREF SEC_1907 \h ">
              <w:r>
                <w:t>106</w:t>
              </w:r>
            </w:fldSimple>
          </w:p>
        </w:tc>
      </w:tr>
      <w:tr>
        <w:trPr>
          <w:cantSplit/>
        </w:trPr>
        <w:tc>
          <w:tcPr>
            <w:tcW w:type="dxa" w:w="9000"/>
            <w:vAlign w:val="top"/>
          </w:tcPr>
          <w:p>
            <w:pPr>
              <w:pStyle w:val="ContentsText"/>
              <w:ind w:left="216"/>
            </w:pPr>
            <w:hyperlink w:anchor="SEC_1908" w:history="1">
              <w:r>
                <w:rPr>
                  <w:rFonts w:ascii="Liberation Serif" w:hAnsi="Liberation Serif"/>
                  <w:color w:val="111111"/>
                  <w:sz w:val="19"/>
                </w:rPr>
                <w:t>Sec. 1908. federal procurement and public-benefit systems.</w:t>
              </w:r>
            </w:hyperlink>
          </w:p>
        </w:tc>
        <w:tc>
          <w:tcPr>
            <w:tcW w:type="dxa" w:w="648"/>
            <w:vAlign w:val="top"/>
          </w:tcPr>
          <w:p>
            <w:pPr>
              <w:pStyle w:val="ContentsText"/>
              <w:jc w:val="right"/>
            </w:pPr>
            <w:fldSimple w:instr=" PAGEREF SEC_1908 \h ">
              <w:r>
                <w:t>107</w:t>
              </w:r>
            </w:fldSimple>
          </w:p>
        </w:tc>
      </w:tr>
      <w:tr>
        <w:trPr>
          <w:cantSplit/>
        </w:trPr>
        <w:tc>
          <w:tcPr>
            <w:tcW w:type="dxa" w:w="9000"/>
            <w:vAlign w:val="top"/>
          </w:tcPr>
          <w:p>
            <w:pPr>
              <w:pStyle w:val="ContentsText"/>
              <w:ind w:left="216"/>
            </w:pPr>
            <w:hyperlink w:anchor="SEC_1909" w:history="1">
              <w:r>
                <w:rPr>
                  <w:rFonts w:ascii="Liberation Serif" w:hAnsi="Liberation Serif"/>
                  <w:color w:val="111111"/>
                  <w:sz w:val="19"/>
                </w:rPr>
                <w:t>Sec. 1909. legacy systems, continuity, and beneficial use.</w:t>
              </w:r>
            </w:hyperlink>
          </w:p>
        </w:tc>
        <w:tc>
          <w:tcPr>
            <w:tcW w:type="dxa" w:w="648"/>
            <w:vAlign w:val="top"/>
          </w:tcPr>
          <w:p>
            <w:pPr>
              <w:pStyle w:val="ContentsText"/>
              <w:jc w:val="right"/>
            </w:pPr>
            <w:fldSimple w:instr=" PAGEREF SEC_1909 \h ">
              <w:r>
                <w:t>107</w:t>
              </w:r>
            </w:fldSimple>
          </w:p>
        </w:tc>
      </w:tr>
      <w:tr>
        <w:trPr>
          <w:cantSplit/>
        </w:trPr>
        <w:tc>
          <w:tcPr>
            <w:tcW w:type="dxa" w:w="9000"/>
            <w:vAlign w:val="top"/>
          </w:tcPr>
          <w:p>
            <w:pPr>
              <w:pStyle w:val="ContentsText"/>
              <w:ind w:left="216"/>
            </w:pPr>
            <w:hyperlink w:anchor="SEC_1910" w:history="1">
              <w:r>
                <w:rPr>
                  <w:rFonts w:ascii="Liberation Serif" w:hAnsi="Liberation Serif"/>
                  <w:color w:val="111111"/>
                  <w:sz w:val="19"/>
                </w:rPr>
                <w:t>Sec. 1910. enforcement and sectoral coordination.</w:t>
              </w:r>
            </w:hyperlink>
          </w:p>
        </w:tc>
        <w:tc>
          <w:tcPr>
            <w:tcW w:type="dxa" w:w="648"/>
            <w:vAlign w:val="top"/>
          </w:tcPr>
          <w:p>
            <w:pPr>
              <w:pStyle w:val="ContentsText"/>
              <w:jc w:val="right"/>
            </w:pPr>
            <w:fldSimple w:instr=" PAGEREF SEC_1910 \h ">
              <w:r>
                <w:t>108</w:t>
              </w:r>
            </w:fldSimple>
          </w:p>
        </w:tc>
      </w:tr>
      <w:tr>
        <w:trPr>
          <w:cantSplit/>
        </w:trPr>
        <w:tc>
          <w:tcPr>
            <w:tcW w:type="dxa" w:w="9000"/>
            <w:vAlign w:val="top"/>
          </w:tcPr>
          <w:p>
            <w:pPr>
              <w:pStyle w:val="ContentsText"/>
              <w:keepNext/>
              <w:spacing w:before="100"/>
            </w:pPr>
            <w:hyperlink w:anchor="TITLE_XX" w:history="1">
              <w:r>
                <w:rPr>
                  <w:rFonts w:ascii="Liberation Serif" w:hAnsi="Liberation Serif"/>
                  <w:b/>
                  <w:color w:val="182C3D"/>
                  <w:sz w:val="19"/>
                </w:rPr>
                <w:t>TITLE XX. NEUROTECHNOLOGY, MENTAL PRIVACY, AND COGNITIVE LIBERTY</w:t>
              </w:r>
            </w:hyperlink>
          </w:p>
        </w:tc>
        <w:tc>
          <w:tcPr>
            <w:tcW w:type="dxa" w:w="648"/>
            <w:vAlign w:val="top"/>
          </w:tcPr>
          <w:p>
            <w:pPr>
              <w:pStyle w:val="ContentsText"/>
              <w:spacing w:before="100"/>
              <w:jc w:val="right"/>
            </w:pPr>
            <w:fldSimple w:instr=" PAGEREF TITLE_XX \h ">
              <w:r>
                <w:t>109</w:t>
              </w:r>
            </w:fldSimple>
          </w:p>
        </w:tc>
      </w:tr>
      <w:tr>
        <w:trPr>
          <w:cantSplit/>
        </w:trPr>
        <w:tc>
          <w:tcPr>
            <w:tcW w:type="dxa" w:w="9000"/>
            <w:vAlign w:val="top"/>
          </w:tcPr>
          <w:p>
            <w:pPr>
              <w:pStyle w:val="ContentsText"/>
              <w:ind w:left="216"/>
            </w:pPr>
            <w:hyperlink w:anchor="SEC_2001" w:history="1">
              <w:r>
                <w:rPr>
                  <w:rFonts w:ascii="Liberation Serif" w:hAnsi="Liberation Serif"/>
                  <w:color w:val="111111"/>
                  <w:sz w:val="19"/>
                </w:rPr>
                <w:t>Sec. 2001. definitions and scope of neurotechnology protections.</w:t>
              </w:r>
            </w:hyperlink>
          </w:p>
        </w:tc>
        <w:tc>
          <w:tcPr>
            <w:tcW w:type="dxa" w:w="648"/>
            <w:vAlign w:val="top"/>
          </w:tcPr>
          <w:p>
            <w:pPr>
              <w:pStyle w:val="ContentsText"/>
              <w:jc w:val="right"/>
            </w:pPr>
            <w:fldSimple w:instr=" PAGEREF SEC_2001 \h ">
              <w:r>
                <w:t>109</w:t>
              </w:r>
            </w:fldSimple>
          </w:p>
        </w:tc>
      </w:tr>
      <w:tr>
        <w:trPr>
          <w:cantSplit/>
        </w:trPr>
        <w:tc>
          <w:tcPr>
            <w:tcW w:type="dxa" w:w="9000"/>
            <w:vAlign w:val="top"/>
          </w:tcPr>
          <w:p>
            <w:pPr>
              <w:pStyle w:val="ContentsText"/>
              <w:ind w:left="216"/>
            </w:pPr>
            <w:hyperlink w:anchor="SEC_2002" w:history="1">
              <w:r>
                <w:rPr>
                  <w:rFonts w:ascii="Liberation Serif" w:hAnsi="Liberation Serif"/>
                  <w:color w:val="111111"/>
                  <w:sz w:val="19"/>
                </w:rPr>
                <w:t>Sec. 2002. mental privacy and nonconsensual interference.</w:t>
              </w:r>
            </w:hyperlink>
          </w:p>
        </w:tc>
        <w:tc>
          <w:tcPr>
            <w:tcW w:type="dxa" w:w="648"/>
            <w:vAlign w:val="top"/>
          </w:tcPr>
          <w:p>
            <w:pPr>
              <w:pStyle w:val="ContentsText"/>
              <w:jc w:val="right"/>
            </w:pPr>
            <w:fldSimple w:instr=" PAGEREF SEC_2002 \h ">
              <w:r>
                <w:t>109</w:t>
              </w:r>
            </w:fldSimple>
          </w:p>
        </w:tc>
      </w:tr>
      <w:tr>
        <w:trPr>
          <w:cantSplit/>
        </w:trPr>
        <w:tc>
          <w:tcPr>
            <w:tcW w:type="dxa" w:w="9000"/>
            <w:vAlign w:val="top"/>
          </w:tcPr>
          <w:p>
            <w:pPr>
              <w:pStyle w:val="ContentsText"/>
              <w:ind w:left="216"/>
            </w:pPr>
            <w:hyperlink w:anchor="SEC_2003" w:history="1">
              <w:r>
                <w:rPr>
                  <w:rFonts w:ascii="Liberation Serif" w:hAnsi="Liberation Serif"/>
                  <w:color w:val="111111"/>
                  <w:sz w:val="19"/>
                </w:rPr>
                <w:t>Sec. 2003. neurotechnology consent and decision support.</w:t>
              </w:r>
            </w:hyperlink>
          </w:p>
        </w:tc>
        <w:tc>
          <w:tcPr>
            <w:tcW w:type="dxa" w:w="648"/>
            <w:vAlign w:val="top"/>
          </w:tcPr>
          <w:p>
            <w:pPr>
              <w:pStyle w:val="ContentsText"/>
              <w:jc w:val="right"/>
            </w:pPr>
            <w:fldSimple w:instr=" PAGEREF SEC_2003 \h ">
              <w:r>
                <w:t>110</w:t>
              </w:r>
            </w:fldSimple>
          </w:p>
        </w:tc>
      </w:tr>
      <w:tr>
        <w:trPr>
          <w:cantSplit/>
        </w:trPr>
        <w:tc>
          <w:tcPr>
            <w:tcW w:type="dxa" w:w="9000"/>
            <w:vAlign w:val="top"/>
          </w:tcPr>
          <w:p>
            <w:pPr>
              <w:pStyle w:val="ContentsText"/>
              <w:ind w:left="216"/>
            </w:pPr>
            <w:hyperlink w:anchor="SEC_2004" w:history="1">
              <w:r>
                <w:rPr>
                  <w:rFonts w:ascii="Liberation Serif" w:hAnsi="Liberation Serif"/>
                  <w:color w:val="111111"/>
                  <w:sz w:val="19"/>
                </w:rPr>
                <w:t>Sec. 2004. employment, education, insurance, and coercion.</w:t>
              </w:r>
            </w:hyperlink>
          </w:p>
        </w:tc>
        <w:tc>
          <w:tcPr>
            <w:tcW w:type="dxa" w:w="648"/>
            <w:vAlign w:val="top"/>
          </w:tcPr>
          <w:p>
            <w:pPr>
              <w:pStyle w:val="ContentsText"/>
              <w:jc w:val="right"/>
            </w:pPr>
            <w:fldSimple w:instr=" PAGEREF SEC_2004 \h ">
              <w:r>
                <w:t>110</w:t>
              </w:r>
            </w:fldSimple>
          </w:p>
        </w:tc>
      </w:tr>
      <w:tr>
        <w:trPr>
          <w:cantSplit/>
        </w:trPr>
        <w:tc>
          <w:tcPr>
            <w:tcW w:type="dxa" w:w="9000"/>
            <w:vAlign w:val="top"/>
          </w:tcPr>
          <w:p>
            <w:pPr>
              <w:pStyle w:val="ContentsText"/>
              <w:ind w:left="216"/>
            </w:pPr>
            <w:hyperlink w:anchor="SEC_2005" w:history="1">
              <w:r>
                <w:rPr>
                  <w:rFonts w:ascii="Liberation Serif" w:hAnsi="Liberation Serif"/>
                  <w:color w:val="111111"/>
                  <w:sz w:val="19"/>
                </w:rPr>
                <w:t>Sec. 2005. neural data governance and security.</w:t>
              </w:r>
            </w:hyperlink>
          </w:p>
        </w:tc>
        <w:tc>
          <w:tcPr>
            <w:tcW w:type="dxa" w:w="648"/>
            <w:vAlign w:val="top"/>
          </w:tcPr>
          <w:p>
            <w:pPr>
              <w:pStyle w:val="ContentsText"/>
              <w:jc w:val="right"/>
            </w:pPr>
            <w:fldSimple w:instr=" PAGEREF SEC_2005 \h ">
              <w:r>
                <w:t>111</w:t>
              </w:r>
            </w:fldSimple>
          </w:p>
        </w:tc>
      </w:tr>
      <w:tr>
        <w:trPr>
          <w:cantSplit/>
        </w:trPr>
        <w:tc>
          <w:tcPr>
            <w:tcW w:type="dxa" w:w="9000"/>
            <w:vAlign w:val="top"/>
          </w:tcPr>
          <w:p>
            <w:pPr>
              <w:pStyle w:val="ContentsText"/>
              <w:ind w:left="216"/>
            </w:pPr>
            <w:hyperlink w:anchor="SEC_2006" w:history="1">
              <w:r>
                <w:rPr>
                  <w:rFonts w:ascii="Liberation Serif" w:hAnsi="Liberation Serif"/>
                  <w:color w:val="111111"/>
                  <w:sz w:val="19"/>
                </w:rPr>
                <w:t>Sec. 2006. clinical, assistive, and research applications.</w:t>
              </w:r>
            </w:hyperlink>
          </w:p>
        </w:tc>
        <w:tc>
          <w:tcPr>
            <w:tcW w:type="dxa" w:w="648"/>
            <w:vAlign w:val="top"/>
          </w:tcPr>
          <w:p>
            <w:pPr>
              <w:pStyle w:val="ContentsText"/>
              <w:jc w:val="right"/>
            </w:pPr>
            <w:fldSimple w:instr=" PAGEREF SEC_2006 \h ">
              <w:r>
                <w:t>111</w:t>
              </w:r>
            </w:fldSimple>
          </w:p>
        </w:tc>
      </w:tr>
      <w:tr>
        <w:trPr>
          <w:cantSplit/>
        </w:trPr>
        <w:tc>
          <w:tcPr>
            <w:tcW w:type="dxa" w:w="9000"/>
            <w:vAlign w:val="top"/>
          </w:tcPr>
          <w:p>
            <w:pPr>
              <w:pStyle w:val="ContentsText"/>
              <w:ind w:left="216"/>
            </w:pPr>
            <w:hyperlink w:anchor="SEC_2007" w:history="1">
              <w:r>
                <w:rPr>
                  <w:rFonts w:ascii="Liberation Serif" w:hAnsi="Liberation Serif"/>
                  <w:color w:val="111111"/>
                  <w:sz w:val="19"/>
                </w:rPr>
                <w:t>Sec. 2007. implants, long-term support, and sponsor exit.</w:t>
              </w:r>
            </w:hyperlink>
          </w:p>
        </w:tc>
        <w:tc>
          <w:tcPr>
            <w:tcW w:type="dxa" w:w="648"/>
            <w:vAlign w:val="top"/>
          </w:tcPr>
          <w:p>
            <w:pPr>
              <w:pStyle w:val="ContentsText"/>
              <w:jc w:val="right"/>
            </w:pPr>
            <w:fldSimple w:instr=" PAGEREF SEC_2007 \h ">
              <w:r>
                <w:t>112</w:t>
              </w:r>
            </w:fldSimple>
          </w:p>
        </w:tc>
      </w:tr>
      <w:tr>
        <w:trPr>
          <w:cantSplit/>
        </w:trPr>
        <w:tc>
          <w:tcPr>
            <w:tcW w:type="dxa" w:w="9000"/>
            <w:vAlign w:val="top"/>
          </w:tcPr>
          <w:p>
            <w:pPr>
              <w:pStyle w:val="ContentsText"/>
              <w:ind w:left="216"/>
            </w:pPr>
            <w:hyperlink w:anchor="SEC_2008" w:history="1">
              <w:r>
                <w:rPr>
                  <w:rFonts w:ascii="Liberation Serif" w:hAnsi="Liberation Serif"/>
                  <w:color w:val="111111"/>
                  <w:sz w:val="19"/>
                </w:rPr>
                <w:t>Sec. 2008. neural inference claims and independent validation.</w:t>
              </w:r>
            </w:hyperlink>
          </w:p>
        </w:tc>
        <w:tc>
          <w:tcPr>
            <w:tcW w:type="dxa" w:w="648"/>
            <w:vAlign w:val="top"/>
          </w:tcPr>
          <w:p>
            <w:pPr>
              <w:pStyle w:val="ContentsText"/>
              <w:jc w:val="right"/>
            </w:pPr>
            <w:fldSimple w:instr=" PAGEREF SEC_2008 \h ">
              <w:r>
                <w:t>112</w:t>
              </w:r>
            </w:fldSimple>
          </w:p>
        </w:tc>
      </w:tr>
      <w:tr>
        <w:trPr>
          <w:cantSplit/>
        </w:trPr>
        <w:tc>
          <w:tcPr>
            <w:tcW w:type="dxa" w:w="9000"/>
            <w:vAlign w:val="top"/>
          </w:tcPr>
          <w:p>
            <w:pPr>
              <w:pStyle w:val="ContentsText"/>
              <w:ind w:left="216"/>
            </w:pPr>
            <w:hyperlink w:anchor="SEC_2009" w:history="1">
              <w:r>
                <w:rPr>
                  <w:rFonts w:ascii="Liberation Serif" w:hAnsi="Liberation Serif"/>
                  <w:color w:val="111111"/>
                  <w:sz w:val="19"/>
                </w:rPr>
                <w:t>Sec. 2009. international neurotechnology cooperation.</w:t>
              </w:r>
            </w:hyperlink>
          </w:p>
        </w:tc>
        <w:tc>
          <w:tcPr>
            <w:tcW w:type="dxa" w:w="648"/>
            <w:vAlign w:val="top"/>
          </w:tcPr>
          <w:p>
            <w:pPr>
              <w:pStyle w:val="ContentsText"/>
              <w:jc w:val="right"/>
            </w:pPr>
            <w:fldSimple w:instr=" PAGEREF SEC_2009 \h ">
              <w:r>
                <w:t>112</w:t>
              </w:r>
            </w:fldSimple>
          </w:p>
        </w:tc>
      </w:tr>
      <w:tr>
        <w:trPr>
          <w:cantSplit/>
        </w:trPr>
        <w:tc>
          <w:tcPr>
            <w:tcW w:type="dxa" w:w="9000"/>
            <w:vAlign w:val="top"/>
          </w:tcPr>
          <w:p>
            <w:pPr>
              <w:pStyle w:val="ContentsText"/>
              <w:ind w:left="216"/>
            </w:pPr>
            <w:hyperlink w:anchor="SEC_2010" w:history="1">
              <w:r>
                <w:rPr>
                  <w:rFonts w:ascii="Liberation Serif" w:hAnsi="Liberation Serif"/>
                  <w:color w:val="111111"/>
                  <w:sz w:val="19"/>
                </w:rPr>
                <w:t>Sec. 2010. neurotechnology enforcement and review.</w:t>
              </w:r>
            </w:hyperlink>
          </w:p>
        </w:tc>
        <w:tc>
          <w:tcPr>
            <w:tcW w:type="dxa" w:w="648"/>
            <w:vAlign w:val="top"/>
          </w:tcPr>
          <w:p>
            <w:pPr>
              <w:pStyle w:val="ContentsText"/>
              <w:jc w:val="right"/>
            </w:pPr>
            <w:fldSimple w:instr=" PAGEREF SEC_2010 \h ">
              <w:r>
                <w:t>113</w:t>
              </w:r>
            </w:fldSimple>
          </w:p>
        </w:tc>
      </w:tr>
      <w:tr>
        <w:trPr>
          <w:cantSplit/>
        </w:trPr>
        <w:tc>
          <w:tcPr>
            <w:tcW w:type="dxa" w:w="9000"/>
            <w:vAlign w:val="top"/>
          </w:tcPr>
          <w:p>
            <w:pPr>
              <w:pStyle w:val="ContentsText"/>
              <w:keepNext/>
              <w:spacing w:before="100"/>
            </w:pPr>
            <w:hyperlink w:anchor="TITLE_XXI" w:history="1">
              <w:r>
                <w:rPr>
                  <w:rFonts w:ascii="Liberation Serif" w:hAnsi="Liberation Serif"/>
                  <w:b/>
                  <w:color w:val="182C3D"/>
                  <w:sz w:val="19"/>
                </w:rPr>
                <w:t>TITLE XXI. GENETICS, BIOTECHNOLOGY, AND RESPONSIBLE HUMAN ENHANCEMENT</w:t>
              </w:r>
            </w:hyperlink>
          </w:p>
        </w:tc>
        <w:tc>
          <w:tcPr>
            <w:tcW w:type="dxa" w:w="648"/>
            <w:vAlign w:val="top"/>
          </w:tcPr>
          <w:p>
            <w:pPr>
              <w:pStyle w:val="ContentsText"/>
              <w:spacing w:before="100"/>
              <w:jc w:val="right"/>
            </w:pPr>
            <w:fldSimple w:instr=" PAGEREF TITLE_XXI \h ">
              <w:r>
                <w:t>114</w:t>
              </w:r>
            </w:fldSimple>
          </w:p>
        </w:tc>
      </w:tr>
      <w:tr>
        <w:trPr>
          <w:cantSplit/>
        </w:trPr>
        <w:tc>
          <w:tcPr>
            <w:tcW w:type="dxa" w:w="9000"/>
            <w:vAlign w:val="top"/>
          </w:tcPr>
          <w:p>
            <w:pPr>
              <w:pStyle w:val="ContentsText"/>
              <w:ind w:left="216"/>
            </w:pPr>
            <w:hyperlink w:anchor="SEC_2101" w:history="1">
              <w:r>
                <w:rPr>
                  <w:rFonts w:ascii="Liberation Serif" w:hAnsi="Liberation Serif"/>
                  <w:color w:val="111111"/>
                  <w:sz w:val="19"/>
                </w:rPr>
                <w:t>Sec. 2101. scope and definitions.</w:t>
              </w:r>
            </w:hyperlink>
          </w:p>
        </w:tc>
        <w:tc>
          <w:tcPr>
            <w:tcW w:type="dxa" w:w="648"/>
            <w:vAlign w:val="top"/>
          </w:tcPr>
          <w:p>
            <w:pPr>
              <w:pStyle w:val="ContentsText"/>
              <w:jc w:val="right"/>
            </w:pPr>
            <w:fldSimple w:instr=" PAGEREF SEC_2101 \h ">
              <w:r>
                <w:t>114</w:t>
              </w:r>
            </w:fldSimple>
          </w:p>
        </w:tc>
      </w:tr>
      <w:tr>
        <w:trPr>
          <w:cantSplit/>
        </w:trPr>
        <w:tc>
          <w:tcPr>
            <w:tcW w:type="dxa" w:w="9000"/>
            <w:vAlign w:val="top"/>
          </w:tcPr>
          <w:p>
            <w:pPr>
              <w:pStyle w:val="ContentsText"/>
              <w:ind w:left="216"/>
            </w:pPr>
            <w:hyperlink w:anchor="SEC_2102" w:history="1">
              <w:r>
                <w:rPr>
                  <w:rFonts w:ascii="Liberation Serif" w:hAnsi="Liberation Serif"/>
                  <w:color w:val="111111"/>
                  <w:sz w:val="19"/>
                </w:rPr>
                <w:t>Sec. 2102. genetic privacy, counseling, and informed choice.</w:t>
              </w:r>
            </w:hyperlink>
          </w:p>
        </w:tc>
        <w:tc>
          <w:tcPr>
            <w:tcW w:type="dxa" w:w="648"/>
            <w:vAlign w:val="top"/>
          </w:tcPr>
          <w:p>
            <w:pPr>
              <w:pStyle w:val="ContentsText"/>
              <w:jc w:val="right"/>
            </w:pPr>
            <w:fldSimple w:instr=" PAGEREF SEC_2102 \h ">
              <w:r>
                <w:t>114</w:t>
              </w:r>
            </w:fldSimple>
          </w:p>
        </w:tc>
      </w:tr>
      <w:tr>
        <w:trPr>
          <w:cantSplit/>
        </w:trPr>
        <w:tc>
          <w:tcPr>
            <w:tcW w:type="dxa" w:w="9000"/>
            <w:vAlign w:val="top"/>
          </w:tcPr>
          <w:p>
            <w:pPr>
              <w:pStyle w:val="ContentsText"/>
              <w:ind w:left="216"/>
            </w:pPr>
            <w:hyperlink w:anchor="SEC_2103" w:history="1">
              <w:r>
                <w:rPr>
                  <w:rFonts w:ascii="Liberation Serif" w:hAnsi="Liberation Serif"/>
                  <w:color w:val="111111"/>
                  <w:sz w:val="19"/>
                </w:rPr>
                <w:t>Sec. 2103. somatic therapies and beneficial biomedical innovation.</w:t>
              </w:r>
            </w:hyperlink>
          </w:p>
        </w:tc>
        <w:tc>
          <w:tcPr>
            <w:tcW w:type="dxa" w:w="648"/>
            <w:vAlign w:val="top"/>
          </w:tcPr>
          <w:p>
            <w:pPr>
              <w:pStyle w:val="ContentsText"/>
              <w:jc w:val="right"/>
            </w:pPr>
            <w:fldSimple w:instr=" PAGEREF SEC_2103 \h ">
              <w:r>
                <w:t>115</w:t>
              </w:r>
            </w:fldSimple>
          </w:p>
        </w:tc>
      </w:tr>
      <w:tr>
        <w:trPr>
          <w:cantSplit/>
        </w:trPr>
        <w:tc>
          <w:tcPr>
            <w:tcW w:type="dxa" w:w="9000"/>
            <w:vAlign w:val="top"/>
          </w:tcPr>
          <w:p>
            <w:pPr>
              <w:pStyle w:val="ContentsText"/>
              <w:ind w:left="216"/>
            </w:pPr>
            <w:hyperlink w:anchor="SEC_2104" w:history="1">
              <w:r>
                <w:rPr>
                  <w:rFonts w:ascii="Liberation Serif" w:hAnsi="Liberation Serif"/>
                  <w:color w:val="111111"/>
                  <w:sz w:val="19"/>
                </w:rPr>
                <w:t>Sec. 2104. time-limited restriction on clinical heritable editing.</w:t>
              </w:r>
            </w:hyperlink>
          </w:p>
        </w:tc>
        <w:tc>
          <w:tcPr>
            <w:tcW w:type="dxa" w:w="648"/>
            <w:vAlign w:val="top"/>
          </w:tcPr>
          <w:p>
            <w:pPr>
              <w:pStyle w:val="ContentsText"/>
              <w:jc w:val="right"/>
            </w:pPr>
            <w:fldSimple w:instr=" PAGEREF SEC_2104 \h ">
              <w:r>
                <w:t>115</w:t>
              </w:r>
            </w:fldSimple>
          </w:p>
        </w:tc>
      </w:tr>
      <w:tr>
        <w:trPr>
          <w:cantSplit/>
        </w:trPr>
        <w:tc>
          <w:tcPr>
            <w:tcW w:type="dxa" w:w="9000"/>
            <w:vAlign w:val="top"/>
          </w:tcPr>
          <w:p>
            <w:pPr>
              <w:pStyle w:val="ContentsText"/>
              <w:ind w:left="216"/>
            </w:pPr>
            <w:hyperlink w:anchor="SEC_2105" w:history="1">
              <w:r>
                <w:rPr>
                  <w:rFonts w:ascii="Liberation Serif" w:hAnsi="Liberation Serif"/>
                  <w:color w:val="111111"/>
                  <w:sz w:val="19"/>
                </w:rPr>
                <w:t>Sec. 2105. review of heritable interventions and future generations.</w:t>
              </w:r>
            </w:hyperlink>
          </w:p>
        </w:tc>
        <w:tc>
          <w:tcPr>
            <w:tcW w:type="dxa" w:w="648"/>
            <w:vAlign w:val="top"/>
          </w:tcPr>
          <w:p>
            <w:pPr>
              <w:pStyle w:val="ContentsText"/>
              <w:jc w:val="right"/>
            </w:pPr>
            <w:fldSimple w:instr=" PAGEREF SEC_2105 \h ">
              <w:r>
                <w:t>116</w:t>
              </w:r>
            </w:fldSimple>
          </w:p>
        </w:tc>
      </w:tr>
      <w:tr>
        <w:trPr>
          <w:cantSplit/>
        </w:trPr>
        <w:tc>
          <w:tcPr>
            <w:tcW w:type="dxa" w:w="9000"/>
            <w:vAlign w:val="top"/>
          </w:tcPr>
          <w:p>
            <w:pPr>
              <w:pStyle w:val="ContentsText"/>
              <w:ind w:left="216"/>
            </w:pPr>
            <w:hyperlink w:anchor="SEC_2106" w:history="1">
              <w:r>
                <w:rPr>
                  <w:rFonts w:ascii="Liberation Serif" w:hAnsi="Liberation Serif"/>
                  <w:color w:val="111111"/>
                  <w:sz w:val="19"/>
                </w:rPr>
                <w:t>Sec. 2106. reproductive technologies and patient safeguards.</w:t>
              </w:r>
            </w:hyperlink>
          </w:p>
        </w:tc>
        <w:tc>
          <w:tcPr>
            <w:tcW w:type="dxa" w:w="648"/>
            <w:vAlign w:val="top"/>
          </w:tcPr>
          <w:p>
            <w:pPr>
              <w:pStyle w:val="ContentsText"/>
              <w:jc w:val="right"/>
            </w:pPr>
            <w:fldSimple w:instr=" PAGEREF SEC_2106 \h ">
              <w:r>
                <w:t>116</w:t>
              </w:r>
            </w:fldSimple>
          </w:p>
        </w:tc>
      </w:tr>
      <w:tr>
        <w:trPr>
          <w:cantSplit/>
        </w:trPr>
        <w:tc>
          <w:tcPr>
            <w:tcW w:type="dxa" w:w="9000"/>
            <w:vAlign w:val="top"/>
          </w:tcPr>
          <w:p>
            <w:pPr>
              <w:pStyle w:val="ContentsText"/>
              <w:ind w:left="216"/>
            </w:pPr>
            <w:hyperlink w:anchor="SEC_2107" w:history="1">
              <w:r>
                <w:rPr>
                  <w:rFonts w:ascii="Liberation Serif" w:hAnsi="Liberation Serif"/>
                  <w:color w:val="111111"/>
                  <w:sz w:val="19"/>
                </w:rPr>
                <w:t>Sec. 2107. voluntary enhancement, coercion, and fair access research.</w:t>
              </w:r>
            </w:hyperlink>
          </w:p>
        </w:tc>
        <w:tc>
          <w:tcPr>
            <w:tcW w:type="dxa" w:w="648"/>
            <w:vAlign w:val="top"/>
          </w:tcPr>
          <w:p>
            <w:pPr>
              <w:pStyle w:val="ContentsText"/>
              <w:jc w:val="right"/>
            </w:pPr>
            <w:fldSimple w:instr=" PAGEREF SEC_2107 \h ">
              <w:r>
                <w:t>116</w:t>
              </w:r>
            </w:fldSimple>
          </w:p>
        </w:tc>
      </w:tr>
      <w:tr>
        <w:trPr>
          <w:cantSplit/>
        </w:trPr>
        <w:tc>
          <w:tcPr>
            <w:tcW w:type="dxa" w:w="9000"/>
            <w:vAlign w:val="top"/>
          </w:tcPr>
          <w:p>
            <w:pPr>
              <w:pStyle w:val="ContentsText"/>
              <w:ind w:left="216"/>
            </w:pPr>
            <w:hyperlink w:anchor="SEC_2108" w:history="1">
              <w:r>
                <w:rPr>
                  <w:rFonts w:ascii="Liberation Serif" w:hAnsi="Liberation Serif"/>
                  <w:color w:val="111111"/>
                  <w:sz w:val="19"/>
                </w:rPr>
                <w:t>Sec. 2108. biobanks, genomic repositories, and benefit sharing.</w:t>
              </w:r>
            </w:hyperlink>
          </w:p>
        </w:tc>
        <w:tc>
          <w:tcPr>
            <w:tcW w:type="dxa" w:w="648"/>
            <w:vAlign w:val="top"/>
          </w:tcPr>
          <w:p>
            <w:pPr>
              <w:pStyle w:val="ContentsText"/>
              <w:jc w:val="right"/>
            </w:pPr>
            <w:fldSimple w:instr=" PAGEREF SEC_2108 \h ">
              <w:r>
                <w:t>117</w:t>
              </w:r>
            </w:fldSimple>
          </w:p>
        </w:tc>
      </w:tr>
      <w:tr>
        <w:trPr>
          <w:cantSplit/>
        </w:trPr>
        <w:tc>
          <w:tcPr>
            <w:tcW w:type="dxa" w:w="9000"/>
            <w:vAlign w:val="top"/>
          </w:tcPr>
          <w:p>
            <w:pPr>
              <w:pStyle w:val="ContentsText"/>
              <w:ind w:left="216"/>
            </w:pPr>
            <w:hyperlink w:anchor="SEC_2109" w:history="1">
              <w:r>
                <w:rPr>
                  <w:rFonts w:ascii="Liberation Serif" w:hAnsi="Liberation Serif"/>
                  <w:color w:val="111111"/>
                  <w:sz w:val="19"/>
                </w:rPr>
                <w:t>Sec. 2109. biosafety, biosecurity, and responsible public communication.</w:t>
              </w:r>
            </w:hyperlink>
          </w:p>
        </w:tc>
        <w:tc>
          <w:tcPr>
            <w:tcW w:type="dxa" w:w="648"/>
            <w:vAlign w:val="top"/>
          </w:tcPr>
          <w:p>
            <w:pPr>
              <w:pStyle w:val="ContentsText"/>
              <w:jc w:val="right"/>
            </w:pPr>
            <w:fldSimple w:instr=" PAGEREF SEC_2109 \h ">
              <w:r>
                <w:t>117</w:t>
              </w:r>
            </w:fldSimple>
          </w:p>
        </w:tc>
      </w:tr>
      <w:tr>
        <w:trPr>
          <w:cantSplit/>
        </w:trPr>
        <w:tc>
          <w:tcPr>
            <w:tcW w:type="dxa" w:w="9000"/>
            <w:vAlign w:val="top"/>
          </w:tcPr>
          <w:p>
            <w:pPr>
              <w:pStyle w:val="ContentsText"/>
              <w:ind w:left="216"/>
            </w:pPr>
            <w:hyperlink w:anchor="SEC_2110" w:history="1">
              <w:r>
                <w:rPr>
                  <w:rFonts w:ascii="Liberation Serif" w:hAnsi="Liberation Serif"/>
                  <w:color w:val="111111"/>
                  <w:sz w:val="19"/>
                </w:rPr>
                <w:t>Sec. 2110. biotechnology accountability and legal review.</w:t>
              </w:r>
            </w:hyperlink>
          </w:p>
        </w:tc>
        <w:tc>
          <w:tcPr>
            <w:tcW w:type="dxa" w:w="648"/>
            <w:vAlign w:val="top"/>
          </w:tcPr>
          <w:p>
            <w:pPr>
              <w:pStyle w:val="ContentsText"/>
              <w:jc w:val="right"/>
            </w:pPr>
            <w:fldSimple w:instr=" PAGEREF SEC_2110 \h ">
              <w:r>
                <w:t>118</w:t>
              </w:r>
            </w:fldSimple>
          </w:p>
        </w:tc>
      </w:tr>
      <w:tr>
        <w:trPr>
          <w:cantSplit/>
        </w:trPr>
        <w:tc>
          <w:tcPr>
            <w:tcW w:type="dxa" w:w="9000"/>
            <w:vAlign w:val="top"/>
          </w:tcPr>
          <w:p>
            <w:pPr>
              <w:pStyle w:val="ContentsText"/>
              <w:keepNext/>
              <w:spacing w:before="100"/>
            </w:pPr>
            <w:hyperlink w:anchor="TITLE_XXII" w:history="1">
              <w:r>
                <w:rPr>
                  <w:rFonts w:ascii="Liberation Serif" w:hAnsi="Liberation Serif"/>
                  <w:b/>
                  <w:color w:val="182C3D"/>
                  <w:sz w:val="19"/>
                </w:rPr>
                <w:t>TITLE XXII. HUMAN COMPATIBILITY ASSESSMENT AND STAGED DEPLOYMENT</w:t>
              </w:r>
            </w:hyperlink>
          </w:p>
        </w:tc>
        <w:tc>
          <w:tcPr>
            <w:tcW w:type="dxa" w:w="648"/>
            <w:vAlign w:val="top"/>
          </w:tcPr>
          <w:p>
            <w:pPr>
              <w:pStyle w:val="ContentsText"/>
              <w:spacing w:before="100"/>
              <w:jc w:val="right"/>
            </w:pPr>
            <w:fldSimple w:instr=" PAGEREF TITLE_XXII \h ">
              <w:r>
                <w:t>119</w:t>
              </w:r>
            </w:fldSimple>
          </w:p>
        </w:tc>
      </w:tr>
      <w:tr>
        <w:trPr>
          <w:cantSplit/>
        </w:trPr>
        <w:tc>
          <w:tcPr>
            <w:tcW w:type="dxa" w:w="9000"/>
            <w:vAlign w:val="top"/>
          </w:tcPr>
          <w:p>
            <w:pPr>
              <w:pStyle w:val="ContentsText"/>
              <w:ind w:left="216"/>
            </w:pPr>
            <w:hyperlink w:anchor="SEC_2201" w:history="1">
              <w:r>
                <w:rPr>
                  <w:rFonts w:ascii="Liberation Serif" w:hAnsi="Liberation Serif"/>
                  <w:color w:val="111111"/>
                  <w:sz w:val="19"/>
                </w:rPr>
                <w:t>Sec. 2201. purpose, closed scope, and no general innovation veto.</w:t>
              </w:r>
            </w:hyperlink>
          </w:p>
        </w:tc>
        <w:tc>
          <w:tcPr>
            <w:tcW w:type="dxa" w:w="648"/>
            <w:vAlign w:val="top"/>
          </w:tcPr>
          <w:p>
            <w:pPr>
              <w:pStyle w:val="ContentsText"/>
              <w:jc w:val="right"/>
            </w:pPr>
            <w:fldSimple w:instr=" PAGEREF SEC_2201 \h ">
              <w:r>
                <w:t>119</w:t>
              </w:r>
            </w:fldSimple>
          </w:p>
        </w:tc>
      </w:tr>
      <w:tr>
        <w:trPr>
          <w:cantSplit/>
        </w:trPr>
        <w:tc>
          <w:tcPr>
            <w:tcW w:type="dxa" w:w="9000"/>
            <w:vAlign w:val="top"/>
          </w:tcPr>
          <w:p>
            <w:pPr>
              <w:pStyle w:val="ContentsText"/>
              <w:ind w:left="216"/>
            </w:pPr>
            <w:hyperlink w:anchor="SEC_2202" w:history="1">
              <w:r>
                <w:rPr>
                  <w:rFonts w:ascii="Liberation Serif" w:hAnsi="Liberation Serif"/>
                  <w:color w:val="111111"/>
                  <w:sz w:val="19"/>
                </w:rPr>
                <w:t>Sec. 2202. human compatibility assessment content.</w:t>
              </w:r>
            </w:hyperlink>
          </w:p>
        </w:tc>
        <w:tc>
          <w:tcPr>
            <w:tcW w:type="dxa" w:w="648"/>
            <w:vAlign w:val="top"/>
          </w:tcPr>
          <w:p>
            <w:pPr>
              <w:pStyle w:val="ContentsText"/>
              <w:jc w:val="right"/>
            </w:pPr>
            <w:fldSimple w:instr=" PAGEREF SEC_2202 \h ">
              <w:r>
                <w:t>119</w:t>
              </w:r>
            </w:fldSimple>
          </w:p>
        </w:tc>
      </w:tr>
      <w:tr>
        <w:trPr>
          <w:cantSplit/>
        </w:trPr>
        <w:tc>
          <w:tcPr>
            <w:tcW w:type="dxa" w:w="9000"/>
            <w:vAlign w:val="top"/>
          </w:tcPr>
          <w:p>
            <w:pPr>
              <w:pStyle w:val="ContentsText"/>
              <w:ind w:left="216"/>
            </w:pPr>
            <w:hyperlink w:anchor="SEC_2203" w:history="1">
              <w:r>
                <w:rPr>
                  <w:rFonts w:ascii="Liberation Serif" w:hAnsi="Liberation Serif"/>
                  <w:color w:val="111111"/>
                  <w:sz w:val="19"/>
                </w:rPr>
                <w:t>Sec. 2203. predeployment notice and staged implementation.</w:t>
              </w:r>
            </w:hyperlink>
          </w:p>
        </w:tc>
        <w:tc>
          <w:tcPr>
            <w:tcW w:type="dxa" w:w="648"/>
            <w:vAlign w:val="top"/>
          </w:tcPr>
          <w:p>
            <w:pPr>
              <w:pStyle w:val="ContentsText"/>
              <w:jc w:val="right"/>
            </w:pPr>
            <w:fldSimple w:instr=" PAGEREF SEC_2203 \h ">
              <w:r>
                <w:t>120</w:t>
              </w:r>
            </w:fldSimple>
          </w:p>
        </w:tc>
      </w:tr>
      <w:tr>
        <w:trPr>
          <w:cantSplit/>
        </w:trPr>
        <w:tc>
          <w:tcPr>
            <w:tcW w:type="dxa" w:w="9000"/>
            <w:vAlign w:val="top"/>
          </w:tcPr>
          <w:p>
            <w:pPr>
              <w:pStyle w:val="ContentsText"/>
              <w:ind w:left="216"/>
            </w:pPr>
            <w:hyperlink w:anchor="SEC_2204" w:history="1">
              <w:r>
                <w:rPr>
                  <w:rFonts w:ascii="Liberation Serif" w:hAnsi="Liberation Serif"/>
                  <w:color w:val="111111"/>
                  <w:sz w:val="19"/>
                </w:rPr>
                <w:t>Sec. 2204. materiality, benefits of innovation, and proportionality.</w:t>
              </w:r>
            </w:hyperlink>
          </w:p>
        </w:tc>
        <w:tc>
          <w:tcPr>
            <w:tcW w:type="dxa" w:w="648"/>
            <w:vAlign w:val="top"/>
          </w:tcPr>
          <w:p>
            <w:pPr>
              <w:pStyle w:val="ContentsText"/>
              <w:jc w:val="right"/>
            </w:pPr>
            <w:fldSimple w:instr=" PAGEREF SEC_2204 \h ">
              <w:r>
                <w:t>120</w:t>
              </w:r>
            </w:fldSimple>
          </w:p>
        </w:tc>
      </w:tr>
      <w:tr>
        <w:trPr>
          <w:cantSplit/>
        </w:trPr>
        <w:tc>
          <w:tcPr>
            <w:tcW w:type="dxa" w:w="9000"/>
            <w:vAlign w:val="top"/>
          </w:tcPr>
          <w:p>
            <w:pPr>
              <w:pStyle w:val="ContentsText"/>
              <w:ind w:left="216"/>
            </w:pPr>
            <w:hyperlink w:anchor="SEC_2205" w:history="1">
              <w:r>
                <w:rPr>
                  <w:rFonts w:ascii="Liberation Serif" w:hAnsi="Liberation Serif"/>
                  <w:color w:val="111111"/>
                  <w:sz w:val="19"/>
                </w:rPr>
                <w:t>Sec. 2205. ordinary protective proceedings.</w:t>
              </w:r>
            </w:hyperlink>
          </w:p>
        </w:tc>
        <w:tc>
          <w:tcPr>
            <w:tcW w:type="dxa" w:w="648"/>
            <w:vAlign w:val="top"/>
          </w:tcPr>
          <w:p>
            <w:pPr>
              <w:pStyle w:val="ContentsText"/>
              <w:jc w:val="right"/>
            </w:pPr>
            <w:fldSimple w:instr=" PAGEREF SEC_2205 \h ">
              <w:r>
                <w:t>120</w:t>
              </w:r>
            </w:fldSimple>
          </w:p>
        </w:tc>
      </w:tr>
      <w:tr>
        <w:trPr>
          <w:cantSplit/>
        </w:trPr>
        <w:tc>
          <w:tcPr>
            <w:tcW w:type="dxa" w:w="9000"/>
            <w:vAlign w:val="top"/>
          </w:tcPr>
          <w:p>
            <w:pPr>
              <w:pStyle w:val="ContentsText"/>
              <w:ind w:left="216"/>
            </w:pPr>
            <w:hyperlink w:anchor="SEC_2206" w:history="1">
              <w:r>
                <w:rPr>
                  <w:rFonts w:ascii="Liberation Serif" w:hAnsi="Liberation Serif"/>
                  <w:color w:val="111111"/>
                  <w:sz w:val="19"/>
                </w:rPr>
                <w:t>Sec. 2206. emergency interim orders.</w:t>
              </w:r>
            </w:hyperlink>
          </w:p>
        </w:tc>
        <w:tc>
          <w:tcPr>
            <w:tcW w:type="dxa" w:w="648"/>
            <w:vAlign w:val="top"/>
          </w:tcPr>
          <w:p>
            <w:pPr>
              <w:pStyle w:val="ContentsText"/>
              <w:jc w:val="right"/>
            </w:pPr>
            <w:fldSimple w:instr=" PAGEREF SEC_2206 \h ">
              <w:r>
                <w:t>121</w:t>
              </w:r>
            </w:fldSimple>
          </w:p>
        </w:tc>
      </w:tr>
      <w:tr>
        <w:trPr>
          <w:cantSplit/>
        </w:trPr>
        <w:tc>
          <w:tcPr>
            <w:tcW w:type="dxa" w:w="9000"/>
            <w:vAlign w:val="top"/>
          </w:tcPr>
          <w:p>
            <w:pPr>
              <w:pStyle w:val="ContentsText"/>
              <w:ind w:left="216"/>
            </w:pPr>
            <w:hyperlink w:anchor="SEC_2207" w:history="1">
              <w:r>
                <w:rPr>
                  <w:rFonts w:ascii="Liberation Serif" w:hAnsi="Liberation Serif"/>
                  <w:color w:val="111111"/>
                  <w:sz w:val="19"/>
                </w:rPr>
                <w:t>Sec. 2207. sandboxes, pilots, and no rights waiver.</w:t>
              </w:r>
            </w:hyperlink>
          </w:p>
        </w:tc>
        <w:tc>
          <w:tcPr>
            <w:tcW w:type="dxa" w:w="648"/>
            <w:vAlign w:val="top"/>
          </w:tcPr>
          <w:p>
            <w:pPr>
              <w:pStyle w:val="ContentsText"/>
              <w:jc w:val="right"/>
            </w:pPr>
            <w:fldSimple w:instr=" PAGEREF SEC_2207 \h ">
              <w:r>
                <w:t>121</w:t>
              </w:r>
            </w:fldSimple>
          </w:p>
        </w:tc>
      </w:tr>
      <w:tr>
        <w:trPr>
          <w:cantSplit/>
        </w:trPr>
        <w:tc>
          <w:tcPr>
            <w:tcW w:type="dxa" w:w="9000"/>
            <w:vAlign w:val="top"/>
          </w:tcPr>
          <w:p>
            <w:pPr>
              <w:pStyle w:val="ContentsText"/>
              <w:ind w:left="216"/>
            </w:pPr>
            <w:hyperlink w:anchor="SEC_2208" w:history="1">
              <w:r>
                <w:rPr>
                  <w:rFonts w:ascii="Liberation Serif" w:hAnsi="Liberation Serif"/>
                  <w:color w:val="111111"/>
                  <w:sz w:val="19"/>
                </w:rPr>
                <w:t>Sec. 2208. independent testing and assessor integrity.</w:t>
              </w:r>
            </w:hyperlink>
          </w:p>
        </w:tc>
        <w:tc>
          <w:tcPr>
            <w:tcW w:type="dxa" w:w="648"/>
            <w:vAlign w:val="top"/>
          </w:tcPr>
          <w:p>
            <w:pPr>
              <w:pStyle w:val="ContentsText"/>
              <w:jc w:val="right"/>
            </w:pPr>
            <w:fldSimple w:instr=" PAGEREF SEC_2208 \h ">
              <w:r>
                <w:t>122</w:t>
              </w:r>
            </w:fldSimple>
          </w:p>
        </w:tc>
      </w:tr>
      <w:tr>
        <w:trPr>
          <w:cantSplit/>
        </w:trPr>
        <w:tc>
          <w:tcPr>
            <w:tcW w:type="dxa" w:w="9000"/>
            <w:vAlign w:val="top"/>
          </w:tcPr>
          <w:p>
            <w:pPr>
              <w:pStyle w:val="ContentsText"/>
              <w:ind w:left="216"/>
            </w:pPr>
            <w:hyperlink w:anchor="SEC_2209" w:history="1">
              <w:r>
                <w:rPr>
                  <w:rFonts w:ascii="Liberation Serif" w:hAnsi="Liberation Serif"/>
                  <w:color w:val="111111"/>
                  <w:sz w:val="19"/>
                </w:rPr>
                <w:t>Sec. 2209. public participation, confidentiality, and review.</w:t>
              </w:r>
            </w:hyperlink>
          </w:p>
        </w:tc>
        <w:tc>
          <w:tcPr>
            <w:tcW w:type="dxa" w:w="648"/>
            <w:vAlign w:val="top"/>
          </w:tcPr>
          <w:p>
            <w:pPr>
              <w:pStyle w:val="ContentsText"/>
              <w:jc w:val="right"/>
            </w:pPr>
            <w:fldSimple w:instr=" PAGEREF SEC_2209 \h ">
              <w:r>
                <w:t>122</w:t>
              </w:r>
            </w:fldSimple>
          </w:p>
        </w:tc>
      </w:tr>
      <w:tr>
        <w:trPr>
          <w:cantSplit/>
        </w:trPr>
        <w:tc>
          <w:tcPr>
            <w:tcW w:type="dxa" w:w="9000"/>
            <w:vAlign w:val="top"/>
          </w:tcPr>
          <w:p>
            <w:pPr>
              <w:pStyle w:val="ContentsText"/>
              <w:ind w:left="216"/>
            </w:pPr>
            <w:hyperlink w:anchor="SEC_2210" w:history="1">
              <w:r>
                <w:rPr>
                  <w:rFonts w:ascii="Liberation Serif" w:hAnsi="Liberation Serif"/>
                  <w:color w:val="111111"/>
                  <w:sz w:val="19"/>
                </w:rPr>
                <w:t>Sec. 2210. review of the compatibility system.</w:t>
              </w:r>
            </w:hyperlink>
          </w:p>
        </w:tc>
        <w:tc>
          <w:tcPr>
            <w:tcW w:type="dxa" w:w="648"/>
            <w:vAlign w:val="top"/>
          </w:tcPr>
          <w:p>
            <w:pPr>
              <w:pStyle w:val="ContentsText"/>
              <w:jc w:val="right"/>
            </w:pPr>
            <w:fldSimple w:instr=" PAGEREF SEC_2210 \h ">
              <w:r>
                <w:t>123</w:t>
              </w:r>
            </w:fldSimple>
          </w:p>
        </w:tc>
      </w:tr>
      <w:tr>
        <w:trPr>
          <w:cantSplit/>
        </w:trPr>
        <w:tc>
          <w:tcPr>
            <w:tcW w:type="dxa" w:w="9000"/>
            <w:vAlign w:val="top"/>
          </w:tcPr>
          <w:p>
            <w:pPr>
              <w:pStyle w:val="ContentsText"/>
              <w:keepNext/>
              <w:spacing w:before="100"/>
            </w:pPr>
            <w:hyperlink w:anchor="TITLE_XXIII" w:history="1">
              <w:r>
                <w:rPr>
                  <w:rFonts w:ascii="Liberation Serif" w:hAnsi="Liberation Serif"/>
                  <w:b/>
                  <w:color w:val="182C3D"/>
                  <w:sz w:val="19"/>
                </w:rPr>
                <w:t>TITLE XXIII. HUMAN DIGNITY IN INSTITUTIONS, PUBLIC SERVICES, AND EMERGENCIES</w:t>
              </w:r>
            </w:hyperlink>
          </w:p>
        </w:tc>
        <w:tc>
          <w:tcPr>
            <w:tcW w:type="dxa" w:w="648"/>
            <w:vAlign w:val="top"/>
          </w:tcPr>
          <w:p>
            <w:pPr>
              <w:pStyle w:val="ContentsText"/>
              <w:spacing w:before="100"/>
              <w:jc w:val="right"/>
            </w:pPr>
            <w:fldSimple w:instr=" PAGEREF TITLE_XXIII \h ">
              <w:r>
                <w:t>124</w:t>
              </w:r>
            </w:fldSimple>
          </w:p>
        </w:tc>
      </w:tr>
      <w:tr>
        <w:trPr>
          <w:cantSplit/>
        </w:trPr>
        <w:tc>
          <w:tcPr>
            <w:tcW w:type="dxa" w:w="9000"/>
            <w:vAlign w:val="top"/>
          </w:tcPr>
          <w:p>
            <w:pPr>
              <w:pStyle w:val="ContentsText"/>
              <w:ind w:left="216"/>
            </w:pPr>
            <w:hyperlink w:anchor="SEC_2301" w:history="1">
              <w:r>
                <w:rPr>
                  <w:rFonts w:ascii="Liberation Serif" w:hAnsi="Liberation Serif"/>
                  <w:color w:val="111111"/>
                  <w:sz w:val="19"/>
                </w:rPr>
                <w:t>Sec. 2301. covered institutions and responsible authorities.</w:t>
              </w:r>
            </w:hyperlink>
          </w:p>
        </w:tc>
        <w:tc>
          <w:tcPr>
            <w:tcW w:type="dxa" w:w="648"/>
            <w:vAlign w:val="top"/>
          </w:tcPr>
          <w:p>
            <w:pPr>
              <w:pStyle w:val="ContentsText"/>
              <w:jc w:val="right"/>
            </w:pPr>
            <w:fldSimple w:instr=" PAGEREF SEC_2301 \h ">
              <w:r>
                <w:t>124</w:t>
              </w:r>
            </w:fldSimple>
          </w:p>
        </w:tc>
      </w:tr>
      <w:tr>
        <w:trPr>
          <w:cantSplit/>
        </w:trPr>
        <w:tc>
          <w:tcPr>
            <w:tcW w:type="dxa" w:w="9000"/>
            <w:vAlign w:val="top"/>
          </w:tcPr>
          <w:p>
            <w:pPr>
              <w:pStyle w:val="ContentsText"/>
              <w:ind w:left="216"/>
            </w:pPr>
            <w:hyperlink w:anchor="SEC_2302" w:history="1">
              <w:r>
                <w:rPr>
                  <w:rFonts w:ascii="Liberation Serif" w:hAnsi="Liberation Serif"/>
                  <w:color w:val="111111"/>
                  <w:sz w:val="19"/>
                </w:rPr>
                <w:t>Sec. 2302. human access to essential federal services.</w:t>
              </w:r>
            </w:hyperlink>
          </w:p>
        </w:tc>
        <w:tc>
          <w:tcPr>
            <w:tcW w:type="dxa" w:w="648"/>
            <w:vAlign w:val="top"/>
          </w:tcPr>
          <w:p>
            <w:pPr>
              <w:pStyle w:val="ContentsText"/>
              <w:jc w:val="right"/>
            </w:pPr>
            <w:fldSimple w:instr=" PAGEREF SEC_2302 \h ">
              <w:r>
                <w:t>124</w:t>
              </w:r>
            </w:fldSimple>
          </w:p>
        </w:tc>
      </w:tr>
      <w:tr>
        <w:trPr>
          <w:cantSplit/>
        </w:trPr>
        <w:tc>
          <w:tcPr>
            <w:tcW w:type="dxa" w:w="9000"/>
            <w:vAlign w:val="top"/>
          </w:tcPr>
          <w:p>
            <w:pPr>
              <w:pStyle w:val="ContentsText"/>
              <w:ind w:left="216"/>
            </w:pPr>
            <w:hyperlink w:anchor="SEC_2303" w:history="1">
              <w:r>
                <w:rPr>
                  <w:rFonts w:ascii="Liberation Serif" w:hAnsi="Liberation Serif"/>
                  <w:color w:val="111111"/>
                  <w:sz w:val="19"/>
                </w:rPr>
                <w:t>Sec. 2303. dignity and health in federal custody.</w:t>
              </w:r>
            </w:hyperlink>
          </w:p>
        </w:tc>
        <w:tc>
          <w:tcPr>
            <w:tcW w:type="dxa" w:w="648"/>
            <w:vAlign w:val="top"/>
          </w:tcPr>
          <w:p>
            <w:pPr>
              <w:pStyle w:val="ContentsText"/>
              <w:jc w:val="right"/>
            </w:pPr>
            <w:fldSimple w:instr=" PAGEREF SEC_2303 \h ">
              <w:r>
                <w:t>125</w:t>
              </w:r>
            </w:fldSimple>
          </w:p>
        </w:tc>
      </w:tr>
      <w:tr>
        <w:trPr>
          <w:cantSplit/>
        </w:trPr>
        <w:tc>
          <w:tcPr>
            <w:tcW w:type="dxa" w:w="9000"/>
            <w:vAlign w:val="top"/>
          </w:tcPr>
          <w:p>
            <w:pPr>
              <w:pStyle w:val="ContentsText"/>
              <w:ind w:left="216"/>
            </w:pPr>
            <w:hyperlink w:anchor="SEC_2304" w:history="1">
              <w:r>
                <w:rPr>
                  <w:rFonts w:ascii="Liberation Serif" w:hAnsi="Liberation Serif"/>
                  <w:color w:val="111111"/>
                  <w:sz w:val="19"/>
                </w:rPr>
                <w:t>Sec. 2304. residential care, communication, and personal life.</w:t>
              </w:r>
            </w:hyperlink>
          </w:p>
        </w:tc>
        <w:tc>
          <w:tcPr>
            <w:tcW w:type="dxa" w:w="648"/>
            <w:vAlign w:val="top"/>
          </w:tcPr>
          <w:p>
            <w:pPr>
              <w:pStyle w:val="ContentsText"/>
              <w:jc w:val="right"/>
            </w:pPr>
            <w:fldSimple w:instr=" PAGEREF SEC_2304 \h ">
              <w:r>
                <w:t>125</w:t>
              </w:r>
            </w:fldSimple>
          </w:p>
        </w:tc>
      </w:tr>
      <w:tr>
        <w:trPr>
          <w:cantSplit/>
        </w:trPr>
        <w:tc>
          <w:tcPr>
            <w:tcW w:type="dxa" w:w="9000"/>
            <w:vAlign w:val="top"/>
          </w:tcPr>
          <w:p>
            <w:pPr>
              <w:pStyle w:val="ContentsText"/>
              <w:ind w:left="216"/>
            </w:pPr>
            <w:hyperlink w:anchor="SEC_2305" w:history="1">
              <w:r>
                <w:rPr>
                  <w:rFonts w:ascii="Liberation Serif" w:hAnsi="Liberation Serif"/>
                  <w:color w:val="111111"/>
                  <w:sz w:val="19"/>
                </w:rPr>
                <w:t>Sec. 2305. disaster shelters and continuity of human needs.</w:t>
              </w:r>
            </w:hyperlink>
          </w:p>
        </w:tc>
        <w:tc>
          <w:tcPr>
            <w:tcW w:type="dxa" w:w="648"/>
            <w:vAlign w:val="top"/>
          </w:tcPr>
          <w:p>
            <w:pPr>
              <w:pStyle w:val="ContentsText"/>
              <w:jc w:val="right"/>
            </w:pPr>
            <w:fldSimple w:instr=" PAGEREF SEC_2305 \h ">
              <w:r>
                <w:t>125</w:t>
              </w:r>
            </w:fldSimple>
          </w:p>
        </w:tc>
      </w:tr>
      <w:tr>
        <w:trPr>
          <w:cantSplit/>
        </w:trPr>
        <w:tc>
          <w:tcPr>
            <w:tcW w:type="dxa" w:w="9000"/>
            <w:vAlign w:val="top"/>
          </w:tcPr>
          <w:p>
            <w:pPr>
              <w:pStyle w:val="ContentsText"/>
              <w:ind w:left="216"/>
            </w:pPr>
            <w:hyperlink w:anchor="SEC_2306" w:history="1">
              <w:r>
                <w:rPr>
                  <w:rFonts w:ascii="Liberation Serif" w:hAnsi="Liberation Serif"/>
                  <w:color w:val="111111"/>
                  <w:sz w:val="19"/>
                </w:rPr>
                <w:t>Sec. 2306. relocation, displacement, and service continuity.</w:t>
              </w:r>
            </w:hyperlink>
          </w:p>
        </w:tc>
        <w:tc>
          <w:tcPr>
            <w:tcW w:type="dxa" w:w="648"/>
            <w:vAlign w:val="top"/>
          </w:tcPr>
          <w:p>
            <w:pPr>
              <w:pStyle w:val="ContentsText"/>
              <w:jc w:val="right"/>
            </w:pPr>
            <w:fldSimple w:instr=" PAGEREF SEC_2306 \h ">
              <w:r>
                <w:t>126</w:t>
              </w:r>
            </w:fldSimple>
          </w:p>
        </w:tc>
      </w:tr>
      <w:tr>
        <w:trPr>
          <w:cantSplit/>
        </w:trPr>
        <w:tc>
          <w:tcPr>
            <w:tcW w:type="dxa" w:w="9000"/>
            <w:vAlign w:val="top"/>
          </w:tcPr>
          <w:p>
            <w:pPr>
              <w:pStyle w:val="ContentsText"/>
              <w:ind w:left="216"/>
            </w:pPr>
            <w:hyperlink w:anchor="SEC_2307" w:history="1">
              <w:r>
                <w:rPr>
                  <w:rFonts w:ascii="Liberation Serif" w:hAnsi="Liberation Serif"/>
                  <w:color w:val="111111"/>
                  <w:sz w:val="19"/>
                </w:rPr>
                <w:t>Sec. 2307. emergency powers, necessity, and rights.</w:t>
              </w:r>
            </w:hyperlink>
          </w:p>
        </w:tc>
        <w:tc>
          <w:tcPr>
            <w:tcW w:type="dxa" w:w="648"/>
            <w:vAlign w:val="top"/>
          </w:tcPr>
          <w:p>
            <w:pPr>
              <w:pStyle w:val="ContentsText"/>
              <w:jc w:val="right"/>
            </w:pPr>
            <w:fldSimple w:instr=" PAGEREF SEC_2307 \h ">
              <w:r>
                <w:t>126</w:t>
              </w:r>
            </w:fldSimple>
          </w:p>
        </w:tc>
      </w:tr>
      <w:tr>
        <w:trPr>
          <w:cantSplit/>
        </w:trPr>
        <w:tc>
          <w:tcPr>
            <w:tcW w:type="dxa" w:w="9000"/>
            <w:vAlign w:val="top"/>
          </w:tcPr>
          <w:p>
            <w:pPr>
              <w:pStyle w:val="ContentsText"/>
              <w:ind w:left="216"/>
            </w:pPr>
            <w:hyperlink w:anchor="SEC_2308" w:history="1">
              <w:r>
                <w:rPr>
                  <w:rFonts w:ascii="Liberation Serif" w:hAnsi="Liberation Serif"/>
                  <w:color w:val="111111"/>
                  <w:sz w:val="19"/>
                </w:rPr>
                <w:t>Sec. 2308. institutional workforce and human contact.</w:t>
              </w:r>
            </w:hyperlink>
          </w:p>
        </w:tc>
        <w:tc>
          <w:tcPr>
            <w:tcW w:type="dxa" w:w="648"/>
            <w:vAlign w:val="top"/>
          </w:tcPr>
          <w:p>
            <w:pPr>
              <w:pStyle w:val="ContentsText"/>
              <w:jc w:val="right"/>
            </w:pPr>
            <w:fldSimple w:instr=" PAGEREF SEC_2308 \h ">
              <w:r>
                <w:t>127</w:t>
              </w:r>
            </w:fldSimple>
          </w:p>
        </w:tc>
      </w:tr>
      <w:tr>
        <w:trPr>
          <w:cantSplit/>
        </w:trPr>
        <w:tc>
          <w:tcPr>
            <w:tcW w:type="dxa" w:w="9000"/>
            <w:vAlign w:val="top"/>
          </w:tcPr>
          <w:p>
            <w:pPr>
              <w:pStyle w:val="ContentsText"/>
              <w:ind w:left="216"/>
            </w:pPr>
            <w:hyperlink w:anchor="SEC_2309" w:history="1">
              <w:r>
                <w:rPr>
                  <w:rFonts w:ascii="Liberation Serif" w:hAnsi="Liberation Serif"/>
                  <w:color w:val="111111"/>
                  <w:sz w:val="19"/>
                </w:rPr>
                <w:t>Sec. 2309. inspection, complaints, and independent access.</w:t>
              </w:r>
            </w:hyperlink>
          </w:p>
        </w:tc>
        <w:tc>
          <w:tcPr>
            <w:tcW w:type="dxa" w:w="648"/>
            <w:vAlign w:val="top"/>
          </w:tcPr>
          <w:p>
            <w:pPr>
              <w:pStyle w:val="ContentsText"/>
              <w:jc w:val="right"/>
            </w:pPr>
            <w:fldSimple w:instr=" PAGEREF SEC_2309 \h ">
              <w:r>
                <w:t>127</w:t>
              </w:r>
            </w:fldSimple>
          </w:p>
        </w:tc>
      </w:tr>
      <w:tr>
        <w:trPr>
          <w:cantSplit/>
        </w:trPr>
        <w:tc>
          <w:tcPr>
            <w:tcW w:type="dxa" w:w="9000"/>
            <w:vAlign w:val="top"/>
          </w:tcPr>
          <w:p>
            <w:pPr>
              <w:pStyle w:val="ContentsText"/>
              <w:ind w:left="216"/>
            </w:pPr>
            <w:hyperlink w:anchor="SEC_2310" w:history="1">
              <w:r>
                <w:rPr>
                  <w:rFonts w:ascii="Liberation Serif" w:hAnsi="Liberation Serif"/>
                  <w:color w:val="111111"/>
                  <w:sz w:val="19"/>
                </w:rPr>
                <w:t>Sec. 2310. institutional review and funding limits.</w:t>
              </w:r>
            </w:hyperlink>
          </w:p>
        </w:tc>
        <w:tc>
          <w:tcPr>
            <w:tcW w:type="dxa" w:w="648"/>
            <w:vAlign w:val="top"/>
          </w:tcPr>
          <w:p>
            <w:pPr>
              <w:pStyle w:val="ContentsText"/>
              <w:jc w:val="right"/>
            </w:pPr>
            <w:fldSimple w:instr=" PAGEREF SEC_2310 \h ">
              <w:r>
                <w:t>128</w:t>
              </w:r>
            </w:fldSimple>
          </w:p>
        </w:tc>
      </w:tr>
      <w:tr>
        <w:trPr>
          <w:cantSplit/>
        </w:trPr>
        <w:tc>
          <w:tcPr>
            <w:tcW w:type="dxa" w:w="9000"/>
            <w:vAlign w:val="top"/>
          </w:tcPr>
          <w:p>
            <w:pPr>
              <w:pStyle w:val="ContentsText"/>
              <w:keepNext/>
              <w:spacing w:before="100"/>
            </w:pPr>
            <w:hyperlink w:anchor="TITLE_XXIV" w:history="1">
              <w:r>
                <w:rPr>
                  <w:rFonts w:ascii="Liberation Serif" w:hAnsi="Liberation Serif"/>
                  <w:b/>
                  <w:color w:val="182C3D"/>
                  <w:sz w:val="19"/>
                </w:rPr>
                <w:t>TITLE XXIV. GLOBAL COOPERATION, SHARED KNOWLEDGE, AND FUTURE GENERATIONS</w:t>
              </w:r>
            </w:hyperlink>
          </w:p>
        </w:tc>
        <w:tc>
          <w:tcPr>
            <w:tcW w:type="dxa" w:w="648"/>
            <w:vAlign w:val="top"/>
          </w:tcPr>
          <w:p>
            <w:pPr>
              <w:pStyle w:val="ContentsText"/>
              <w:spacing w:before="100"/>
              <w:jc w:val="right"/>
            </w:pPr>
            <w:fldSimple w:instr=" PAGEREF TITLE_XXIV \h ">
              <w:r>
                <w:t>129</w:t>
              </w:r>
            </w:fldSimple>
          </w:p>
        </w:tc>
      </w:tr>
      <w:tr>
        <w:trPr>
          <w:cantSplit/>
        </w:trPr>
        <w:tc>
          <w:tcPr>
            <w:tcW w:type="dxa" w:w="9000"/>
            <w:vAlign w:val="top"/>
          </w:tcPr>
          <w:p>
            <w:pPr>
              <w:pStyle w:val="ContentsText"/>
              <w:ind w:left="216"/>
            </w:pPr>
            <w:hyperlink w:anchor="SEC_2401" w:history="1">
              <w:r>
                <w:rPr>
                  <w:rFonts w:ascii="Liberation Serif" w:hAnsi="Liberation Serif"/>
                  <w:color w:val="111111"/>
                  <w:sz w:val="19"/>
                </w:rPr>
                <w:t>Sec. 2401. international human capability partnerships.</w:t>
              </w:r>
            </w:hyperlink>
          </w:p>
        </w:tc>
        <w:tc>
          <w:tcPr>
            <w:tcW w:type="dxa" w:w="648"/>
            <w:vAlign w:val="top"/>
          </w:tcPr>
          <w:p>
            <w:pPr>
              <w:pStyle w:val="ContentsText"/>
              <w:jc w:val="right"/>
            </w:pPr>
            <w:fldSimple w:instr=" PAGEREF SEC_2401 \h ">
              <w:r>
                <w:t>129</w:t>
              </w:r>
            </w:fldSimple>
          </w:p>
        </w:tc>
      </w:tr>
      <w:tr>
        <w:trPr>
          <w:cantSplit/>
        </w:trPr>
        <w:tc>
          <w:tcPr>
            <w:tcW w:type="dxa" w:w="9000"/>
            <w:vAlign w:val="top"/>
          </w:tcPr>
          <w:p>
            <w:pPr>
              <w:pStyle w:val="ContentsText"/>
              <w:ind w:left="216"/>
            </w:pPr>
            <w:hyperlink w:anchor="SEC_2402" w:history="1">
              <w:r>
                <w:rPr>
                  <w:rFonts w:ascii="Liberation Serif" w:hAnsi="Liberation Serif"/>
                  <w:color w:val="111111"/>
                  <w:sz w:val="19"/>
                </w:rPr>
                <w:t>Sec. 2402. equitable research partnerships and local capacity.</w:t>
              </w:r>
            </w:hyperlink>
          </w:p>
        </w:tc>
        <w:tc>
          <w:tcPr>
            <w:tcW w:type="dxa" w:w="648"/>
            <w:vAlign w:val="top"/>
          </w:tcPr>
          <w:p>
            <w:pPr>
              <w:pStyle w:val="ContentsText"/>
              <w:jc w:val="right"/>
            </w:pPr>
            <w:fldSimple w:instr=" PAGEREF SEC_2402 \h ">
              <w:r>
                <w:t>129</w:t>
              </w:r>
            </w:fldSimple>
          </w:p>
        </w:tc>
      </w:tr>
      <w:tr>
        <w:trPr>
          <w:cantSplit/>
        </w:trPr>
        <w:tc>
          <w:tcPr>
            <w:tcW w:type="dxa" w:w="9000"/>
            <w:vAlign w:val="top"/>
          </w:tcPr>
          <w:p>
            <w:pPr>
              <w:pStyle w:val="ContentsText"/>
              <w:ind w:left="216"/>
            </w:pPr>
            <w:hyperlink w:anchor="SEC_2403" w:history="1">
              <w:r>
                <w:rPr>
                  <w:rFonts w:ascii="Liberation Serif" w:hAnsi="Liberation Serif"/>
                  <w:color w:val="111111"/>
                  <w:sz w:val="19"/>
                </w:rPr>
                <w:t>Sec. 2403. comparative law and context-sensitive adaptation.</w:t>
              </w:r>
            </w:hyperlink>
          </w:p>
        </w:tc>
        <w:tc>
          <w:tcPr>
            <w:tcW w:type="dxa" w:w="648"/>
            <w:vAlign w:val="top"/>
          </w:tcPr>
          <w:p>
            <w:pPr>
              <w:pStyle w:val="ContentsText"/>
              <w:jc w:val="right"/>
            </w:pPr>
            <w:fldSimple w:instr=" PAGEREF SEC_2403 \h ">
              <w:r>
                <w:t>130</w:t>
              </w:r>
            </w:fldSimple>
          </w:p>
        </w:tc>
      </w:tr>
      <w:tr>
        <w:trPr>
          <w:cantSplit/>
        </w:trPr>
        <w:tc>
          <w:tcPr>
            <w:tcW w:type="dxa" w:w="9000"/>
            <w:vAlign w:val="top"/>
          </w:tcPr>
          <w:p>
            <w:pPr>
              <w:pStyle w:val="ContentsText"/>
              <w:ind w:left="216"/>
            </w:pPr>
            <w:hyperlink w:anchor="SEC_2404" w:history="1">
              <w:r>
                <w:rPr>
                  <w:rFonts w:ascii="Liberation Serif" w:hAnsi="Liberation Serif"/>
                  <w:color w:val="111111"/>
                  <w:sz w:val="19"/>
                </w:rPr>
                <w:t>Sec. 2404. global health, development, and one health cooperation.</w:t>
              </w:r>
            </w:hyperlink>
          </w:p>
        </w:tc>
        <w:tc>
          <w:tcPr>
            <w:tcW w:type="dxa" w:w="648"/>
            <w:vAlign w:val="top"/>
          </w:tcPr>
          <w:p>
            <w:pPr>
              <w:pStyle w:val="ContentsText"/>
              <w:jc w:val="right"/>
            </w:pPr>
            <w:fldSimple w:instr=" PAGEREF SEC_2404 \h ">
              <w:r>
                <w:t>130</w:t>
              </w:r>
            </w:fldSimple>
          </w:p>
        </w:tc>
      </w:tr>
      <w:tr>
        <w:trPr>
          <w:cantSplit/>
        </w:trPr>
        <w:tc>
          <w:tcPr>
            <w:tcW w:type="dxa" w:w="9000"/>
            <w:vAlign w:val="top"/>
          </w:tcPr>
          <w:p>
            <w:pPr>
              <w:pStyle w:val="ContentsText"/>
              <w:ind w:left="216"/>
            </w:pPr>
            <w:hyperlink w:anchor="SEC_2405" w:history="1">
              <w:r>
                <w:rPr>
                  <w:rFonts w:ascii="Liberation Serif" w:hAnsi="Liberation Serif"/>
                  <w:color w:val="111111"/>
                  <w:sz w:val="19"/>
                </w:rPr>
                <w:t>Sec. 2405. technology access, standards, and responsible transfer.</w:t>
              </w:r>
            </w:hyperlink>
          </w:p>
        </w:tc>
        <w:tc>
          <w:tcPr>
            <w:tcW w:type="dxa" w:w="648"/>
            <w:vAlign w:val="top"/>
          </w:tcPr>
          <w:p>
            <w:pPr>
              <w:pStyle w:val="ContentsText"/>
              <w:jc w:val="right"/>
            </w:pPr>
            <w:fldSimple w:instr=" PAGEREF SEC_2405 \h ">
              <w:r>
                <w:t>130</w:t>
              </w:r>
            </w:fldSimple>
          </w:p>
        </w:tc>
      </w:tr>
      <w:tr>
        <w:trPr>
          <w:cantSplit/>
        </w:trPr>
        <w:tc>
          <w:tcPr>
            <w:tcW w:type="dxa" w:w="9000"/>
            <w:vAlign w:val="top"/>
          </w:tcPr>
          <w:p>
            <w:pPr>
              <w:pStyle w:val="ContentsText"/>
              <w:ind w:left="216"/>
            </w:pPr>
            <w:hyperlink w:anchor="SEC_2406" w:history="1">
              <w:r>
                <w:rPr>
                  <w:rFonts w:ascii="Liberation Serif" w:hAnsi="Liberation Serif"/>
                  <w:color w:val="111111"/>
                  <w:sz w:val="19"/>
                </w:rPr>
                <w:t>Sec. 2406. cross-border data and community stewardship.</w:t>
              </w:r>
            </w:hyperlink>
          </w:p>
        </w:tc>
        <w:tc>
          <w:tcPr>
            <w:tcW w:type="dxa" w:w="648"/>
            <w:vAlign w:val="top"/>
          </w:tcPr>
          <w:p>
            <w:pPr>
              <w:pStyle w:val="ContentsText"/>
              <w:jc w:val="right"/>
            </w:pPr>
            <w:fldSimple w:instr=" PAGEREF SEC_2406 \h ">
              <w:r>
                <w:t>131</w:t>
              </w:r>
            </w:fldSimple>
          </w:p>
        </w:tc>
      </w:tr>
      <w:tr>
        <w:trPr>
          <w:cantSplit/>
        </w:trPr>
        <w:tc>
          <w:tcPr>
            <w:tcW w:type="dxa" w:w="9000"/>
            <w:vAlign w:val="top"/>
          </w:tcPr>
          <w:p>
            <w:pPr>
              <w:pStyle w:val="ContentsText"/>
              <w:ind w:left="216"/>
            </w:pPr>
            <w:hyperlink w:anchor="SEC_2407" w:history="1">
              <w:r>
                <w:rPr>
                  <w:rFonts w:ascii="Liberation Serif" w:hAnsi="Liberation Serif"/>
                  <w:color w:val="111111"/>
                  <w:sz w:val="19"/>
                </w:rPr>
                <w:t>Sec. 2407. humanitarian displacement and cross-border continuity.</w:t>
              </w:r>
            </w:hyperlink>
          </w:p>
        </w:tc>
        <w:tc>
          <w:tcPr>
            <w:tcW w:type="dxa" w:w="648"/>
            <w:vAlign w:val="top"/>
          </w:tcPr>
          <w:p>
            <w:pPr>
              <w:pStyle w:val="ContentsText"/>
              <w:jc w:val="right"/>
            </w:pPr>
            <w:fldSimple w:instr=" PAGEREF SEC_2407 \h ">
              <w:r>
                <w:t>131</w:t>
              </w:r>
            </w:fldSimple>
          </w:p>
        </w:tc>
      </w:tr>
      <w:tr>
        <w:trPr>
          <w:cantSplit/>
        </w:trPr>
        <w:tc>
          <w:tcPr>
            <w:tcW w:type="dxa" w:w="9000"/>
            <w:vAlign w:val="top"/>
          </w:tcPr>
          <w:p>
            <w:pPr>
              <w:pStyle w:val="ContentsText"/>
              <w:ind w:left="216"/>
            </w:pPr>
            <w:hyperlink w:anchor="SEC_2408" w:history="1">
              <w:r>
                <w:rPr>
                  <w:rFonts w:ascii="Liberation Serif" w:hAnsi="Liberation Serif"/>
                  <w:color w:val="111111"/>
                  <w:sz w:val="19"/>
                </w:rPr>
                <w:t>Sec. 2408. future generations and long-horizon assessment.</w:t>
              </w:r>
            </w:hyperlink>
          </w:p>
        </w:tc>
        <w:tc>
          <w:tcPr>
            <w:tcW w:type="dxa" w:w="648"/>
            <w:vAlign w:val="top"/>
          </w:tcPr>
          <w:p>
            <w:pPr>
              <w:pStyle w:val="ContentsText"/>
              <w:jc w:val="right"/>
            </w:pPr>
            <w:fldSimple w:instr=" PAGEREF SEC_2408 \h ">
              <w:r>
                <w:t>132</w:t>
              </w:r>
            </w:fldSimple>
          </w:p>
        </w:tc>
      </w:tr>
      <w:tr>
        <w:trPr>
          <w:cantSplit/>
        </w:trPr>
        <w:tc>
          <w:tcPr>
            <w:tcW w:type="dxa" w:w="9000"/>
            <w:vAlign w:val="top"/>
          </w:tcPr>
          <w:p>
            <w:pPr>
              <w:pStyle w:val="ContentsText"/>
              <w:ind w:left="216"/>
            </w:pPr>
            <w:hyperlink w:anchor="SEC_2409" w:history="1">
              <w:r>
                <w:rPr>
                  <w:rFonts w:ascii="Liberation Serif" w:hAnsi="Liberation Serif"/>
                  <w:color w:val="111111"/>
                  <w:sz w:val="19"/>
                </w:rPr>
                <w:t>Sec. 2409. human life in extreme and emerging environments.</w:t>
              </w:r>
            </w:hyperlink>
          </w:p>
        </w:tc>
        <w:tc>
          <w:tcPr>
            <w:tcW w:type="dxa" w:w="648"/>
            <w:vAlign w:val="top"/>
          </w:tcPr>
          <w:p>
            <w:pPr>
              <w:pStyle w:val="ContentsText"/>
              <w:jc w:val="right"/>
            </w:pPr>
            <w:fldSimple w:instr=" PAGEREF SEC_2409 \h ">
              <w:r>
                <w:t>132</w:t>
              </w:r>
            </w:fldSimple>
          </w:p>
        </w:tc>
      </w:tr>
      <w:tr>
        <w:trPr>
          <w:cantSplit/>
        </w:trPr>
        <w:tc>
          <w:tcPr>
            <w:tcW w:type="dxa" w:w="9000"/>
            <w:vAlign w:val="top"/>
          </w:tcPr>
          <w:p>
            <w:pPr>
              <w:pStyle w:val="ContentsText"/>
              <w:ind w:left="216"/>
            </w:pPr>
            <w:hyperlink w:anchor="SEC_2410" w:history="1">
              <w:r>
                <w:rPr>
                  <w:rFonts w:ascii="Liberation Serif" w:hAnsi="Liberation Serif"/>
                  <w:color w:val="111111"/>
                  <w:sz w:val="19"/>
                </w:rPr>
                <w:t>Sec. 2410. international accountability and nonbinding model adaptation.</w:t>
              </w:r>
            </w:hyperlink>
          </w:p>
        </w:tc>
        <w:tc>
          <w:tcPr>
            <w:tcW w:type="dxa" w:w="648"/>
            <w:vAlign w:val="top"/>
          </w:tcPr>
          <w:p>
            <w:pPr>
              <w:pStyle w:val="ContentsText"/>
              <w:jc w:val="right"/>
            </w:pPr>
            <w:fldSimple w:instr=" PAGEREF SEC_2410 \h ">
              <w:r>
                <w:t>133</w:t>
              </w:r>
            </w:fldSimple>
          </w:p>
        </w:tc>
      </w:tr>
      <w:tr>
        <w:trPr>
          <w:cantSplit/>
        </w:trPr>
        <w:tc>
          <w:tcPr>
            <w:tcW w:type="dxa" w:w="9000"/>
            <w:vAlign w:val="top"/>
          </w:tcPr>
          <w:p>
            <w:pPr>
              <w:pStyle w:val="ContentsText"/>
              <w:keepNext/>
              <w:spacing w:before="100"/>
            </w:pPr>
            <w:hyperlink w:anchor="TITLE_XXV" w:history="1">
              <w:r>
                <w:rPr>
                  <w:rFonts w:ascii="Liberation Serif" w:hAnsi="Liberation Serif"/>
                  <w:b/>
                  <w:color w:val="182C3D"/>
                  <w:sz w:val="19"/>
                </w:rPr>
                <w:t>TITLE XXV. DATA GOVERNANCE, STATISTICS, AND HUMAN CONDITIONS MEASUREMENT</w:t>
              </w:r>
            </w:hyperlink>
          </w:p>
        </w:tc>
        <w:tc>
          <w:tcPr>
            <w:tcW w:type="dxa" w:w="648"/>
            <w:vAlign w:val="top"/>
          </w:tcPr>
          <w:p>
            <w:pPr>
              <w:pStyle w:val="ContentsText"/>
              <w:spacing w:before="100"/>
              <w:jc w:val="right"/>
            </w:pPr>
            <w:fldSimple w:instr=" PAGEREF TITLE_XXV \h ">
              <w:r>
                <w:t>134</w:t>
              </w:r>
            </w:fldSimple>
          </w:p>
        </w:tc>
      </w:tr>
      <w:tr>
        <w:trPr>
          <w:cantSplit/>
        </w:trPr>
        <w:tc>
          <w:tcPr>
            <w:tcW w:type="dxa" w:w="9000"/>
            <w:vAlign w:val="top"/>
          </w:tcPr>
          <w:p>
            <w:pPr>
              <w:pStyle w:val="ContentsText"/>
              <w:ind w:left="216"/>
            </w:pPr>
            <w:hyperlink w:anchor="SEC_2501" w:history="1">
              <w:r>
                <w:rPr>
                  <w:rFonts w:ascii="Liberation Serif" w:hAnsi="Liberation Serif"/>
                  <w:color w:val="111111"/>
                  <w:sz w:val="19"/>
                </w:rPr>
                <w:t>Sec. 2501. human conditions dashboard.</w:t>
              </w:r>
            </w:hyperlink>
          </w:p>
        </w:tc>
        <w:tc>
          <w:tcPr>
            <w:tcW w:type="dxa" w:w="648"/>
            <w:vAlign w:val="top"/>
          </w:tcPr>
          <w:p>
            <w:pPr>
              <w:pStyle w:val="ContentsText"/>
              <w:jc w:val="right"/>
            </w:pPr>
            <w:fldSimple w:instr=" PAGEREF SEC_2501 \h ">
              <w:r>
                <w:t>134</w:t>
              </w:r>
            </w:fldSimple>
          </w:p>
        </w:tc>
      </w:tr>
      <w:tr>
        <w:trPr>
          <w:cantSplit/>
        </w:trPr>
        <w:tc>
          <w:tcPr>
            <w:tcW w:type="dxa" w:w="9000"/>
            <w:vAlign w:val="top"/>
          </w:tcPr>
          <w:p>
            <w:pPr>
              <w:pStyle w:val="ContentsText"/>
              <w:ind w:left="216"/>
            </w:pPr>
            <w:hyperlink w:anchor="SEC_2502" w:history="1">
              <w:r>
                <w:rPr>
                  <w:rFonts w:ascii="Liberation Serif" w:hAnsi="Liberation Serif"/>
                  <w:color w:val="111111"/>
                  <w:sz w:val="19"/>
                </w:rPr>
                <w:t>Sec. 2502. measure selection, validation, and disaggregation.</w:t>
              </w:r>
            </w:hyperlink>
          </w:p>
        </w:tc>
        <w:tc>
          <w:tcPr>
            <w:tcW w:type="dxa" w:w="648"/>
            <w:vAlign w:val="top"/>
          </w:tcPr>
          <w:p>
            <w:pPr>
              <w:pStyle w:val="ContentsText"/>
              <w:jc w:val="right"/>
            </w:pPr>
            <w:fldSimple w:instr=" PAGEREF SEC_2502 \h ">
              <w:r>
                <w:t>134</w:t>
              </w:r>
            </w:fldSimple>
          </w:p>
        </w:tc>
      </w:tr>
      <w:tr>
        <w:trPr>
          <w:cantSplit/>
        </w:trPr>
        <w:tc>
          <w:tcPr>
            <w:tcW w:type="dxa" w:w="9000"/>
            <w:vAlign w:val="top"/>
          </w:tcPr>
          <w:p>
            <w:pPr>
              <w:pStyle w:val="ContentsText"/>
              <w:ind w:left="216"/>
            </w:pPr>
            <w:hyperlink w:anchor="SEC_2503" w:history="1">
              <w:r>
                <w:rPr>
                  <w:rFonts w:ascii="Liberation Serif" w:hAnsi="Liberation Serif"/>
                  <w:color w:val="111111"/>
                  <w:sz w:val="19"/>
                </w:rPr>
                <w:t>Sec. 2503. voluntary surveys and participant burden.</w:t>
              </w:r>
            </w:hyperlink>
          </w:p>
        </w:tc>
        <w:tc>
          <w:tcPr>
            <w:tcW w:type="dxa" w:w="648"/>
            <w:vAlign w:val="top"/>
          </w:tcPr>
          <w:p>
            <w:pPr>
              <w:pStyle w:val="ContentsText"/>
              <w:jc w:val="right"/>
            </w:pPr>
            <w:fldSimple w:instr=" PAGEREF SEC_2503 \h ">
              <w:r>
                <w:t>135</w:t>
              </w:r>
            </w:fldSimple>
          </w:p>
        </w:tc>
      </w:tr>
      <w:tr>
        <w:trPr>
          <w:cantSplit/>
        </w:trPr>
        <w:tc>
          <w:tcPr>
            <w:tcW w:type="dxa" w:w="9000"/>
            <w:vAlign w:val="top"/>
          </w:tcPr>
          <w:p>
            <w:pPr>
              <w:pStyle w:val="ContentsText"/>
              <w:ind w:left="216"/>
            </w:pPr>
            <w:hyperlink w:anchor="SEC_2504" w:history="1">
              <w:r>
                <w:rPr>
                  <w:rFonts w:ascii="Liberation Serif" w:hAnsi="Liberation Serif"/>
                  <w:color w:val="111111"/>
                  <w:sz w:val="19"/>
                </w:rPr>
                <w:t>Sec. 2504. federal and recipient data minimization.</w:t>
              </w:r>
            </w:hyperlink>
          </w:p>
        </w:tc>
        <w:tc>
          <w:tcPr>
            <w:tcW w:type="dxa" w:w="648"/>
            <w:vAlign w:val="top"/>
          </w:tcPr>
          <w:p>
            <w:pPr>
              <w:pStyle w:val="ContentsText"/>
              <w:jc w:val="right"/>
            </w:pPr>
            <w:fldSimple w:instr=" PAGEREF SEC_2504 \h ">
              <w:r>
                <w:t>135</w:t>
              </w:r>
            </w:fldSimple>
          </w:p>
        </w:tc>
      </w:tr>
      <w:tr>
        <w:trPr>
          <w:cantSplit/>
        </w:trPr>
        <w:tc>
          <w:tcPr>
            <w:tcW w:type="dxa" w:w="9000"/>
            <w:vAlign w:val="top"/>
          </w:tcPr>
          <w:p>
            <w:pPr>
              <w:pStyle w:val="ContentsText"/>
              <w:ind w:left="216"/>
            </w:pPr>
            <w:hyperlink w:anchor="SEC_2505" w:history="1">
              <w:r>
                <w:rPr>
                  <w:rFonts w:ascii="Liberation Serif" w:hAnsi="Liberation Serif"/>
                  <w:color w:val="111111"/>
                  <w:sz w:val="19"/>
                </w:rPr>
                <w:t>Sec. 2505. linkage, reidentification, and controlled research access.</w:t>
              </w:r>
            </w:hyperlink>
          </w:p>
        </w:tc>
        <w:tc>
          <w:tcPr>
            <w:tcW w:type="dxa" w:w="648"/>
            <w:vAlign w:val="top"/>
          </w:tcPr>
          <w:p>
            <w:pPr>
              <w:pStyle w:val="ContentsText"/>
              <w:jc w:val="right"/>
            </w:pPr>
            <w:fldSimple w:instr=" PAGEREF SEC_2505 \h ">
              <w:r>
                <w:t>135</w:t>
              </w:r>
            </w:fldSimple>
          </w:p>
        </w:tc>
      </w:tr>
      <w:tr>
        <w:trPr>
          <w:cantSplit/>
        </w:trPr>
        <w:tc>
          <w:tcPr>
            <w:tcW w:type="dxa" w:w="9000"/>
            <w:vAlign w:val="top"/>
          </w:tcPr>
          <w:p>
            <w:pPr>
              <w:pStyle w:val="ContentsText"/>
              <w:ind w:left="216"/>
            </w:pPr>
            <w:hyperlink w:anchor="SEC_2506" w:history="1">
              <w:r>
                <w:rPr>
                  <w:rFonts w:ascii="Liberation Serif" w:hAnsi="Liberation Serif"/>
                  <w:color w:val="111111"/>
                  <w:sz w:val="19"/>
                </w:rPr>
                <w:t>Sec. 2506. individual information rights in covered programs.</w:t>
              </w:r>
            </w:hyperlink>
          </w:p>
        </w:tc>
        <w:tc>
          <w:tcPr>
            <w:tcW w:type="dxa" w:w="648"/>
            <w:vAlign w:val="top"/>
          </w:tcPr>
          <w:p>
            <w:pPr>
              <w:pStyle w:val="ContentsText"/>
              <w:jc w:val="right"/>
            </w:pPr>
            <w:fldSimple w:instr=" PAGEREF SEC_2506 \h ">
              <w:r>
                <w:t>136</w:t>
              </w:r>
            </w:fldSimple>
          </w:p>
        </w:tc>
      </w:tr>
      <w:tr>
        <w:trPr>
          <w:cantSplit/>
        </w:trPr>
        <w:tc>
          <w:tcPr>
            <w:tcW w:type="dxa" w:w="9000"/>
            <w:vAlign w:val="top"/>
          </w:tcPr>
          <w:p>
            <w:pPr>
              <w:pStyle w:val="ContentsText"/>
              <w:ind w:left="216"/>
            </w:pPr>
            <w:hyperlink w:anchor="SEC_2507" w:history="1">
              <w:r>
                <w:rPr>
                  <w:rFonts w:ascii="Liberation Serif" w:hAnsi="Liberation Serif"/>
                  <w:color w:val="111111"/>
                  <w:sz w:val="19"/>
                </w:rPr>
                <w:t>Sec. 2507. security, incident response, and vendor control.</w:t>
              </w:r>
            </w:hyperlink>
          </w:p>
        </w:tc>
        <w:tc>
          <w:tcPr>
            <w:tcW w:type="dxa" w:w="648"/>
            <w:vAlign w:val="top"/>
          </w:tcPr>
          <w:p>
            <w:pPr>
              <w:pStyle w:val="ContentsText"/>
              <w:jc w:val="right"/>
            </w:pPr>
            <w:fldSimple w:instr=" PAGEREF SEC_2507 \h ">
              <w:r>
                <w:t>136</w:t>
              </w:r>
            </w:fldSimple>
          </w:p>
        </w:tc>
      </w:tr>
      <w:tr>
        <w:trPr>
          <w:cantSplit/>
        </w:trPr>
        <w:tc>
          <w:tcPr>
            <w:tcW w:type="dxa" w:w="9000"/>
            <w:vAlign w:val="top"/>
          </w:tcPr>
          <w:p>
            <w:pPr>
              <w:pStyle w:val="ContentsText"/>
              <w:ind w:left="216"/>
            </w:pPr>
            <w:hyperlink w:anchor="SEC_2508" w:history="1">
              <w:r>
                <w:rPr>
                  <w:rFonts w:ascii="Liberation Serif" w:hAnsi="Liberation Serif"/>
                  <w:color w:val="111111"/>
                  <w:sz w:val="19"/>
                </w:rPr>
                <w:t>Sec. 2508. prohibited scores and incompatible uses.</w:t>
              </w:r>
            </w:hyperlink>
          </w:p>
        </w:tc>
        <w:tc>
          <w:tcPr>
            <w:tcW w:type="dxa" w:w="648"/>
            <w:vAlign w:val="top"/>
          </w:tcPr>
          <w:p>
            <w:pPr>
              <w:pStyle w:val="ContentsText"/>
              <w:jc w:val="right"/>
            </w:pPr>
            <w:fldSimple w:instr=" PAGEREF SEC_2508 \h ">
              <w:r>
                <w:t>137</w:t>
              </w:r>
            </w:fldSimple>
          </w:p>
        </w:tc>
      </w:tr>
      <w:tr>
        <w:trPr>
          <w:cantSplit/>
        </w:trPr>
        <w:tc>
          <w:tcPr>
            <w:tcW w:type="dxa" w:w="9000"/>
            <w:vAlign w:val="top"/>
          </w:tcPr>
          <w:p>
            <w:pPr>
              <w:pStyle w:val="ContentsText"/>
              <w:ind w:left="216"/>
            </w:pPr>
            <w:hyperlink w:anchor="SEC_2509" w:history="1">
              <w:r>
                <w:rPr>
                  <w:rFonts w:ascii="Liberation Serif" w:hAnsi="Liberation Serif"/>
                  <w:color w:val="111111"/>
                  <w:sz w:val="19"/>
                </w:rPr>
                <w:t>Sec. 2509. evaluation design, causal claims, and public accuracy.</w:t>
              </w:r>
            </w:hyperlink>
          </w:p>
        </w:tc>
        <w:tc>
          <w:tcPr>
            <w:tcW w:type="dxa" w:w="648"/>
            <w:vAlign w:val="top"/>
          </w:tcPr>
          <w:p>
            <w:pPr>
              <w:pStyle w:val="ContentsText"/>
              <w:jc w:val="right"/>
            </w:pPr>
            <w:fldSimple w:instr=" PAGEREF SEC_2509 \h ">
              <w:r>
                <w:t>137</w:t>
              </w:r>
            </w:fldSimple>
          </w:p>
        </w:tc>
      </w:tr>
      <w:tr>
        <w:trPr>
          <w:cantSplit/>
        </w:trPr>
        <w:tc>
          <w:tcPr>
            <w:tcW w:type="dxa" w:w="9000"/>
            <w:vAlign w:val="top"/>
          </w:tcPr>
          <w:p>
            <w:pPr>
              <w:pStyle w:val="ContentsText"/>
              <w:ind w:left="216"/>
            </w:pPr>
            <w:hyperlink w:anchor="SEC_2510" w:history="1">
              <w:r>
                <w:rPr>
                  <w:rFonts w:ascii="Liberation Serif" w:hAnsi="Liberation Serif"/>
                  <w:color w:val="111111"/>
                  <w:sz w:val="19"/>
                </w:rPr>
                <w:t>Sec. 2510. statistical independence and dashboard governance.</w:t>
              </w:r>
            </w:hyperlink>
          </w:p>
        </w:tc>
        <w:tc>
          <w:tcPr>
            <w:tcW w:type="dxa" w:w="648"/>
            <w:vAlign w:val="top"/>
          </w:tcPr>
          <w:p>
            <w:pPr>
              <w:pStyle w:val="ContentsText"/>
              <w:jc w:val="right"/>
            </w:pPr>
            <w:fldSimple w:instr=" PAGEREF SEC_2510 \h ">
              <w:r>
                <w:t>138</w:t>
              </w:r>
            </w:fldSimple>
          </w:p>
        </w:tc>
      </w:tr>
      <w:tr>
        <w:trPr>
          <w:cantSplit/>
        </w:trPr>
        <w:tc>
          <w:tcPr>
            <w:tcW w:type="dxa" w:w="9000"/>
            <w:vAlign w:val="top"/>
          </w:tcPr>
          <w:p>
            <w:pPr>
              <w:pStyle w:val="ContentsText"/>
              <w:keepNext/>
              <w:spacing w:before="100"/>
            </w:pPr>
            <w:hyperlink w:anchor="TITLE_XXVI" w:history="1">
              <w:r>
                <w:rPr>
                  <w:rFonts w:ascii="Liberation Serif" w:hAnsi="Liberation Serif"/>
                  <w:b/>
                  <w:color w:val="182C3D"/>
                  <w:sz w:val="19"/>
                </w:rPr>
                <w:t>TITLE XXVI. PUBLIC PARTICIPATION, FEDERALISM, AND TRIBAL SELF-GOVERNMENT</w:t>
              </w:r>
            </w:hyperlink>
          </w:p>
        </w:tc>
        <w:tc>
          <w:tcPr>
            <w:tcW w:type="dxa" w:w="648"/>
            <w:vAlign w:val="top"/>
          </w:tcPr>
          <w:p>
            <w:pPr>
              <w:pStyle w:val="ContentsText"/>
              <w:spacing w:before="100"/>
              <w:jc w:val="right"/>
            </w:pPr>
            <w:fldSimple w:instr=" PAGEREF TITLE_XXVI \h ">
              <w:r>
                <w:t>139</w:t>
              </w:r>
            </w:fldSimple>
          </w:p>
        </w:tc>
      </w:tr>
      <w:tr>
        <w:trPr>
          <w:cantSplit/>
        </w:trPr>
        <w:tc>
          <w:tcPr>
            <w:tcW w:type="dxa" w:w="9000"/>
            <w:vAlign w:val="top"/>
          </w:tcPr>
          <w:p>
            <w:pPr>
              <w:pStyle w:val="ContentsText"/>
              <w:ind w:left="216"/>
            </w:pPr>
            <w:hyperlink w:anchor="SEC_2601" w:history="1">
              <w:r>
                <w:rPr>
                  <w:rFonts w:ascii="Liberation Serif" w:hAnsi="Liberation Serif"/>
                  <w:color w:val="111111"/>
                  <w:sz w:val="19"/>
                </w:rPr>
                <w:t>Sec. 2601. accessible public participation.</w:t>
              </w:r>
            </w:hyperlink>
          </w:p>
        </w:tc>
        <w:tc>
          <w:tcPr>
            <w:tcW w:type="dxa" w:w="648"/>
            <w:vAlign w:val="top"/>
          </w:tcPr>
          <w:p>
            <w:pPr>
              <w:pStyle w:val="ContentsText"/>
              <w:jc w:val="right"/>
            </w:pPr>
            <w:fldSimple w:instr=" PAGEREF SEC_2601 \h ">
              <w:r>
                <w:t>139</w:t>
              </w:r>
            </w:fldSimple>
          </w:p>
        </w:tc>
      </w:tr>
      <w:tr>
        <w:trPr>
          <w:cantSplit/>
        </w:trPr>
        <w:tc>
          <w:tcPr>
            <w:tcW w:type="dxa" w:w="9000"/>
            <w:vAlign w:val="top"/>
          </w:tcPr>
          <w:p>
            <w:pPr>
              <w:pStyle w:val="ContentsText"/>
              <w:ind w:left="216"/>
            </w:pPr>
            <w:hyperlink w:anchor="SEC_2602" w:history="1">
              <w:r>
                <w:rPr>
                  <w:rFonts w:ascii="Liberation Serif" w:hAnsi="Liberation Serif"/>
                  <w:color w:val="111111"/>
                  <w:sz w:val="19"/>
                </w:rPr>
                <w:t>Sec. 2602. state and local cooperation.</w:t>
              </w:r>
            </w:hyperlink>
          </w:p>
        </w:tc>
        <w:tc>
          <w:tcPr>
            <w:tcW w:type="dxa" w:w="648"/>
            <w:vAlign w:val="top"/>
          </w:tcPr>
          <w:p>
            <w:pPr>
              <w:pStyle w:val="ContentsText"/>
              <w:jc w:val="right"/>
            </w:pPr>
            <w:fldSimple w:instr=" PAGEREF SEC_2602 \h ">
              <w:r>
                <w:t>139</w:t>
              </w:r>
            </w:fldSimple>
          </w:p>
        </w:tc>
      </w:tr>
      <w:tr>
        <w:trPr>
          <w:cantSplit/>
        </w:trPr>
        <w:tc>
          <w:tcPr>
            <w:tcW w:type="dxa" w:w="9000"/>
            <w:vAlign w:val="top"/>
          </w:tcPr>
          <w:p>
            <w:pPr>
              <w:pStyle w:val="ContentsText"/>
              <w:ind w:left="216"/>
            </w:pPr>
            <w:hyperlink w:anchor="SEC_2603" w:history="1">
              <w:r>
                <w:rPr>
                  <w:rFonts w:ascii="Liberation Serif" w:hAnsi="Liberation Serif"/>
                  <w:color w:val="111111"/>
                  <w:sz w:val="19"/>
                </w:rPr>
                <w:t>Sec. 2603. tribal consultation and consent for funded projects.</w:t>
              </w:r>
            </w:hyperlink>
          </w:p>
        </w:tc>
        <w:tc>
          <w:tcPr>
            <w:tcW w:type="dxa" w:w="648"/>
            <w:vAlign w:val="top"/>
          </w:tcPr>
          <w:p>
            <w:pPr>
              <w:pStyle w:val="ContentsText"/>
              <w:jc w:val="right"/>
            </w:pPr>
            <w:fldSimple w:instr=" PAGEREF SEC_2603 \h ">
              <w:r>
                <w:t>139</w:t>
              </w:r>
            </w:fldSimple>
          </w:p>
        </w:tc>
      </w:tr>
      <w:tr>
        <w:trPr>
          <w:cantSplit/>
        </w:trPr>
        <w:tc>
          <w:tcPr>
            <w:tcW w:type="dxa" w:w="9000"/>
            <w:vAlign w:val="top"/>
          </w:tcPr>
          <w:p>
            <w:pPr>
              <w:pStyle w:val="ContentsText"/>
              <w:ind w:left="216"/>
            </w:pPr>
            <w:hyperlink w:anchor="SEC_2604" w:history="1">
              <w:r>
                <w:rPr>
                  <w:rFonts w:ascii="Liberation Serif" w:hAnsi="Liberation Serif"/>
                  <w:color w:val="111111"/>
                  <w:sz w:val="19"/>
                </w:rPr>
                <w:t>Sec. 2604. community advisory panels.</w:t>
              </w:r>
            </w:hyperlink>
          </w:p>
        </w:tc>
        <w:tc>
          <w:tcPr>
            <w:tcW w:type="dxa" w:w="648"/>
            <w:vAlign w:val="top"/>
          </w:tcPr>
          <w:p>
            <w:pPr>
              <w:pStyle w:val="ContentsText"/>
              <w:jc w:val="right"/>
            </w:pPr>
            <w:fldSimple w:instr=" PAGEREF SEC_2604 \h ">
              <w:r>
                <w:t>140</w:t>
              </w:r>
            </w:fldSimple>
          </w:p>
        </w:tc>
      </w:tr>
      <w:tr>
        <w:trPr>
          <w:cantSplit/>
        </w:trPr>
        <w:tc>
          <w:tcPr>
            <w:tcW w:type="dxa" w:w="9000"/>
            <w:vAlign w:val="top"/>
          </w:tcPr>
          <w:p>
            <w:pPr>
              <w:pStyle w:val="ContentsText"/>
              <w:ind w:left="216"/>
            </w:pPr>
            <w:hyperlink w:anchor="SEC_2605" w:history="1">
              <w:r>
                <w:rPr>
                  <w:rFonts w:ascii="Liberation Serif" w:hAnsi="Liberation Serif"/>
                  <w:color w:val="111111"/>
                  <w:sz w:val="19"/>
                </w:rPr>
                <w:t>Sec. 2605. deliberative research and public understanding.</w:t>
              </w:r>
            </w:hyperlink>
          </w:p>
        </w:tc>
        <w:tc>
          <w:tcPr>
            <w:tcW w:type="dxa" w:w="648"/>
            <w:vAlign w:val="top"/>
          </w:tcPr>
          <w:p>
            <w:pPr>
              <w:pStyle w:val="ContentsText"/>
              <w:jc w:val="right"/>
            </w:pPr>
            <w:fldSimple w:instr=" PAGEREF SEC_2605 \h ">
              <w:r>
                <w:t>140</w:t>
              </w:r>
            </w:fldSimple>
          </w:p>
        </w:tc>
      </w:tr>
      <w:tr>
        <w:trPr>
          <w:cantSplit/>
        </w:trPr>
        <w:tc>
          <w:tcPr>
            <w:tcW w:type="dxa" w:w="9000"/>
            <w:vAlign w:val="top"/>
          </w:tcPr>
          <w:p>
            <w:pPr>
              <w:pStyle w:val="ContentsText"/>
              <w:ind w:left="216"/>
            </w:pPr>
            <w:hyperlink w:anchor="SEC_2606" w:history="1">
              <w:r>
                <w:rPr>
                  <w:rFonts w:ascii="Liberation Serif" w:hAnsi="Liberation Serif"/>
                  <w:color w:val="111111"/>
                  <w:sz w:val="19"/>
                </w:rPr>
                <w:t>Sec. 2606. transparency, records, and public explanation.</w:t>
              </w:r>
            </w:hyperlink>
          </w:p>
        </w:tc>
        <w:tc>
          <w:tcPr>
            <w:tcW w:type="dxa" w:w="648"/>
            <w:vAlign w:val="top"/>
          </w:tcPr>
          <w:p>
            <w:pPr>
              <w:pStyle w:val="ContentsText"/>
              <w:jc w:val="right"/>
            </w:pPr>
            <w:fldSimple w:instr=" PAGEREF SEC_2606 \h ">
              <w:r>
                <w:t>141</w:t>
              </w:r>
            </w:fldSimple>
          </w:p>
        </w:tc>
      </w:tr>
      <w:tr>
        <w:trPr>
          <w:cantSplit/>
        </w:trPr>
        <w:tc>
          <w:tcPr>
            <w:tcW w:type="dxa" w:w="9000"/>
            <w:vAlign w:val="top"/>
          </w:tcPr>
          <w:p>
            <w:pPr>
              <w:pStyle w:val="ContentsText"/>
              <w:ind w:left="216"/>
            </w:pPr>
            <w:hyperlink w:anchor="SEC_2607" w:history="1">
              <w:r>
                <w:rPr>
                  <w:rFonts w:ascii="Liberation Serif" w:hAnsi="Liberation Serif"/>
                  <w:color w:val="111111"/>
                  <w:sz w:val="19"/>
                </w:rPr>
                <w:t>Sec. 2607. conflicts of interest and integrity of advice.</w:t>
              </w:r>
            </w:hyperlink>
          </w:p>
        </w:tc>
        <w:tc>
          <w:tcPr>
            <w:tcW w:type="dxa" w:w="648"/>
            <w:vAlign w:val="top"/>
          </w:tcPr>
          <w:p>
            <w:pPr>
              <w:pStyle w:val="ContentsText"/>
              <w:jc w:val="right"/>
            </w:pPr>
            <w:fldSimple w:instr=" PAGEREF SEC_2607 \h ">
              <w:r>
                <w:t>141</w:t>
              </w:r>
            </w:fldSimple>
          </w:p>
        </w:tc>
      </w:tr>
      <w:tr>
        <w:trPr>
          <w:cantSplit/>
        </w:trPr>
        <w:tc>
          <w:tcPr>
            <w:tcW w:type="dxa" w:w="9000"/>
            <w:vAlign w:val="top"/>
          </w:tcPr>
          <w:p>
            <w:pPr>
              <w:pStyle w:val="ContentsText"/>
              <w:ind w:left="216"/>
            </w:pPr>
            <w:hyperlink w:anchor="SEC_2608" w:history="1">
              <w:r>
                <w:rPr>
                  <w:rFonts w:ascii="Liberation Serif" w:hAnsi="Liberation Serif"/>
                  <w:color w:val="111111"/>
                  <w:sz w:val="19"/>
                </w:rPr>
                <w:t>Sec. 2608. public complaints and systemic feedback.</w:t>
              </w:r>
            </w:hyperlink>
          </w:p>
        </w:tc>
        <w:tc>
          <w:tcPr>
            <w:tcW w:type="dxa" w:w="648"/>
            <w:vAlign w:val="top"/>
          </w:tcPr>
          <w:p>
            <w:pPr>
              <w:pStyle w:val="ContentsText"/>
              <w:jc w:val="right"/>
            </w:pPr>
            <w:fldSimple w:instr=" PAGEREF SEC_2608 \h ">
              <w:r>
                <w:t>142</w:t>
              </w:r>
            </w:fldSimple>
          </w:p>
        </w:tc>
      </w:tr>
      <w:tr>
        <w:trPr>
          <w:cantSplit/>
        </w:trPr>
        <w:tc>
          <w:tcPr>
            <w:tcW w:type="dxa" w:w="9000"/>
            <w:vAlign w:val="top"/>
          </w:tcPr>
          <w:p>
            <w:pPr>
              <w:pStyle w:val="ContentsText"/>
              <w:ind w:left="216"/>
            </w:pPr>
            <w:hyperlink w:anchor="SEC_2609" w:history="1">
              <w:r>
                <w:rPr>
                  <w:rFonts w:ascii="Liberation Serif" w:hAnsi="Liberation Serif"/>
                  <w:color w:val="111111"/>
                  <w:sz w:val="19"/>
                </w:rPr>
                <w:t>Sec. 2609. waivers, equivalent methods, and nonwaivable conditions.</w:t>
              </w:r>
            </w:hyperlink>
          </w:p>
        </w:tc>
        <w:tc>
          <w:tcPr>
            <w:tcW w:type="dxa" w:w="648"/>
            <w:vAlign w:val="top"/>
          </w:tcPr>
          <w:p>
            <w:pPr>
              <w:pStyle w:val="ContentsText"/>
              <w:jc w:val="right"/>
            </w:pPr>
            <w:fldSimple w:instr=" PAGEREF SEC_2609 \h ">
              <w:r>
                <w:t>142</w:t>
              </w:r>
            </w:fldSimple>
          </w:p>
        </w:tc>
      </w:tr>
      <w:tr>
        <w:trPr>
          <w:cantSplit/>
        </w:trPr>
        <w:tc>
          <w:tcPr>
            <w:tcW w:type="dxa" w:w="9000"/>
            <w:vAlign w:val="top"/>
          </w:tcPr>
          <w:p>
            <w:pPr>
              <w:pStyle w:val="ContentsText"/>
              <w:ind w:left="216"/>
            </w:pPr>
            <w:hyperlink w:anchor="SEC_2610" w:history="1">
              <w:r>
                <w:rPr>
                  <w:rFonts w:ascii="Liberation Serif" w:hAnsi="Liberation Serif"/>
                  <w:color w:val="111111"/>
                  <w:sz w:val="19"/>
                </w:rPr>
                <w:t>Sec. 2610. federalism and participation review.</w:t>
              </w:r>
            </w:hyperlink>
          </w:p>
        </w:tc>
        <w:tc>
          <w:tcPr>
            <w:tcW w:type="dxa" w:w="648"/>
            <w:vAlign w:val="top"/>
          </w:tcPr>
          <w:p>
            <w:pPr>
              <w:pStyle w:val="ContentsText"/>
              <w:jc w:val="right"/>
            </w:pPr>
            <w:fldSimple w:instr=" PAGEREF SEC_2610 \h ">
              <w:r>
                <w:t>142</w:t>
              </w:r>
            </w:fldSimple>
          </w:p>
        </w:tc>
      </w:tr>
      <w:tr>
        <w:trPr>
          <w:cantSplit/>
        </w:trPr>
        <w:tc>
          <w:tcPr>
            <w:tcW w:type="dxa" w:w="9000"/>
            <w:vAlign w:val="top"/>
          </w:tcPr>
          <w:p>
            <w:pPr>
              <w:pStyle w:val="ContentsText"/>
              <w:keepNext/>
              <w:spacing w:before="100"/>
            </w:pPr>
            <w:hyperlink w:anchor="TITLE_XXVII" w:history="1">
              <w:r>
                <w:rPr>
                  <w:rFonts w:ascii="Liberation Serif" w:hAnsi="Liberation Serif"/>
                  <w:b/>
                  <w:color w:val="182C3D"/>
                  <w:sz w:val="19"/>
                </w:rPr>
                <w:t>TITLE XXVII. GRANTS, PROCUREMENT, DELIVERY, AND FINANCIAL CONTROLS</w:t>
              </w:r>
            </w:hyperlink>
          </w:p>
        </w:tc>
        <w:tc>
          <w:tcPr>
            <w:tcW w:type="dxa" w:w="648"/>
            <w:vAlign w:val="top"/>
          </w:tcPr>
          <w:p>
            <w:pPr>
              <w:pStyle w:val="ContentsText"/>
              <w:spacing w:before="100"/>
              <w:jc w:val="right"/>
            </w:pPr>
            <w:fldSimple w:instr=" PAGEREF TITLE_XXVII \h ">
              <w:r>
                <w:t>144</w:t>
              </w:r>
            </w:fldSimple>
          </w:p>
        </w:tc>
      </w:tr>
      <w:tr>
        <w:trPr>
          <w:cantSplit/>
        </w:trPr>
        <w:tc>
          <w:tcPr>
            <w:tcW w:type="dxa" w:w="9000"/>
            <w:vAlign w:val="top"/>
          </w:tcPr>
          <w:p>
            <w:pPr>
              <w:pStyle w:val="ContentsText"/>
              <w:ind w:left="216"/>
            </w:pPr>
            <w:hyperlink w:anchor="SEC_2701" w:history="1">
              <w:r>
                <w:rPr>
                  <w:rFonts w:ascii="Liberation Serif" w:hAnsi="Liberation Serif"/>
                  <w:color w:val="111111"/>
                  <w:sz w:val="19"/>
                </w:rPr>
                <w:t>Sec. 2701. common award authority and eligible recipients.</w:t>
              </w:r>
            </w:hyperlink>
          </w:p>
        </w:tc>
        <w:tc>
          <w:tcPr>
            <w:tcW w:type="dxa" w:w="648"/>
            <w:vAlign w:val="top"/>
          </w:tcPr>
          <w:p>
            <w:pPr>
              <w:pStyle w:val="ContentsText"/>
              <w:jc w:val="right"/>
            </w:pPr>
            <w:fldSimple w:instr=" PAGEREF SEC_2701 \h ">
              <w:r>
                <w:t>144</w:t>
              </w:r>
            </w:fldSimple>
          </w:p>
        </w:tc>
      </w:tr>
      <w:tr>
        <w:trPr>
          <w:cantSplit/>
        </w:trPr>
        <w:tc>
          <w:tcPr>
            <w:tcW w:type="dxa" w:w="9000"/>
            <w:vAlign w:val="top"/>
          </w:tcPr>
          <w:p>
            <w:pPr>
              <w:pStyle w:val="ContentsText"/>
              <w:ind w:left="216"/>
            </w:pPr>
            <w:hyperlink w:anchor="SEC_2702" w:history="1">
              <w:r>
                <w:rPr>
                  <w:rFonts w:ascii="Liberation Serif" w:hAnsi="Liberation Serif"/>
                  <w:color w:val="111111"/>
                  <w:sz w:val="19"/>
                </w:rPr>
                <w:t>Sec. 2702. applications, evidence, and delivery plans.</w:t>
              </w:r>
            </w:hyperlink>
          </w:p>
        </w:tc>
        <w:tc>
          <w:tcPr>
            <w:tcW w:type="dxa" w:w="648"/>
            <w:vAlign w:val="top"/>
          </w:tcPr>
          <w:p>
            <w:pPr>
              <w:pStyle w:val="ContentsText"/>
              <w:jc w:val="right"/>
            </w:pPr>
            <w:fldSimple w:instr=" PAGEREF SEC_2702 \h ">
              <w:r>
                <w:t>144</w:t>
              </w:r>
            </w:fldSimple>
          </w:p>
        </w:tc>
      </w:tr>
      <w:tr>
        <w:trPr>
          <w:cantSplit/>
        </w:trPr>
        <w:tc>
          <w:tcPr>
            <w:tcW w:type="dxa" w:w="9000"/>
            <w:vAlign w:val="top"/>
          </w:tcPr>
          <w:p>
            <w:pPr>
              <w:pStyle w:val="ContentsText"/>
              <w:ind w:left="216"/>
            </w:pPr>
            <w:hyperlink w:anchor="SEC_2703" w:history="1">
              <w:r>
                <w:rPr>
                  <w:rFonts w:ascii="Liberation Serif" w:hAnsi="Liberation Serif"/>
                  <w:color w:val="111111"/>
                  <w:sz w:val="19"/>
                </w:rPr>
                <w:t>Sec. 2703. allocation, access, and geographic fairness.</w:t>
              </w:r>
            </w:hyperlink>
          </w:p>
        </w:tc>
        <w:tc>
          <w:tcPr>
            <w:tcW w:type="dxa" w:w="648"/>
            <w:vAlign w:val="top"/>
          </w:tcPr>
          <w:p>
            <w:pPr>
              <w:pStyle w:val="ContentsText"/>
              <w:jc w:val="right"/>
            </w:pPr>
            <w:fldSimple w:instr=" PAGEREF SEC_2703 \h ">
              <w:r>
                <w:t>144</w:t>
              </w:r>
            </w:fldSimple>
          </w:p>
        </w:tc>
      </w:tr>
      <w:tr>
        <w:trPr>
          <w:cantSplit/>
        </w:trPr>
        <w:tc>
          <w:tcPr>
            <w:tcW w:type="dxa" w:w="9000"/>
            <w:vAlign w:val="top"/>
          </w:tcPr>
          <w:p>
            <w:pPr>
              <w:pStyle w:val="ContentsText"/>
              <w:ind w:left="216"/>
            </w:pPr>
            <w:hyperlink w:anchor="SEC_2704" w:history="1">
              <w:r>
                <w:rPr>
                  <w:rFonts w:ascii="Liberation Serif" w:hAnsi="Liberation Serif"/>
                  <w:color w:val="111111"/>
                  <w:sz w:val="19"/>
                </w:rPr>
                <w:t>Sec. 2704. federal share and voluntary acceptance.</w:t>
              </w:r>
            </w:hyperlink>
          </w:p>
        </w:tc>
        <w:tc>
          <w:tcPr>
            <w:tcW w:type="dxa" w:w="648"/>
            <w:vAlign w:val="top"/>
          </w:tcPr>
          <w:p>
            <w:pPr>
              <w:pStyle w:val="ContentsText"/>
              <w:jc w:val="right"/>
            </w:pPr>
            <w:fldSimple w:instr=" PAGEREF SEC_2704 \h ">
              <w:r>
                <w:t>145</w:t>
              </w:r>
            </w:fldSimple>
          </w:p>
        </w:tc>
      </w:tr>
      <w:tr>
        <w:trPr>
          <w:cantSplit/>
        </w:trPr>
        <w:tc>
          <w:tcPr>
            <w:tcW w:type="dxa" w:w="9000"/>
            <w:vAlign w:val="top"/>
          </w:tcPr>
          <w:p>
            <w:pPr>
              <w:pStyle w:val="ContentsText"/>
              <w:ind w:left="216"/>
            </w:pPr>
            <w:hyperlink w:anchor="SEC_2705" w:history="1">
              <w:r>
                <w:rPr>
                  <w:rFonts w:ascii="Liberation Serif" w:hAnsi="Liberation Serif"/>
                  <w:color w:val="111111"/>
                  <w:sz w:val="19"/>
                </w:rPr>
                <w:t>Sec. 2705. milestones, disbursement, and performance.</w:t>
              </w:r>
            </w:hyperlink>
          </w:p>
        </w:tc>
        <w:tc>
          <w:tcPr>
            <w:tcW w:type="dxa" w:w="648"/>
            <w:vAlign w:val="top"/>
          </w:tcPr>
          <w:p>
            <w:pPr>
              <w:pStyle w:val="ContentsText"/>
              <w:jc w:val="right"/>
            </w:pPr>
            <w:fldSimple w:instr=" PAGEREF SEC_2705 \h ">
              <w:r>
                <w:t>145</w:t>
              </w:r>
            </w:fldSimple>
          </w:p>
        </w:tc>
      </w:tr>
      <w:tr>
        <w:trPr>
          <w:cantSplit/>
        </w:trPr>
        <w:tc>
          <w:tcPr>
            <w:tcW w:type="dxa" w:w="9000"/>
            <w:vAlign w:val="top"/>
          </w:tcPr>
          <w:p>
            <w:pPr>
              <w:pStyle w:val="ContentsText"/>
              <w:ind w:left="216"/>
            </w:pPr>
            <w:hyperlink w:anchor="SEC_2706" w:history="1">
              <w:r>
                <w:rPr>
                  <w:rFonts w:ascii="Liberation Serif" w:hAnsi="Liberation Serif"/>
                  <w:color w:val="111111"/>
                  <w:sz w:val="19"/>
                </w:rPr>
                <w:t>Sec. 2706. allowable costs, indirect costs, and procurement.</w:t>
              </w:r>
            </w:hyperlink>
          </w:p>
        </w:tc>
        <w:tc>
          <w:tcPr>
            <w:tcW w:type="dxa" w:w="648"/>
            <w:vAlign w:val="top"/>
          </w:tcPr>
          <w:p>
            <w:pPr>
              <w:pStyle w:val="ContentsText"/>
              <w:jc w:val="right"/>
            </w:pPr>
            <w:fldSimple w:instr=" PAGEREF SEC_2706 \h ">
              <w:r>
                <w:t>146</w:t>
              </w:r>
            </w:fldSimple>
          </w:p>
        </w:tc>
      </w:tr>
      <w:tr>
        <w:trPr>
          <w:cantSplit/>
        </w:trPr>
        <w:tc>
          <w:tcPr>
            <w:tcW w:type="dxa" w:w="9000"/>
            <w:vAlign w:val="top"/>
          </w:tcPr>
          <w:p>
            <w:pPr>
              <w:pStyle w:val="ContentsText"/>
              <w:ind w:left="216"/>
            </w:pPr>
            <w:hyperlink w:anchor="SEC_2707" w:history="1">
              <w:r>
                <w:rPr>
                  <w:rFonts w:ascii="Liberation Serif" w:hAnsi="Liberation Serif"/>
                  <w:color w:val="111111"/>
                  <w:sz w:val="19"/>
                </w:rPr>
                <w:t>Sec. 2707. land, tribal rights, and environmental compliance.</w:t>
              </w:r>
            </w:hyperlink>
          </w:p>
        </w:tc>
        <w:tc>
          <w:tcPr>
            <w:tcW w:type="dxa" w:w="648"/>
            <w:vAlign w:val="top"/>
          </w:tcPr>
          <w:p>
            <w:pPr>
              <w:pStyle w:val="ContentsText"/>
              <w:jc w:val="right"/>
            </w:pPr>
            <w:fldSimple w:instr=" PAGEREF SEC_2707 \h ">
              <w:r>
                <w:t>146</w:t>
              </w:r>
            </w:fldSimple>
          </w:p>
        </w:tc>
      </w:tr>
      <w:tr>
        <w:trPr>
          <w:cantSplit/>
        </w:trPr>
        <w:tc>
          <w:tcPr>
            <w:tcW w:type="dxa" w:w="9000"/>
            <w:vAlign w:val="top"/>
          </w:tcPr>
          <w:p>
            <w:pPr>
              <w:pStyle w:val="ContentsText"/>
              <w:ind w:left="216"/>
            </w:pPr>
            <w:hyperlink w:anchor="SEC_2708" w:history="1">
              <w:r>
                <w:rPr>
                  <w:rFonts w:ascii="Liberation Serif" w:hAnsi="Liberation Serif"/>
                  <w:color w:val="111111"/>
                  <w:sz w:val="19"/>
                </w:rPr>
                <w:t>Sec. 2708. capital use, maintenance, and disposition.</w:t>
              </w:r>
            </w:hyperlink>
          </w:p>
        </w:tc>
        <w:tc>
          <w:tcPr>
            <w:tcW w:type="dxa" w:w="648"/>
            <w:vAlign w:val="top"/>
          </w:tcPr>
          <w:p>
            <w:pPr>
              <w:pStyle w:val="ContentsText"/>
              <w:jc w:val="right"/>
            </w:pPr>
            <w:fldSimple w:instr=" PAGEREF SEC_2708 \h ">
              <w:r>
                <w:t>147</w:t>
              </w:r>
            </w:fldSimple>
          </w:p>
        </w:tc>
      </w:tr>
      <w:tr>
        <w:trPr>
          <w:cantSplit/>
        </w:trPr>
        <w:tc>
          <w:tcPr>
            <w:tcW w:type="dxa" w:w="9000"/>
            <w:vAlign w:val="top"/>
          </w:tcPr>
          <w:p>
            <w:pPr>
              <w:pStyle w:val="ContentsText"/>
              <w:ind w:left="216"/>
            </w:pPr>
            <w:hyperlink w:anchor="SEC_2709" w:history="1">
              <w:r>
                <w:rPr>
                  <w:rFonts w:ascii="Liberation Serif" w:hAnsi="Liberation Serif"/>
                  <w:color w:val="111111"/>
                  <w:sz w:val="19"/>
                </w:rPr>
                <w:t>Sec. 2709. incidents, audits, fraud, and corrective action.</w:t>
              </w:r>
            </w:hyperlink>
          </w:p>
        </w:tc>
        <w:tc>
          <w:tcPr>
            <w:tcW w:type="dxa" w:w="648"/>
            <w:vAlign w:val="top"/>
          </w:tcPr>
          <w:p>
            <w:pPr>
              <w:pStyle w:val="ContentsText"/>
              <w:jc w:val="right"/>
            </w:pPr>
            <w:fldSimple w:instr=" PAGEREF SEC_2709 \h ">
              <w:r>
                <w:t>147</w:t>
              </w:r>
            </w:fldSimple>
          </w:p>
        </w:tc>
      </w:tr>
      <w:tr>
        <w:trPr>
          <w:cantSplit/>
        </w:trPr>
        <w:tc>
          <w:tcPr>
            <w:tcW w:type="dxa" w:w="9000"/>
            <w:vAlign w:val="top"/>
          </w:tcPr>
          <w:p>
            <w:pPr>
              <w:pStyle w:val="ContentsText"/>
              <w:ind w:left="216"/>
            </w:pPr>
            <w:hyperlink w:anchor="SEC_2710" w:history="1">
              <w:r>
                <w:rPr>
                  <w:rFonts w:ascii="Liberation Serif" w:hAnsi="Liberation Serif"/>
                  <w:color w:val="111111"/>
                  <w:sz w:val="19"/>
                </w:rPr>
                <w:t>Sec. 2710. closeout, appeal, and preservation of services.</w:t>
              </w:r>
            </w:hyperlink>
          </w:p>
        </w:tc>
        <w:tc>
          <w:tcPr>
            <w:tcW w:type="dxa" w:w="648"/>
            <w:vAlign w:val="top"/>
          </w:tcPr>
          <w:p>
            <w:pPr>
              <w:pStyle w:val="ContentsText"/>
              <w:jc w:val="right"/>
            </w:pPr>
            <w:fldSimple w:instr=" PAGEREF SEC_2710 \h ">
              <w:r>
                <w:t>148</w:t>
              </w:r>
            </w:fldSimple>
          </w:p>
        </w:tc>
      </w:tr>
      <w:tr>
        <w:trPr>
          <w:cantSplit/>
        </w:trPr>
        <w:tc>
          <w:tcPr>
            <w:tcW w:type="dxa" w:w="9000"/>
            <w:vAlign w:val="top"/>
          </w:tcPr>
          <w:p>
            <w:pPr>
              <w:pStyle w:val="ContentsText"/>
              <w:keepNext/>
              <w:spacing w:before="100"/>
            </w:pPr>
            <w:hyperlink w:anchor="TITLE_XXVIII" w:history="1">
              <w:r>
                <w:rPr>
                  <w:rFonts w:ascii="Liberation Serif" w:hAnsi="Liberation Serif"/>
                  <w:b/>
                  <w:color w:val="182C3D"/>
                  <w:sz w:val="19"/>
                </w:rPr>
                <w:t>TITLE XXVIII. COMPLIANCE, ENFORCEMENT, REMEDIES, AND JUDICIAL REVIEW</w:t>
              </w:r>
            </w:hyperlink>
          </w:p>
        </w:tc>
        <w:tc>
          <w:tcPr>
            <w:tcW w:type="dxa" w:w="648"/>
            <w:vAlign w:val="top"/>
          </w:tcPr>
          <w:p>
            <w:pPr>
              <w:pStyle w:val="ContentsText"/>
              <w:spacing w:before="100"/>
              <w:jc w:val="right"/>
            </w:pPr>
            <w:fldSimple w:instr=" PAGEREF TITLE_XXVIII \h ">
              <w:r>
                <w:t>149</w:t>
              </w:r>
            </w:fldSimple>
          </w:p>
        </w:tc>
      </w:tr>
      <w:tr>
        <w:trPr>
          <w:cantSplit/>
        </w:trPr>
        <w:tc>
          <w:tcPr>
            <w:tcW w:type="dxa" w:w="9000"/>
            <w:vAlign w:val="top"/>
          </w:tcPr>
          <w:p>
            <w:pPr>
              <w:pStyle w:val="ContentsText"/>
              <w:ind w:left="216"/>
            </w:pPr>
            <w:hyperlink w:anchor="SEC_2801" w:history="1">
              <w:r>
                <w:rPr>
                  <w:rFonts w:ascii="Liberation Serif" w:hAnsi="Liberation Serif"/>
                  <w:color w:val="111111"/>
                  <w:sz w:val="19"/>
                </w:rPr>
                <w:t>Sec. 2801. enforcement principles and applicable standards.</w:t>
              </w:r>
            </w:hyperlink>
          </w:p>
        </w:tc>
        <w:tc>
          <w:tcPr>
            <w:tcW w:type="dxa" w:w="648"/>
            <w:vAlign w:val="top"/>
          </w:tcPr>
          <w:p>
            <w:pPr>
              <w:pStyle w:val="ContentsText"/>
              <w:jc w:val="right"/>
            </w:pPr>
            <w:fldSimple w:instr=" PAGEREF SEC_2801 \h ">
              <w:r>
                <w:t>149</w:t>
              </w:r>
            </w:fldSimple>
          </w:p>
        </w:tc>
      </w:tr>
      <w:tr>
        <w:trPr>
          <w:cantSplit/>
        </w:trPr>
        <w:tc>
          <w:tcPr>
            <w:tcW w:type="dxa" w:w="9000"/>
            <w:vAlign w:val="top"/>
          </w:tcPr>
          <w:p>
            <w:pPr>
              <w:pStyle w:val="ContentsText"/>
              <w:ind w:left="216"/>
            </w:pPr>
            <w:hyperlink w:anchor="SEC_2802" w:history="1">
              <w:r>
                <w:rPr>
                  <w:rFonts w:ascii="Liberation Serif" w:hAnsi="Liberation Serif"/>
                  <w:color w:val="111111"/>
                  <w:sz w:val="19"/>
                </w:rPr>
                <w:t>Sec. 2802. allocation of public enforcement authority.</w:t>
              </w:r>
            </w:hyperlink>
          </w:p>
        </w:tc>
        <w:tc>
          <w:tcPr>
            <w:tcW w:type="dxa" w:w="648"/>
            <w:vAlign w:val="top"/>
          </w:tcPr>
          <w:p>
            <w:pPr>
              <w:pStyle w:val="ContentsText"/>
              <w:jc w:val="right"/>
            </w:pPr>
            <w:fldSimple w:instr=" PAGEREF SEC_2802 \h ">
              <w:r>
                <w:t>149</w:t>
              </w:r>
            </w:fldSimple>
          </w:p>
        </w:tc>
      </w:tr>
      <w:tr>
        <w:trPr>
          <w:cantSplit/>
        </w:trPr>
        <w:tc>
          <w:tcPr>
            <w:tcW w:type="dxa" w:w="9000"/>
            <w:vAlign w:val="top"/>
          </w:tcPr>
          <w:p>
            <w:pPr>
              <w:pStyle w:val="ContentsText"/>
              <w:ind w:left="216"/>
            </w:pPr>
            <w:hyperlink w:anchor="SEC_2803" w:history="1">
              <w:r>
                <w:rPr>
                  <w:rFonts w:ascii="Liberation Serif" w:hAnsi="Liberation Serif"/>
                  <w:color w:val="111111"/>
                  <w:sz w:val="19"/>
                </w:rPr>
                <w:t>Sec. 2803. investigations, information demands, and inspections.</w:t>
              </w:r>
            </w:hyperlink>
          </w:p>
        </w:tc>
        <w:tc>
          <w:tcPr>
            <w:tcW w:type="dxa" w:w="648"/>
            <w:vAlign w:val="top"/>
          </w:tcPr>
          <w:p>
            <w:pPr>
              <w:pStyle w:val="ContentsText"/>
              <w:jc w:val="right"/>
            </w:pPr>
            <w:fldSimple w:instr=" PAGEREF SEC_2803 \h ">
              <w:r>
                <w:t>150</w:t>
              </w:r>
            </w:fldSimple>
          </w:p>
        </w:tc>
      </w:tr>
      <w:tr>
        <w:trPr>
          <w:cantSplit/>
        </w:trPr>
        <w:tc>
          <w:tcPr>
            <w:tcW w:type="dxa" w:w="9000"/>
            <w:vAlign w:val="top"/>
          </w:tcPr>
          <w:p>
            <w:pPr>
              <w:pStyle w:val="ContentsText"/>
              <w:ind w:left="216"/>
            </w:pPr>
            <w:hyperlink w:anchor="SEC_2804" w:history="1">
              <w:r>
                <w:rPr>
                  <w:rFonts w:ascii="Liberation Serif" w:hAnsi="Liberation Serif"/>
                  <w:color w:val="111111"/>
                  <w:sz w:val="19"/>
                </w:rPr>
                <w:t>Sec. 2804. notice, correction, and administrative grant remedies.</w:t>
              </w:r>
            </w:hyperlink>
          </w:p>
        </w:tc>
        <w:tc>
          <w:tcPr>
            <w:tcW w:type="dxa" w:w="648"/>
            <w:vAlign w:val="top"/>
          </w:tcPr>
          <w:p>
            <w:pPr>
              <w:pStyle w:val="ContentsText"/>
              <w:jc w:val="right"/>
            </w:pPr>
            <w:fldSimple w:instr=" PAGEREF SEC_2804 \h ">
              <w:r>
                <w:t>150</w:t>
              </w:r>
            </w:fldSimple>
          </w:p>
        </w:tc>
      </w:tr>
      <w:tr>
        <w:trPr>
          <w:cantSplit/>
        </w:trPr>
        <w:tc>
          <w:tcPr>
            <w:tcW w:type="dxa" w:w="9000"/>
            <w:vAlign w:val="top"/>
          </w:tcPr>
          <w:p>
            <w:pPr>
              <w:pStyle w:val="ContentsText"/>
              <w:ind w:left="216"/>
            </w:pPr>
            <w:hyperlink w:anchor="SEC_2805" w:history="1">
              <w:r>
                <w:rPr>
                  <w:rFonts w:ascii="Liberation Serif" w:hAnsi="Liberation Serif"/>
                  <w:color w:val="111111"/>
                  <w:sz w:val="19"/>
                </w:rPr>
                <w:t>Sec. 2805. civil monetary penalties in federal court.</w:t>
              </w:r>
            </w:hyperlink>
          </w:p>
        </w:tc>
        <w:tc>
          <w:tcPr>
            <w:tcW w:type="dxa" w:w="648"/>
            <w:vAlign w:val="top"/>
          </w:tcPr>
          <w:p>
            <w:pPr>
              <w:pStyle w:val="ContentsText"/>
              <w:jc w:val="right"/>
            </w:pPr>
            <w:fldSimple w:instr=" PAGEREF SEC_2805 \h ">
              <w:r>
                <w:t>151</w:t>
              </w:r>
            </w:fldSimple>
          </w:p>
        </w:tc>
      </w:tr>
      <w:tr>
        <w:trPr>
          <w:cantSplit/>
        </w:trPr>
        <w:tc>
          <w:tcPr>
            <w:tcW w:type="dxa" w:w="9000"/>
            <w:vAlign w:val="top"/>
          </w:tcPr>
          <w:p>
            <w:pPr>
              <w:pStyle w:val="ContentsText"/>
              <w:ind w:left="216"/>
            </w:pPr>
            <w:hyperlink w:anchor="SEC_2806" w:history="1">
              <w:r>
                <w:rPr>
                  <w:rFonts w:ascii="Liberation Serif" w:hAnsi="Liberation Serif"/>
                  <w:color w:val="111111"/>
                  <w:sz w:val="19"/>
                </w:rPr>
                <w:t>Sec. 2806. injunctions, restitution, and remedial orders.</w:t>
              </w:r>
            </w:hyperlink>
          </w:p>
        </w:tc>
        <w:tc>
          <w:tcPr>
            <w:tcW w:type="dxa" w:w="648"/>
            <w:vAlign w:val="top"/>
          </w:tcPr>
          <w:p>
            <w:pPr>
              <w:pStyle w:val="ContentsText"/>
              <w:jc w:val="right"/>
            </w:pPr>
            <w:fldSimple w:instr=" PAGEREF SEC_2806 \h ">
              <w:r>
                <w:t>152</w:t>
              </w:r>
            </w:fldSimple>
          </w:p>
        </w:tc>
      </w:tr>
      <w:tr>
        <w:trPr>
          <w:cantSplit/>
        </w:trPr>
        <w:tc>
          <w:tcPr>
            <w:tcW w:type="dxa" w:w="9000"/>
            <w:vAlign w:val="top"/>
          </w:tcPr>
          <w:p>
            <w:pPr>
              <w:pStyle w:val="ContentsText"/>
              <w:ind w:left="216"/>
            </w:pPr>
            <w:hyperlink w:anchor="SEC_2807" w:history="1">
              <w:r>
                <w:rPr>
                  <w:rFonts w:ascii="Liberation Serif" w:hAnsi="Liberation Serif"/>
                  <w:color w:val="111111"/>
                  <w:sz w:val="19"/>
                </w:rPr>
                <w:t>Sec. 2807. express private rights of action.</w:t>
              </w:r>
            </w:hyperlink>
          </w:p>
        </w:tc>
        <w:tc>
          <w:tcPr>
            <w:tcW w:type="dxa" w:w="648"/>
            <w:vAlign w:val="top"/>
          </w:tcPr>
          <w:p>
            <w:pPr>
              <w:pStyle w:val="ContentsText"/>
              <w:jc w:val="right"/>
            </w:pPr>
            <w:fldSimple w:instr=" PAGEREF SEC_2807 \h ">
              <w:r>
                <w:t>152</w:t>
              </w:r>
            </w:fldSimple>
          </w:p>
        </w:tc>
      </w:tr>
      <w:tr>
        <w:trPr>
          <w:cantSplit/>
        </w:trPr>
        <w:tc>
          <w:tcPr>
            <w:tcW w:type="dxa" w:w="9000"/>
            <w:vAlign w:val="top"/>
          </w:tcPr>
          <w:p>
            <w:pPr>
              <w:pStyle w:val="ContentsText"/>
              <w:ind w:left="216"/>
            </w:pPr>
            <w:hyperlink w:anchor="SEC_2808" w:history="1">
              <w:r>
                <w:rPr>
                  <w:rFonts w:ascii="Liberation Serif" w:hAnsi="Liberation Serif"/>
                  <w:color w:val="111111"/>
                  <w:sz w:val="19"/>
                </w:rPr>
                <w:t>Sec. 2808. state attorney general actions and coordination.</w:t>
              </w:r>
            </w:hyperlink>
          </w:p>
        </w:tc>
        <w:tc>
          <w:tcPr>
            <w:tcW w:type="dxa" w:w="648"/>
            <w:vAlign w:val="top"/>
          </w:tcPr>
          <w:p>
            <w:pPr>
              <w:pStyle w:val="ContentsText"/>
              <w:jc w:val="right"/>
            </w:pPr>
            <w:fldSimple w:instr=" PAGEREF SEC_2808 \h ">
              <w:r>
                <w:t>153</w:t>
              </w:r>
            </w:fldSimple>
          </w:p>
        </w:tc>
      </w:tr>
      <w:tr>
        <w:trPr>
          <w:cantSplit/>
        </w:trPr>
        <w:tc>
          <w:tcPr>
            <w:tcW w:type="dxa" w:w="9000"/>
            <w:vAlign w:val="top"/>
          </w:tcPr>
          <w:p>
            <w:pPr>
              <w:pStyle w:val="ContentsText"/>
              <w:ind w:left="216"/>
            </w:pPr>
            <w:hyperlink w:anchor="SEC_2809" w:history="1">
              <w:r>
                <w:rPr>
                  <w:rFonts w:ascii="Liberation Serif" w:hAnsi="Liberation Serif"/>
                  <w:color w:val="111111"/>
                  <w:sz w:val="19"/>
                </w:rPr>
                <w:t>Sec. 2809. whistleblowers, confidentiality, and access to justice.</w:t>
              </w:r>
            </w:hyperlink>
          </w:p>
        </w:tc>
        <w:tc>
          <w:tcPr>
            <w:tcW w:type="dxa" w:w="648"/>
            <w:vAlign w:val="top"/>
          </w:tcPr>
          <w:p>
            <w:pPr>
              <w:pStyle w:val="ContentsText"/>
              <w:jc w:val="right"/>
            </w:pPr>
            <w:fldSimple w:instr=" PAGEREF SEC_2809 \h ">
              <w:r>
                <w:t>153</w:t>
              </w:r>
            </w:fldSimple>
          </w:p>
        </w:tc>
      </w:tr>
      <w:tr>
        <w:trPr>
          <w:cantSplit/>
        </w:trPr>
        <w:tc>
          <w:tcPr>
            <w:tcW w:type="dxa" w:w="9000"/>
            <w:vAlign w:val="top"/>
          </w:tcPr>
          <w:p>
            <w:pPr>
              <w:pStyle w:val="ContentsText"/>
              <w:ind w:left="216"/>
            </w:pPr>
            <w:hyperlink w:anchor="SEC_2810" w:history="1">
              <w:r>
                <w:rPr>
                  <w:rFonts w:ascii="Liberation Serif" w:hAnsi="Liberation Serif"/>
                  <w:color w:val="111111"/>
                  <w:sz w:val="19"/>
                </w:rPr>
                <w:t>Sec. 2810. judicial review, severability of remedies, and enforcement reporting.</w:t>
              </w:r>
            </w:hyperlink>
          </w:p>
        </w:tc>
        <w:tc>
          <w:tcPr>
            <w:tcW w:type="dxa" w:w="648"/>
            <w:vAlign w:val="top"/>
          </w:tcPr>
          <w:p>
            <w:pPr>
              <w:pStyle w:val="ContentsText"/>
              <w:jc w:val="right"/>
            </w:pPr>
            <w:fldSimple w:instr=" PAGEREF SEC_2810 \h ">
              <w:r>
                <w:t>154</w:t>
              </w:r>
            </w:fldSimple>
          </w:p>
        </w:tc>
      </w:tr>
      <w:tr>
        <w:trPr>
          <w:cantSplit/>
        </w:trPr>
        <w:tc>
          <w:tcPr>
            <w:tcW w:type="dxa" w:w="9000"/>
            <w:vAlign w:val="top"/>
          </w:tcPr>
          <w:p>
            <w:pPr>
              <w:pStyle w:val="ContentsText"/>
              <w:keepNext/>
              <w:spacing w:before="100"/>
            </w:pPr>
            <w:hyperlink w:anchor="TITLE_XXIX" w:history="1">
              <w:r>
                <w:rPr>
                  <w:rFonts w:ascii="Liberation Serif" w:hAnsi="Liberation Serif"/>
                  <w:b/>
                  <w:color w:val="182C3D"/>
                  <w:sz w:val="19"/>
                </w:rPr>
                <w:t>TITLE XXIX. APPROPRIATIONS, FISCAL CONTROLS, AND BUDGET ACCOUNTABILITY</w:t>
              </w:r>
            </w:hyperlink>
          </w:p>
        </w:tc>
        <w:tc>
          <w:tcPr>
            <w:tcW w:type="dxa" w:w="648"/>
            <w:vAlign w:val="top"/>
          </w:tcPr>
          <w:p>
            <w:pPr>
              <w:pStyle w:val="ContentsText"/>
              <w:spacing w:before="100"/>
              <w:jc w:val="right"/>
            </w:pPr>
            <w:fldSimple w:instr=" PAGEREF TITLE_XXIX \h ">
              <w:r>
                <w:t>155</w:t>
              </w:r>
            </w:fldSimple>
          </w:p>
        </w:tc>
      </w:tr>
      <w:tr>
        <w:trPr>
          <w:cantSplit/>
        </w:trPr>
        <w:tc>
          <w:tcPr>
            <w:tcW w:type="dxa" w:w="9000"/>
            <w:vAlign w:val="top"/>
          </w:tcPr>
          <w:p>
            <w:pPr>
              <w:pStyle w:val="ContentsText"/>
              <w:ind w:left="216"/>
            </w:pPr>
            <w:hyperlink w:anchor="SEC_2901" w:history="1">
              <w:r>
                <w:rPr>
                  <w:rFonts w:ascii="Liberation Serif" w:hAnsi="Liberation Serif"/>
                  <w:color w:val="111111"/>
                  <w:sz w:val="19"/>
                </w:rPr>
                <w:t>Sec. 2901. human capability investment fund.</w:t>
              </w:r>
            </w:hyperlink>
          </w:p>
        </w:tc>
        <w:tc>
          <w:tcPr>
            <w:tcW w:type="dxa" w:w="648"/>
            <w:vAlign w:val="top"/>
          </w:tcPr>
          <w:p>
            <w:pPr>
              <w:pStyle w:val="ContentsText"/>
              <w:jc w:val="right"/>
            </w:pPr>
            <w:fldSimple w:instr=" PAGEREF SEC_2901 \h ">
              <w:r>
                <w:t>155</w:t>
              </w:r>
            </w:fldSimple>
          </w:p>
        </w:tc>
      </w:tr>
      <w:tr>
        <w:trPr>
          <w:cantSplit/>
        </w:trPr>
        <w:tc>
          <w:tcPr>
            <w:tcW w:type="dxa" w:w="9000"/>
            <w:vAlign w:val="top"/>
          </w:tcPr>
          <w:p>
            <w:pPr>
              <w:pStyle w:val="ContentsText"/>
              <w:ind w:left="216"/>
            </w:pPr>
            <w:hyperlink w:anchor="SEC_2902" w:history="1">
              <w:r>
                <w:rPr>
                  <w:rFonts w:ascii="Liberation Serif" w:hAnsi="Liberation Serif"/>
                  <w:color w:val="111111"/>
                  <w:sz w:val="19"/>
                </w:rPr>
                <w:t>Sec. 2902. ten-year appropriation schedule and availability.</w:t>
              </w:r>
            </w:hyperlink>
          </w:p>
        </w:tc>
        <w:tc>
          <w:tcPr>
            <w:tcW w:type="dxa" w:w="648"/>
            <w:vAlign w:val="top"/>
          </w:tcPr>
          <w:p>
            <w:pPr>
              <w:pStyle w:val="ContentsText"/>
              <w:jc w:val="right"/>
            </w:pPr>
            <w:fldSimple w:instr=" PAGEREF SEC_2902 \h ">
              <w:r>
                <w:t>155</w:t>
              </w:r>
            </w:fldSimple>
          </w:p>
        </w:tc>
      </w:tr>
      <w:tr>
        <w:trPr>
          <w:cantSplit/>
        </w:trPr>
        <w:tc>
          <w:tcPr>
            <w:tcW w:type="dxa" w:w="9000"/>
            <w:vAlign w:val="top"/>
          </w:tcPr>
          <w:p>
            <w:pPr>
              <w:pStyle w:val="ContentsText"/>
              <w:ind w:left="216"/>
            </w:pPr>
            <w:hyperlink w:anchor="SEC_2903" w:history="1">
              <w:r>
                <w:rPr>
                  <w:rFonts w:ascii="Liberation Serif" w:hAnsi="Liberation Serif"/>
                  <w:color w:val="111111"/>
                  <w:sz w:val="19"/>
                </w:rPr>
                <w:t>Sec. 2903. account allocations and responsible agencies.</w:t>
              </w:r>
            </w:hyperlink>
          </w:p>
        </w:tc>
        <w:tc>
          <w:tcPr>
            <w:tcW w:type="dxa" w:w="648"/>
            <w:vAlign w:val="top"/>
          </w:tcPr>
          <w:p>
            <w:pPr>
              <w:pStyle w:val="ContentsText"/>
              <w:jc w:val="right"/>
            </w:pPr>
            <w:fldSimple w:instr=" PAGEREF SEC_2903 \h ">
              <w:r>
                <w:t>156</w:t>
              </w:r>
            </w:fldSimple>
          </w:p>
        </w:tc>
      </w:tr>
      <w:tr>
        <w:trPr>
          <w:cantSplit/>
        </w:trPr>
        <w:tc>
          <w:tcPr>
            <w:tcW w:type="dxa" w:w="9000"/>
            <w:vAlign w:val="top"/>
          </w:tcPr>
          <w:p>
            <w:pPr>
              <w:pStyle w:val="ContentsText"/>
              <w:ind w:left="216"/>
            </w:pPr>
            <w:hyperlink w:anchor="SEC_2904" w:history="1">
              <w:r>
                <w:rPr>
                  <w:rFonts w:ascii="Liberation Serif" w:hAnsi="Liberation Serif"/>
                  <w:color w:val="111111"/>
                  <w:sz w:val="19"/>
                </w:rPr>
                <w:t>Sec. 2904. execution plans, reserves, and limited transfers.</w:t>
              </w:r>
            </w:hyperlink>
          </w:p>
        </w:tc>
        <w:tc>
          <w:tcPr>
            <w:tcW w:type="dxa" w:w="648"/>
            <w:vAlign w:val="top"/>
          </w:tcPr>
          <w:p>
            <w:pPr>
              <w:pStyle w:val="ContentsText"/>
              <w:jc w:val="right"/>
            </w:pPr>
            <w:fldSimple w:instr=" PAGEREF SEC_2904 \h ">
              <w:r>
                <w:t>156</w:t>
              </w:r>
            </w:fldSimple>
          </w:p>
        </w:tc>
      </w:tr>
      <w:tr>
        <w:trPr>
          <w:cantSplit/>
        </w:trPr>
        <w:tc>
          <w:tcPr>
            <w:tcW w:type="dxa" w:w="9000"/>
            <w:vAlign w:val="top"/>
          </w:tcPr>
          <w:p>
            <w:pPr>
              <w:pStyle w:val="ContentsText"/>
              <w:ind w:left="216"/>
            </w:pPr>
            <w:hyperlink w:anchor="SEC_2905" w:history="1">
              <w:r>
                <w:rPr>
                  <w:rFonts w:ascii="Liberation Serif" w:hAnsi="Liberation Serif"/>
                  <w:color w:val="111111"/>
                  <w:sz w:val="19"/>
                </w:rPr>
                <w:t>Sec. 2905. staffing, administration, and implementation capacity.</w:t>
              </w:r>
            </w:hyperlink>
          </w:p>
        </w:tc>
        <w:tc>
          <w:tcPr>
            <w:tcW w:type="dxa" w:w="648"/>
            <w:vAlign w:val="top"/>
          </w:tcPr>
          <w:p>
            <w:pPr>
              <w:pStyle w:val="ContentsText"/>
              <w:jc w:val="right"/>
            </w:pPr>
            <w:fldSimple w:instr=" PAGEREF SEC_2905 \h ">
              <w:r>
                <w:t>157</w:t>
              </w:r>
            </w:fldSimple>
          </w:p>
        </w:tc>
      </w:tr>
      <w:tr>
        <w:trPr>
          <w:cantSplit/>
        </w:trPr>
        <w:tc>
          <w:tcPr>
            <w:tcW w:type="dxa" w:w="9000"/>
            <w:vAlign w:val="top"/>
          </w:tcPr>
          <w:p>
            <w:pPr>
              <w:pStyle w:val="ContentsText"/>
              <w:ind w:left="216"/>
            </w:pPr>
            <w:hyperlink w:anchor="SEC_2906" w:history="1">
              <w:r>
                <w:rPr>
                  <w:rFonts w:ascii="Liberation Serif" w:hAnsi="Liberation Serif"/>
                  <w:color w:val="111111"/>
                  <w:sz w:val="19"/>
                </w:rPr>
                <w:t>Sec. 2906. fiscal notes, unit costs, and distributional analysis.</w:t>
              </w:r>
            </w:hyperlink>
          </w:p>
        </w:tc>
        <w:tc>
          <w:tcPr>
            <w:tcW w:type="dxa" w:w="648"/>
            <w:vAlign w:val="top"/>
          </w:tcPr>
          <w:p>
            <w:pPr>
              <w:pStyle w:val="ContentsText"/>
              <w:jc w:val="right"/>
            </w:pPr>
            <w:fldSimple w:instr=" PAGEREF SEC_2906 \h ">
              <w:r>
                <w:t>157</w:t>
              </w:r>
            </w:fldSimple>
          </w:p>
        </w:tc>
      </w:tr>
      <w:tr>
        <w:trPr>
          <w:cantSplit/>
        </w:trPr>
        <w:tc>
          <w:tcPr>
            <w:tcW w:type="dxa" w:w="9000"/>
            <w:vAlign w:val="top"/>
          </w:tcPr>
          <w:p>
            <w:pPr>
              <w:pStyle w:val="ContentsText"/>
              <w:ind w:left="216"/>
            </w:pPr>
            <w:hyperlink w:anchor="SEC_2907" w:history="1">
              <w:r>
                <w:rPr>
                  <w:rFonts w:ascii="Liberation Serif" w:hAnsi="Liberation Serif"/>
                  <w:color w:val="111111"/>
                  <w:sz w:val="19"/>
                </w:rPr>
                <w:t>Sec. 2907. revenue, savings, and deficit transparency.</w:t>
              </w:r>
            </w:hyperlink>
          </w:p>
        </w:tc>
        <w:tc>
          <w:tcPr>
            <w:tcW w:type="dxa" w:w="648"/>
            <w:vAlign w:val="top"/>
          </w:tcPr>
          <w:p>
            <w:pPr>
              <w:pStyle w:val="ContentsText"/>
              <w:jc w:val="right"/>
            </w:pPr>
            <w:fldSimple w:instr=" PAGEREF SEC_2907 \h ">
              <w:r>
                <w:t>158</w:t>
              </w:r>
            </w:fldSimple>
          </w:p>
        </w:tc>
      </w:tr>
      <w:tr>
        <w:trPr>
          <w:cantSplit/>
        </w:trPr>
        <w:tc>
          <w:tcPr>
            <w:tcW w:type="dxa" w:w="9000"/>
            <w:vAlign w:val="top"/>
          </w:tcPr>
          <w:p>
            <w:pPr>
              <w:pStyle w:val="ContentsText"/>
              <w:ind w:left="216"/>
            </w:pPr>
            <w:hyperlink w:anchor="SEC_2908" w:history="1">
              <w:r>
                <w:rPr>
                  <w:rFonts w:ascii="Liberation Serif" w:hAnsi="Liberation Serif"/>
                  <w:color w:val="111111"/>
                  <w:sz w:val="19"/>
                </w:rPr>
                <w:t>Sec. 2908. private and intergovernmental mandate accounting.</w:t>
              </w:r>
            </w:hyperlink>
          </w:p>
        </w:tc>
        <w:tc>
          <w:tcPr>
            <w:tcW w:type="dxa" w:w="648"/>
            <w:vAlign w:val="top"/>
          </w:tcPr>
          <w:p>
            <w:pPr>
              <w:pStyle w:val="ContentsText"/>
              <w:jc w:val="right"/>
            </w:pPr>
            <w:fldSimple w:instr=" PAGEREF SEC_2908 \h ">
              <w:r>
                <w:t>158</w:t>
              </w:r>
            </w:fldSimple>
          </w:p>
        </w:tc>
      </w:tr>
      <w:tr>
        <w:trPr>
          <w:cantSplit/>
        </w:trPr>
        <w:tc>
          <w:tcPr>
            <w:tcW w:type="dxa" w:w="9000"/>
            <w:vAlign w:val="top"/>
          </w:tcPr>
          <w:p>
            <w:pPr>
              <w:pStyle w:val="ContentsText"/>
              <w:ind w:left="216"/>
            </w:pPr>
            <w:hyperlink w:anchor="SEC_2909" w:history="1">
              <w:r>
                <w:rPr>
                  <w:rFonts w:ascii="Liberation Serif" w:hAnsi="Liberation Serif"/>
                  <w:color w:val="111111"/>
                  <w:sz w:val="19"/>
                </w:rPr>
                <w:t>Sec. 2909. inflation, thresholds, and financial adjustments.</w:t>
              </w:r>
            </w:hyperlink>
          </w:p>
        </w:tc>
        <w:tc>
          <w:tcPr>
            <w:tcW w:type="dxa" w:w="648"/>
            <w:vAlign w:val="top"/>
          </w:tcPr>
          <w:p>
            <w:pPr>
              <w:pStyle w:val="ContentsText"/>
              <w:jc w:val="right"/>
            </w:pPr>
            <w:fldSimple w:instr=" PAGEREF SEC_2909 \h ">
              <w:r>
                <w:t>159</w:t>
              </w:r>
            </w:fldSimple>
          </w:p>
        </w:tc>
      </w:tr>
      <w:tr>
        <w:trPr>
          <w:cantSplit/>
        </w:trPr>
        <w:tc>
          <w:tcPr>
            <w:tcW w:type="dxa" w:w="9000"/>
            <w:vAlign w:val="top"/>
          </w:tcPr>
          <w:p>
            <w:pPr>
              <w:pStyle w:val="ContentsText"/>
              <w:ind w:left="216"/>
            </w:pPr>
            <w:hyperlink w:anchor="SEC_2910" w:history="1">
              <w:r>
                <w:rPr>
                  <w:rFonts w:ascii="Liberation Serif" w:hAnsi="Liberation Serif"/>
                  <w:color w:val="111111"/>
                  <w:sz w:val="19"/>
                </w:rPr>
                <w:t>Sec. 2910. funding review, expiration, and future legislation.</w:t>
              </w:r>
            </w:hyperlink>
          </w:p>
        </w:tc>
        <w:tc>
          <w:tcPr>
            <w:tcW w:type="dxa" w:w="648"/>
            <w:vAlign w:val="top"/>
          </w:tcPr>
          <w:p>
            <w:pPr>
              <w:pStyle w:val="ContentsText"/>
              <w:jc w:val="right"/>
            </w:pPr>
            <w:fldSimple w:instr=" PAGEREF SEC_2910 \h ">
              <w:r>
                <w:t>159</w:t>
              </w:r>
            </w:fldSimple>
          </w:p>
        </w:tc>
      </w:tr>
      <w:tr>
        <w:trPr>
          <w:cantSplit/>
        </w:trPr>
        <w:tc>
          <w:tcPr>
            <w:tcW w:type="dxa" w:w="9000"/>
            <w:vAlign w:val="top"/>
          </w:tcPr>
          <w:p>
            <w:pPr>
              <w:pStyle w:val="ContentsText"/>
              <w:keepNext/>
              <w:spacing w:before="100"/>
            </w:pPr>
            <w:hyperlink w:anchor="TITLE_XXX" w:history="1">
              <w:r>
                <w:rPr>
                  <w:rFonts w:ascii="Liberation Serif" w:hAnsi="Liberation Serif"/>
                  <w:b/>
                  <w:color w:val="182C3D"/>
                  <w:sz w:val="19"/>
                </w:rPr>
                <w:t>TITLE XXX. IMPLEMENTATION, SAVINGS, REVIEW, AND SEVERABILITY</w:t>
              </w:r>
            </w:hyperlink>
          </w:p>
        </w:tc>
        <w:tc>
          <w:tcPr>
            <w:tcW w:type="dxa" w:w="648"/>
            <w:vAlign w:val="top"/>
          </w:tcPr>
          <w:p>
            <w:pPr>
              <w:pStyle w:val="ContentsText"/>
              <w:spacing w:before="100"/>
              <w:jc w:val="right"/>
            </w:pPr>
            <w:fldSimple w:instr=" PAGEREF TITLE_XXX \h ">
              <w:r>
                <w:t>161</w:t>
              </w:r>
            </w:fldSimple>
          </w:p>
        </w:tc>
      </w:tr>
      <w:tr>
        <w:trPr>
          <w:cantSplit/>
        </w:trPr>
        <w:tc>
          <w:tcPr>
            <w:tcW w:type="dxa" w:w="9000"/>
            <w:vAlign w:val="top"/>
          </w:tcPr>
          <w:p>
            <w:pPr>
              <w:pStyle w:val="ContentsText"/>
              <w:ind w:left="216"/>
            </w:pPr>
            <w:hyperlink w:anchor="SEC_3001" w:history="1">
              <w:r>
                <w:rPr>
                  <w:rFonts w:ascii="Liberation Serif" w:hAnsi="Liberation Serif"/>
                  <w:color w:val="111111"/>
                  <w:sz w:val="19"/>
                </w:rPr>
                <w:t>Sec. 3001. effective dates and phased commencement.</w:t>
              </w:r>
            </w:hyperlink>
          </w:p>
        </w:tc>
        <w:tc>
          <w:tcPr>
            <w:tcW w:type="dxa" w:w="648"/>
            <w:vAlign w:val="top"/>
          </w:tcPr>
          <w:p>
            <w:pPr>
              <w:pStyle w:val="ContentsText"/>
              <w:jc w:val="right"/>
            </w:pPr>
            <w:fldSimple w:instr=" PAGEREF SEC_3001 \h ">
              <w:r>
                <w:t>161</w:t>
              </w:r>
            </w:fldSimple>
          </w:p>
        </w:tc>
      </w:tr>
      <w:tr>
        <w:trPr>
          <w:cantSplit/>
        </w:trPr>
        <w:tc>
          <w:tcPr>
            <w:tcW w:type="dxa" w:w="9000"/>
            <w:vAlign w:val="top"/>
          </w:tcPr>
          <w:p>
            <w:pPr>
              <w:pStyle w:val="ContentsText"/>
              <w:ind w:left="216"/>
            </w:pPr>
            <w:hyperlink w:anchor="SEC_3002" w:history="1">
              <w:r>
                <w:rPr>
                  <w:rFonts w:ascii="Liberation Serif" w:hAnsi="Liberation Serif"/>
                  <w:color w:val="111111"/>
                  <w:sz w:val="19"/>
                </w:rPr>
                <w:t>Sec. 3002. rulemaking authority and procedure.</w:t>
              </w:r>
            </w:hyperlink>
          </w:p>
        </w:tc>
        <w:tc>
          <w:tcPr>
            <w:tcW w:type="dxa" w:w="648"/>
            <w:vAlign w:val="top"/>
          </w:tcPr>
          <w:p>
            <w:pPr>
              <w:pStyle w:val="ContentsText"/>
              <w:jc w:val="right"/>
            </w:pPr>
            <w:fldSimple w:instr=" PAGEREF SEC_3002 \h ">
              <w:r>
                <w:t>161</w:t>
              </w:r>
            </w:fldSimple>
          </w:p>
        </w:tc>
      </w:tr>
      <w:tr>
        <w:trPr>
          <w:cantSplit/>
        </w:trPr>
        <w:tc>
          <w:tcPr>
            <w:tcW w:type="dxa" w:w="9000"/>
            <w:vAlign w:val="top"/>
          </w:tcPr>
          <w:p>
            <w:pPr>
              <w:pStyle w:val="ContentsText"/>
              <w:ind w:left="216"/>
            </w:pPr>
            <w:hyperlink w:anchor="SEC_3003" w:history="1">
              <w:r>
                <w:rPr>
                  <w:rFonts w:ascii="Liberation Serif" w:hAnsi="Liberation Serif"/>
                  <w:color w:val="111111"/>
                  <w:sz w:val="19"/>
                </w:rPr>
                <w:t>Sec. 3003. first-year implementation milestones.</w:t>
              </w:r>
            </w:hyperlink>
          </w:p>
        </w:tc>
        <w:tc>
          <w:tcPr>
            <w:tcW w:type="dxa" w:w="648"/>
            <w:vAlign w:val="top"/>
          </w:tcPr>
          <w:p>
            <w:pPr>
              <w:pStyle w:val="ContentsText"/>
              <w:jc w:val="right"/>
            </w:pPr>
            <w:fldSimple w:instr=" PAGEREF SEC_3003 \h ">
              <w:r>
                <w:t>162</w:t>
              </w:r>
            </w:fldSimple>
          </w:p>
        </w:tc>
      </w:tr>
      <w:tr>
        <w:trPr>
          <w:cantSplit/>
        </w:trPr>
        <w:tc>
          <w:tcPr>
            <w:tcW w:type="dxa" w:w="9000"/>
            <w:vAlign w:val="top"/>
          </w:tcPr>
          <w:p>
            <w:pPr>
              <w:pStyle w:val="ContentsText"/>
              <w:ind w:left="216"/>
            </w:pPr>
            <w:hyperlink w:anchor="SEC_3004" w:history="1">
              <w:r>
                <w:rPr>
                  <w:rFonts w:ascii="Liberation Serif" w:hAnsi="Liberation Serif"/>
                  <w:color w:val="111111"/>
                  <w:sz w:val="19"/>
                </w:rPr>
                <w:t>Sec. 3004. second-year deployment and years three through five.</w:t>
              </w:r>
            </w:hyperlink>
          </w:p>
        </w:tc>
        <w:tc>
          <w:tcPr>
            <w:tcW w:type="dxa" w:w="648"/>
            <w:vAlign w:val="top"/>
          </w:tcPr>
          <w:p>
            <w:pPr>
              <w:pStyle w:val="ContentsText"/>
              <w:jc w:val="right"/>
            </w:pPr>
            <w:fldSimple w:instr=" PAGEREF SEC_3004 \h ">
              <w:r>
                <w:t>162</w:t>
              </w:r>
            </w:fldSimple>
          </w:p>
        </w:tc>
      </w:tr>
      <w:tr>
        <w:trPr>
          <w:cantSplit/>
        </w:trPr>
        <w:tc>
          <w:tcPr>
            <w:tcW w:type="dxa" w:w="9000"/>
            <w:vAlign w:val="top"/>
          </w:tcPr>
          <w:p>
            <w:pPr>
              <w:pStyle w:val="ContentsText"/>
              <w:ind w:left="216"/>
            </w:pPr>
            <w:hyperlink w:anchor="SEC_3005" w:history="1">
              <w:r>
                <w:rPr>
                  <w:rFonts w:ascii="Liberation Serif" w:hAnsi="Liberation Serif"/>
                  <w:color w:val="111111"/>
                  <w:sz w:val="19"/>
                </w:rPr>
                <w:t>Sec. 3005. five-year comprehensive review.</w:t>
              </w:r>
            </w:hyperlink>
          </w:p>
        </w:tc>
        <w:tc>
          <w:tcPr>
            <w:tcW w:type="dxa" w:w="648"/>
            <w:vAlign w:val="top"/>
          </w:tcPr>
          <w:p>
            <w:pPr>
              <w:pStyle w:val="ContentsText"/>
              <w:jc w:val="right"/>
            </w:pPr>
            <w:fldSimple w:instr=" PAGEREF SEC_3005 \h ">
              <w:r>
                <w:t>163</w:t>
              </w:r>
            </w:fldSimple>
          </w:p>
        </w:tc>
      </w:tr>
      <w:tr>
        <w:trPr>
          <w:cantSplit/>
        </w:trPr>
        <w:tc>
          <w:tcPr>
            <w:tcW w:type="dxa" w:w="9000"/>
            <w:vAlign w:val="top"/>
          </w:tcPr>
          <w:p>
            <w:pPr>
              <w:pStyle w:val="ContentsText"/>
              <w:ind w:left="216"/>
            </w:pPr>
            <w:hyperlink w:anchor="SEC_3006" w:history="1">
              <w:r>
                <w:rPr>
                  <w:rFonts w:ascii="Liberation Serif" w:hAnsi="Liberation Serif"/>
                  <w:color w:val="111111"/>
                  <w:sz w:val="19"/>
                </w:rPr>
                <w:t>Sec. 3006. preemption and preservation of more protective law.</w:t>
              </w:r>
            </w:hyperlink>
          </w:p>
        </w:tc>
        <w:tc>
          <w:tcPr>
            <w:tcW w:type="dxa" w:w="648"/>
            <w:vAlign w:val="top"/>
          </w:tcPr>
          <w:p>
            <w:pPr>
              <w:pStyle w:val="ContentsText"/>
              <w:jc w:val="right"/>
            </w:pPr>
            <w:fldSimple w:instr=" PAGEREF SEC_3006 \h ">
              <w:r>
                <w:t>163</w:t>
              </w:r>
            </w:fldSimple>
          </w:p>
        </w:tc>
      </w:tr>
      <w:tr>
        <w:trPr>
          <w:cantSplit/>
        </w:trPr>
        <w:tc>
          <w:tcPr>
            <w:tcW w:type="dxa" w:w="9000"/>
            <w:vAlign w:val="top"/>
          </w:tcPr>
          <w:p>
            <w:pPr>
              <w:pStyle w:val="ContentsText"/>
              <w:ind w:left="216"/>
            </w:pPr>
            <w:hyperlink w:anchor="SEC_3007" w:history="1">
              <w:r>
                <w:rPr>
                  <w:rFonts w:ascii="Liberation Serif" w:hAnsi="Liberation Serif"/>
                  <w:color w:val="111111"/>
                  <w:sz w:val="19"/>
                </w:rPr>
                <w:t>Sec. 3007. civil-liberties, research, and clinical savings.</w:t>
              </w:r>
            </w:hyperlink>
          </w:p>
        </w:tc>
        <w:tc>
          <w:tcPr>
            <w:tcW w:type="dxa" w:w="648"/>
            <w:vAlign w:val="top"/>
          </w:tcPr>
          <w:p>
            <w:pPr>
              <w:pStyle w:val="ContentsText"/>
              <w:jc w:val="right"/>
            </w:pPr>
            <w:fldSimple w:instr=" PAGEREF SEC_3007 \h ">
              <w:r>
                <w:t>164</w:t>
              </w:r>
            </w:fldSimple>
          </w:p>
        </w:tc>
      </w:tr>
      <w:tr>
        <w:trPr>
          <w:cantSplit/>
        </w:trPr>
        <w:tc>
          <w:tcPr>
            <w:tcW w:type="dxa" w:w="9000"/>
            <w:vAlign w:val="top"/>
          </w:tcPr>
          <w:p>
            <w:pPr>
              <w:pStyle w:val="ContentsText"/>
              <w:ind w:left="216"/>
            </w:pPr>
            <w:hyperlink w:anchor="SEC_3008" w:history="1">
              <w:r>
                <w:rPr>
                  <w:rFonts w:ascii="Liberation Serif" w:hAnsi="Liberation Serif"/>
                  <w:color w:val="111111"/>
                  <w:sz w:val="19"/>
                </w:rPr>
                <w:t>Sec. 3008. severability and application-specific review.</w:t>
              </w:r>
            </w:hyperlink>
          </w:p>
        </w:tc>
        <w:tc>
          <w:tcPr>
            <w:tcW w:type="dxa" w:w="648"/>
            <w:vAlign w:val="top"/>
          </w:tcPr>
          <w:p>
            <w:pPr>
              <w:pStyle w:val="ContentsText"/>
              <w:jc w:val="right"/>
            </w:pPr>
            <w:fldSimple w:instr=" PAGEREF SEC_3008 \h ">
              <w:r>
                <w:t>164</w:t>
              </w:r>
            </w:fldSimple>
          </w:p>
        </w:tc>
      </w:tr>
      <w:tr>
        <w:trPr>
          <w:cantSplit/>
        </w:trPr>
        <w:tc>
          <w:tcPr>
            <w:tcW w:type="dxa" w:w="9000"/>
            <w:vAlign w:val="top"/>
          </w:tcPr>
          <w:p>
            <w:pPr>
              <w:pStyle w:val="ContentsText"/>
              <w:ind w:left="216"/>
            </w:pPr>
            <w:hyperlink w:anchor="SEC_3009" w:history="1">
              <w:r>
                <w:rPr>
                  <w:rFonts w:ascii="Liberation Serif" w:hAnsi="Liberation Serif"/>
                  <w:color w:val="111111"/>
                  <w:sz w:val="19"/>
                </w:rPr>
                <w:t>Sec. 3009. technical conformity, reporting, and no implied amendments.</w:t>
              </w:r>
            </w:hyperlink>
          </w:p>
        </w:tc>
        <w:tc>
          <w:tcPr>
            <w:tcW w:type="dxa" w:w="648"/>
            <w:vAlign w:val="top"/>
          </w:tcPr>
          <w:p>
            <w:pPr>
              <w:pStyle w:val="ContentsText"/>
              <w:jc w:val="right"/>
            </w:pPr>
            <w:fldSimple w:instr=" PAGEREF SEC_3009 \h ">
              <w:r>
                <w:t>165</w:t>
              </w:r>
            </w:fldSimple>
          </w:p>
        </w:tc>
      </w:tr>
      <w:tr>
        <w:trPr>
          <w:cantSplit/>
        </w:trPr>
        <w:tc>
          <w:tcPr>
            <w:tcW w:type="dxa" w:w="9000"/>
            <w:vAlign w:val="top"/>
          </w:tcPr>
          <w:p>
            <w:pPr>
              <w:pStyle w:val="ContentsText"/>
              <w:ind w:left="216"/>
            </w:pPr>
            <w:hyperlink w:anchor="SEC_3010" w:history="1">
              <w:r>
                <w:rPr>
                  <w:rFonts w:ascii="Liberation Serif" w:hAnsi="Liberation Serif"/>
                  <w:color w:val="111111"/>
                  <w:sz w:val="19"/>
                </w:rPr>
                <w:t>Sec. 3010. final construction and continuing accountability.</w:t>
              </w:r>
            </w:hyperlink>
          </w:p>
        </w:tc>
        <w:tc>
          <w:tcPr>
            <w:tcW w:type="dxa" w:w="648"/>
            <w:vAlign w:val="top"/>
          </w:tcPr>
          <w:p>
            <w:pPr>
              <w:pStyle w:val="ContentsText"/>
              <w:jc w:val="right"/>
            </w:pPr>
            <w:fldSimple w:instr=" PAGEREF SEC_3010 \h ">
              <w:r>
                <w:t>165</w:t>
              </w:r>
            </w:fldSimple>
          </w:p>
        </w:tc>
      </w:tr>
      <w:tr>
        <w:trPr>
          <w:cantSplit/>
        </w:trPr>
        <w:tc>
          <w:tcPr>
            <w:tcW w:type="dxa" w:w="9000"/>
            <w:vAlign w:val="top"/>
          </w:tcPr>
          <w:p>
            <w:pPr>
              <w:pStyle w:val="ContentsText"/>
              <w:keepNext/>
              <w:spacing w:before="100"/>
            </w:pPr>
            <w:hyperlink w:anchor="ANNEX_A" w:history="1">
              <w:r>
                <w:rPr>
                  <w:rFonts w:ascii="Liberation Serif" w:hAnsi="Liberation Serif"/>
                  <w:b/>
                  <w:color w:val="182C3D"/>
                  <w:sz w:val="19"/>
                </w:rPr>
                <w:t>ANNEX A. RESEARCH RECORD AND COMPARATIVE FRAMEWORK</w:t>
              </w:r>
            </w:hyperlink>
          </w:p>
        </w:tc>
        <w:tc>
          <w:tcPr>
            <w:tcW w:type="dxa" w:w="648"/>
            <w:vAlign w:val="top"/>
          </w:tcPr>
          <w:p>
            <w:pPr>
              <w:pStyle w:val="ContentsText"/>
              <w:spacing w:before="100"/>
              <w:jc w:val="right"/>
            </w:pPr>
            <w:fldSimple w:instr=" PAGEREF ANNEX_A \h ">
              <w:r>
                <w:t>166</w:t>
              </w:r>
            </w:fldSimple>
          </w:p>
        </w:tc>
      </w:tr>
      <w:tr>
        <w:trPr>
          <w:cantSplit/>
        </w:trPr>
        <w:tc>
          <w:tcPr>
            <w:tcW w:type="dxa" w:w="9000"/>
            <w:vAlign w:val="top"/>
          </w:tcPr>
          <w:p>
            <w:pPr>
              <w:pStyle w:val="ContentsText"/>
              <w:keepNext/>
              <w:spacing w:before="100"/>
            </w:pPr>
            <w:hyperlink w:anchor="ANNEX_B" w:history="1">
              <w:r>
                <w:rPr>
                  <w:rFonts w:ascii="Liberation Serif" w:hAnsi="Liberation Serif"/>
                  <w:b/>
                  <w:color w:val="182C3D"/>
                  <w:sz w:val="19"/>
                </w:rPr>
                <w:t>ANNEX B. TITLE AND SECTION COMMENTARY</w:t>
              </w:r>
            </w:hyperlink>
          </w:p>
        </w:tc>
        <w:tc>
          <w:tcPr>
            <w:tcW w:type="dxa" w:w="648"/>
            <w:vAlign w:val="top"/>
          </w:tcPr>
          <w:p>
            <w:pPr>
              <w:pStyle w:val="ContentsText"/>
              <w:spacing w:before="100"/>
              <w:jc w:val="right"/>
            </w:pPr>
            <w:fldSimple w:instr=" PAGEREF ANNEX_B \h ">
              <w:r>
                <w:t>173</w:t>
              </w:r>
            </w:fldSimple>
          </w:p>
        </w:tc>
      </w:tr>
      <w:tr>
        <w:trPr>
          <w:cantSplit/>
        </w:trPr>
        <w:tc>
          <w:tcPr>
            <w:tcW w:type="dxa" w:w="9000"/>
            <w:vAlign w:val="top"/>
          </w:tcPr>
          <w:p>
            <w:pPr>
              <w:pStyle w:val="ContentsText"/>
              <w:keepNext/>
              <w:spacing w:before="100"/>
            </w:pPr>
            <w:hyperlink w:anchor="ANNEX_C" w:history="1">
              <w:r>
                <w:rPr>
                  <w:rFonts w:ascii="Liberation Serif" w:hAnsi="Liberation Serif"/>
                  <w:b/>
                  <w:color w:val="182C3D"/>
                  <w:sz w:val="19"/>
                </w:rPr>
                <w:t>ANNEX C. CONSTITUTIONAL AND LEGAL ANALYSIS</w:t>
              </w:r>
            </w:hyperlink>
          </w:p>
        </w:tc>
        <w:tc>
          <w:tcPr>
            <w:tcW w:type="dxa" w:w="648"/>
            <w:vAlign w:val="top"/>
          </w:tcPr>
          <w:p>
            <w:pPr>
              <w:pStyle w:val="ContentsText"/>
              <w:spacing w:before="100"/>
              <w:jc w:val="right"/>
            </w:pPr>
            <w:fldSimple w:instr=" PAGEREF ANNEX_C \h ">
              <w:r>
                <w:t>178</w:t>
              </w:r>
            </w:fldSimple>
          </w:p>
        </w:tc>
      </w:tr>
      <w:tr>
        <w:trPr>
          <w:cantSplit/>
        </w:trPr>
        <w:tc>
          <w:tcPr>
            <w:tcW w:type="dxa" w:w="9000"/>
            <w:vAlign w:val="top"/>
          </w:tcPr>
          <w:p>
            <w:pPr>
              <w:pStyle w:val="ContentsText"/>
              <w:keepNext/>
              <w:spacing w:before="100"/>
            </w:pPr>
            <w:hyperlink w:anchor="ANNEX_D" w:history="1">
              <w:r>
                <w:rPr>
                  <w:rFonts w:ascii="Liberation Serif" w:hAnsi="Liberation Serif"/>
                  <w:b/>
                  <w:color w:val="182C3D"/>
                  <w:sz w:val="19"/>
                </w:rPr>
                <w:t>ANNEX D. FISCAL NOTE AND SCENARIO ANALYSIS</w:t>
              </w:r>
            </w:hyperlink>
          </w:p>
        </w:tc>
        <w:tc>
          <w:tcPr>
            <w:tcW w:type="dxa" w:w="648"/>
            <w:vAlign w:val="top"/>
          </w:tcPr>
          <w:p>
            <w:pPr>
              <w:pStyle w:val="ContentsText"/>
              <w:spacing w:before="100"/>
              <w:jc w:val="right"/>
            </w:pPr>
            <w:fldSimple w:instr=" PAGEREF ANNEX_D \h ">
              <w:r>
                <w:t>183</w:t>
              </w:r>
            </w:fldSimple>
          </w:p>
        </w:tc>
      </w:tr>
      <w:tr>
        <w:trPr>
          <w:cantSplit/>
        </w:trPr>
        <w:tc>
          <w:tcPr>
            <w:tcW w:type="dxa" w:w="9000"/>
            <w:vAlign w:val="top"/>
          </w:tcPr>
          <w:p>
            <w:pPr>
              <w:pStyle w:val="ContentsText"/>
              <w:keepNext/>
              <w:spacing w:before="100"/>
            </w:pPr>
            <w:hyperlink w:anchor="ANNEX_E" w:history="1">
              <w:r>
                <w:rPr>
                  <w:rFonts w:ascii="Liberation Serif" w:hAnsi="Liberation Serif"/>
                  <w:b/>
                  <w:color w:val="182C3D"/>
                  <w:sz w:val="19"/>
                </w:rPr>
                <w:t>ANNEX E. IMPLEMENTATION, OVERSIGHT, AND STAKEHOLDERS</w:t>
              </w:r>
            </w:hyperlink>
          </w:p>
        </w:tc>
        <w:tc>
          <w:tcPr>
            <w:tcW w:type="dxa" w:w="648"/>
            <w:vAlign w:val="top"/>
          </w:tcPr>
          <w:p>
            <w:pPr>
              <w:pStyle w:val="ContentsText"/>
              <w:spacing w:before="100"/>
              <w:jc w:val="right"/>
            </w:pPr>
            <w:fldSimple w:instr=" PAGEREF ANNEX_E \h ">
              <w:r>
                <w:t>187</w:t>
              </w:r>
            </w:fldSimple>
          </w:p>
        </w:tc>
      </w:tr>
      <w:tr>
        <w:trPr>
          <w:cantSplit/>
        </w:trPr>
        <w:tc>
          <w:tcPr>
            <w:tcW w:type="dxa" w:w="9000"/>
            <w:vAlign w:val="top"/>
          </w:tcPr>
          <w:p>
            <w:pPr>
              <w:pStyle w:val="ContentsText"/>
              <w:keepNext/>
              <w:spacing w:before="100"/>
            </w:pPr>
            <w:hyperlink w:anchor="ANNEX_F" w:history="1">
              <w:r>
                <w:rPr>
                  <w:rFonts w:ascii="Liberation Serif" w:hAnsi="Liberation Serif"/>
                  <w:b/>
                  <w:color w:val="182C3D"/>
                  <w:sz w:val="19"/>
                </w:rPr>
                <w:t>ANNEX F. PUBLIC EXPLANATION AND OPEN LEGISLATIVE CHOICES</w:t>
              </w:r>
            </w:hyperlink>
          </w:p>
        </w:tc>
        <w:tc>
          <w:tcPr>
            <w:tcW w:type="dxa" w:w="648"/>
            <w:vAlign w:val="top"/>
          </w:tcPr>
          <w:p>
            <w:pPr>
              <w:pStyle w:val="ContentsText"/>
              <w:spacing w:before="100"/>
              <w:jc w:val="right"/>
            </w:pPr>
            <w:fldSimple w:instr=" PAGEREF ANNEX_F \h ">
              <w:r>
                <w:t>192</w:t>
              </w:r>
            </w:fldSimple>
          </w:p>
        </w:tc>
      </w:tr>
      <w:tr>
        <w:trPr>
          <w:cantSplit/>
        </w:trPr>
        <w:tc>
          <w:tcPr>
            <w:tcW w:type="dxa" w:w="9000"/>
            <w:vAlign w:val="top"/>
          </w:tcPr>
          <w:p>
            <w:pPr>
              <w:pStyle w:val="ContentsText"/>
              <w:keepNext/>
              <w:spacing w:before="100"/>
            </w:pPr>
            <w:hyperlink w:anchor="ANNEX_G" w:history="1">
              <w:r>
                <w:rPr>
                  <w:rFonts w:ascii="Liberation Serif" w:hAnsi="Liberation Serif"/>
                  <w:b/>
                  <w:color w:val="182C3D"/>
                  <w:sz w:val="19"/>
                </w:rPr>
                <w:t>ANNEX G. SOURCES AND AUTHORITIES</w:t>
              </w:r>
            </w:hyperlink>
          </w:p>
        </w:tc>
        <w:tc>
          <w:tcPr>
            <w:tcW w:type="dxa" w:w="648"/>
            <w:vAlign w:val="top"/>
          </w:tcPr>
          <w:p>
            <w:pPr>
              <w:pStyle w:val="ContentsText"/>
              <w:spacing w:before="100"/>
              <w:jc w:val="right"/>
            </w:pPr>
            <w:fldSimple w:instr=" PAGEREF ANNEX_G \h ">
              <w:r>
                <w:t>194</w:t>
              </w:r>
            </w:fldSimple>
          </w:p>
        </w:tc>
      </w:tr>
      <w:tr>
        <w:trPr>
          <w:cantSplit/>
        </w:trPr>
        <w:tc>
          <w:tcPr>
            <w:tcW w:type="dxa" w:w="9000"/>
            <w:vAlign w:val="top"/>
          </w:tcPr>
          <w:p>
            <w:pPr>
              <w:pStyle w:val="ContentsText"/>
              <w:keepNext/>
              <w:spacing w:before="100"/>
            </w:pPr>
            <w:hyperlink w:anchor="ANNEX_H" w:history="1">
              <w:r>
                <w:rPr>
                  <w:rFonts w:ascii="Liberation Serif" w:hAnsi="Liberation Serif"/>
                  <w:b/>
                  <w:color w:val="182C3D"/>
                  <w:sz w:val="19"/>
                </w:rPr>
                <w:t>ANNEX H. QUALITY-CHECK</w:t>
              </w:r>
            </w:hyperlink>
          </w:p>
        </w:tc>
        <w:tc>
          <w:tcPr>
            <w:tcW w:type="dxa" w:w="648"/>
            <w:vAlign w:val="top"/>
          </w:tcPr>
          <w:p>
            <w:pPr>
              <w:pStyle w:val="ContentsText"/>
              <w:spacing w:before="100"/>
              <w:jc w:val="right"/>
            </w:pPr>
            <w:fldSimple w:instr=" PAGEREF ANNEX_H \h ">
              <w:r>
                <w:t>201</w:t>
              </w:r>
            </w:fldSimple>
          </w:p>
        </w:tc>
      </w:tr>
    </w:tbl>
    <w:p>
      <w:pPr>
        <w:pStyle w:val="SmallNote"/>
        <w:pageBreakBefore/>
        <w:spacing w:after="200"/>
      </w:pPr>
      <w:r>
        <w:t>PROPOSED ACT</w:t>
      </w:r>
    </w:p>
    <w:p>
      <w:pPr>
        <w:spacing w:after="300"/>
      </w:pPr>
      <w:r>
        <w:t>Be it enacted by the Senate and House of Representatives of the United States of America in Congress assembled,</w:t>
      </w:r>
    </w:p>
    <w:p>
      <w:bookmarkStart w:id="3" w:name="TITLE_I"/>
      <w:pPr>
        <w:pStyle w:val="Heading1"/>
      </w:pPr>
      <w:r>
        <w:t>TITLE I. GENERAL PROVISIONS, PURPOSES, AND RULES OF CONSTRUCTION</w:t>
      </w:r>
      <w:bookmarkEnd w:id="3"/>
    </w:p>
    <w:p>
      <w:bookmarkStart w:id="4" w:name="SEC_101"/>
      <w:pPr>
        <w:pStyle w:val="Heading2"/>
      </w:pPr>
      <w:r>
        <w:t>SEC. 101. SHORT TITLE; ORGANIZATION; LEGISLATIVE CHARACTER.</w:t>
      </w:r>
      <w:bookmarkEnd w:id="4"/>
    </w:p>
    <w:p>
      <w:pPr>
        <w:pStyle w:val="LegalBody"/>
      </w:pPr>
      <w:r>
        <w:rPr>
          <w:b/>
        </w:rPr>
        <w:t xml:space="preserve">(a) Short title. </w:t>
      </w:r>
      <w:r>
        <w:t>This Act may be cited as the “Human Understanding, Mutuality, Autonomy, and Nurture Act of 2026” or the “HUMAN Act”.</w:t>
      </w:r>
    </w:p>
    <w:p>
      <w:pPr>
        <w:pStyle w:val="LegalBody"/>
      </w:pPr>
      <w:r>
        <w:rPr>
          <w:b/>
        </w:rPr>
        <w:t xml:space="preserve">(b) Organization. </w:t>
      </w:r>
      <w:r>
        <w:t>This Act establishes a coordinated Federal framework for research concerning human beings; specified protections against coercion and harmful commercial practices; time-limited investments in human development and community conditions; and evidence-based oversight of designated consequential technologies. Its operative requirements are contained in titles I through XXX. A purpose, finding, research question, or statistical indicator does not independently impose a legal obligation.</w:t>
      </w:r>
    </w:p>
    <w:p>
      <w:pPr>
        <w:pStyle w:val="LegalBody"/>
      </w:pPr>
      <w:r>
        <w:rPr>
          <w:b/>
        </w:rPr>
        <w:t xml:space="preserve">(c) Mutuality. </w:t>
      </w:r>
      <w:r>
        <w:t>In the short title, mutuality describes opportunities for voluntary cooperation, reciprocal care, and participation in community. It does not authorize compelled association, compelled intimacy, an obligation to adopt a particular household structure, or the subordination of an individual's rights to a collective measure of welfare.</w:t>
      </w:r>
    </w:p>
    <w:p>
      <w:pPr>
        <w:pStyle w:val="LegalBody"/>
      </w:pPr>
      <w:r>
        <w:rPr>
          <w:b/>
        </w:rPr>
        <w:t xml:space="preserve">(d) Construction of enactment. </w:t>
      </w:r>
      <w:r>
        <w:t>References to the enactment of this Act refer to enactment of this text by Congress and approval in accordance with the Constitution. Publication of a model, consultation draft, explanatory memorandum, or supporting analysis does not itself create law. Explanatory materials accompanying this Act are not incorporated into its operative requirements except where a provision expressly identifies a schedule as part of the Act.</w:t>
      </w:r>
    </w:p>
    <w:p>
      <w:bookmarkStart w:id="5" w:name="SEC_102"/>
      <w:pPr>
        <w:pStyle w:val="Heading2"/>
      </w:pPr>
      <w:r>
        <w:t>SEC. 102. CONGRESSIONAL FINDINGS.</w:t>
      </w:r>
      <w:bookmarkEnd w:id="5"/>
    </w:p>
    <w:p>
      <w:pPr>
        <w:pStyle w:val="LegalBody"/>
      </w:pPr>
      <w:r>
        <w:rPr>
          <w:b/>
        </w:rPr>
        <w:t xml:space="preserve">(a) Human variation. </w:t>
      </w:r>
      <w:r>
        <w:t>Congress finds that human beings exhibit biological, psychological, cultural, linguistic, and social variation; that scientific descriptions of populations do not establish a hierarchy of individual worth; and that a person's rights shall not depend on conformity to an asserted ideal body, mind, ancestry, family, belief, or pattern of behavior.</w:t>
      </w:r>
    </w:p>
    <w:p>
      <w:pPr>
        <w:pStyle w:val="LegalBody"/>
      </w:pPr>
      <w:r>
        <w:rPr>
          <w:b/>
        </w:rPr>
        <w:t xml:space="preserve">(b) Conditions of development. </w:t>
      </w:r>
      <w:r>
        <w:t>Research supports the importance of adequate nutrition, safe environments, responsive care, learning opportunities, physical activity, sleep, and access to appropriate health services across the life course. The strength, applicability, and certainty of evidence vary by intervention, population, setting, and outcome. Association alone does not establish that a proposed governmental intervention will produce an anticipated benefit.</w:t>
      </w:r>
    </w:p>
    <w:p>
      <w:pPr>
        <w:pStyle w:val="LegalBody"/>
      </w:pPr>
      <w:r>
        <w:rPr>
          <w:b/>
        </w:rPr>
        <w:t xml:space="preserve">(c) Adaptation and technology. </w:t>
      </w:r>
      <w:r>
        <w:t>Toolmaking, communication, cooperation, experimentation, and cultural transmission form part of human history. Scientific and technological change may expand human capabilities and may also create material risks. An assessment that considers risks but omits the health, accessibility, knowledge, or livelihood benefits of innovation is incomplete.</w:t>
      </w:r>
    </w:p>
    <w:p>
      <w:pPr>
        <w:pStyle w:val="LegalBody"/>
      </w:pPr>
      <w:r>
        <w:rPr>
          <w:b/>
        </w:rPr>
        <w:t xml:space="preserve">(d) Social and environmental conditions. </w:t>
      </w:r>
      <w:r>
        <w:t>Housing, transportation, employment conditions, environmental exposures, accessible public space, and opportunities for voluntary connection can affect health and participation. These conditions involve responsibilities shared among governments, communities, families, individuals, and private institutions.</w:t>
      </w:r>
    </w:p>
    <w:p>
      <w:pPr>
        <w:pStyle w:val="LegalBody"/>
      </w:pPr>
      <w:r>
        <w:rPr>
          <w:b/>
        </w:rPr>
        <w:t xml:space="preserve">(e) Limits. </w:t>
      </w:r>
      <w:r>
        <w:t>These findings do not establish an ancestral lifestyle as a legal standard, equate disability with diminished dignity, presume uniform preferences, or authorize the collection of intimate information without a separate lawful basis.</w:t>
      </w:r>
    </w:p>
    <w:p>
      <w:bookmarkStart w:id="6" w:name="SEC_103"/>
      <w:pPr>
        <w:pStyle w:val="Heading2"/>
      </w:pPr>
      <w:r>
        <w:t>SEC. 103. PURPOSES AND SPECIFIC STATUTORY OBJECTIVES.</w:t>
      </w:r>
      <w:bookmarkEnd w:id="6"/>
    </w:p>
    <w:p>
      <w:pPr>
        <w:pStyle w:val="LegalBody"/>
      </w:pPr>
      <w:r>
        <w:rPr>
          <w:b/>
        </w:rPr>
        <w:t xml:space="preserve">(a) Purposes. </w:t>
      </w:r>
      <w:r>
        <w:t>The purposes of this Act are to expand reliable knowledge concerning human development and diversity; improve conditions supporting health and functional ability; protect meaningful choice in designated programs and commercial activities; support accessible opportunities for learning, creativity, care, rest, and social participation; and enable beneficial innovation subject to proportionate, reviewable safeguards.</w:t>
      </w:r>
    </w:p>
    <w:p>
      <w:pPr>
        <w:pStyle w:val="LegalBody"/>
      </w:pPr>
      <w:r>
        <w:rPr>
          <w:b/>
        </w:rPr>
        <w:t xml:space="preserve">(b) Operational objectives. </w:t>
      </w:r>
      <w:r>
        <w:t>Agencies administering this Act shall identify the statutory duty served by each expenditure or regulation, the population affected, the baseline against which performance will be assessed, the method for detecting unintended effects, and the official accountable for corrective action. Objectives shall distinguish improvements in access, service quality, individual outcomes, and institutional procedures.</w:t>
      </w:r>
    </w:p>
    <w:p>
      <w:pPr>
        <w:pStyle w:val="LegalBody"/>
      </w:pPr>
      <w:r>
        <w:rPr>
          <w:b/>
        </w:rPr>
        <w:t xml:space="preserve">(c) Plural ends. </w:t>
      </w:r>
      <w:r>
        <w:t>No agency shall require an individual to maximize productivity, happiness, sociability, longevity, fitness, reproduction, cultural participation, or any other outcome as a condition of receiving a benefit for which that individual is otherwise eligible. Appropriate clinical eligibility criteria and voluntary program participation requirements are not prohibited when specifically related to the service and otherwise lawful.</w:t>
      </w:r>
    </w:p>
    <w:p>
      <w:pPr>
        <w:pStyle w:val="LegalBody"/>
      </w:pPr>
      <w:r>
        <w:rPr>
          <w:b/>
        </w:rPr>
        <w:t xml:space="preserve">(d) Science and policy. </w:t>
      </w:r>
      <w:r>
        <w:t>Agencies shall distinguish empirical findings from assumptions, ethical judgments, distributional choices, and resource constraints. Scientific uncertainty shall neither be concealed nor used automatically to reject an intervention whose benefits and risks can be responsibly evaluated.</w:t>
      </w:r>
    </w:p>
    <w:p>
      <w:pPr>
        <w:pStyle w:val="LegalBody"/>
      </w:pPr>
      <w:r>
        <w:rPr>
          <w:b/>
        </w:rPr>
        <w:t xml:space="preserve">(e) No general welfare jurisdiction. </w:t>
      </w:r>
      <w:r>
        <w:t>This section confers no authority to regulate conduct beyond the persons, activities, programs, and powers expressly identified elsewhere in this Act.</w:t>
      </w:r>
    </w:p>
    <w:p>
      <w:bookmarkStart w:id="7" w:name="SEC_104"/>
      <w:pPr>
        <w:pStyle w:val="Heading2"/>
      </w:pPr>
      <w:r>
        <w:t>SEC. 104. CONSTITUTIONAL BASIS AND JURISDICTIONAL LIMITATIONS.</w:t>
      </w:r>
      <w:bookmarkEnd w:id="7"/>
    </w:p>
    <w:p>
      <w:pPr>
        <w:pStyle w:val="LegalBody"/>
      </w:pPr>
      <w:r>
        <w:rPr>
          <w:b/>
        </w:rPr>
        <w:t xml:space="preserve">(a) Federal activities and expenditures. </w:t>
      </w:r>
      <w:r>
        <w:t>Requirements governing Federal agencies, Federal contracts, and Federal property apply within the constitutional authority of the United States. Conditions attached to assistance under this Act apply to the funded activity and to recipients that voluntarily accept the assistance after receiving the notice required by title XXVII.</w:t>
      </w:r>
    </w:p>
    <w:p>
      <w:pPr>
        <w:pStyle w:val="LegalBody"/>
      </w:pPr>
      <w:r>
        <w:rPr>
          <w:b/>
        </w:rPr>
        <w:t xml:space="preserve">(b) Commercial activities. </w:t>
      </w:r>
      <w:r>
        <w:t>Requirements governing private commercial conduct apply only where the regulated product, service, employment enterprise, transaction, or data processing is in or affects interstate or foreign commerce as specifically provided in the applicable title. A jurisdictional element shall be established in an enforcement proceeding and shall not be presumed solely from an individual's personal characteristics or beliefs.</w:t>
      </w:r>
    </w:p>
    <w:p>
      <w:pPr>
        <w:pStyle w:val="LegalBody"/>
      </w:pPr>
      <w:r>
        <w:rPr>
          <w:b/>
        </w:rPr>
        <w:t xml:space="preserve">(c) State administration. </w:t>
      </w:r>
      <w:r>
        <w:t>No State, political subdivision, or Indian Tribe is required to enact legislation, operate a Federal program, conduct an investigation, or provide personnel to enforce this Act. Declining new assistance under this Act shall not result in withdrawal of assistance under a different Federal statute.</w:t>
      </w:r>
    </w:p>
    <w:p>
      <w:pPr>
        <w:pStyle w:val="LegalBody"/>
      </w:pPr>
      <w:r>
        <w:rPr>
          <w:b/>
        </w:rPr>
        <w:t xml:space="preserve">(d) Foreign conduct. </w:t>
      </w:r>
      <w:r>
        <w:t>Except for conditions on Federal assistance, Federal procurement, and transactions directed to individuals within United States jurisdiction as expressly specified, this Act does not regulate activities occurring wholly outside that jurisdiction. International cooperation shall respect applicable domestic law and lawful agreements.</w:t>
      </w:r>
    </w:p>
    <w:p>
      <w:pPr>
        <w:pStyle w:val="LegalBody"/>
      </w:pPr>
      <w:r>
        <w:rPr>
          <w:b/>
        </w:rPr>
        <w:t xml:space="preserve">(e) Judicial determination. </w:t>
      </w:r>
      <w:r>
        <w:t>Nothing in this section displaces judicial review of constitutional authority, establishes an irrebuttable jurisdictional presumption, or expands Federal jurisdiction through an agency's characterization of a regulated activity as beneficial to humanity.</w:t>
      </w:r>
    </w:p>
    <w:p>
      <w:bookmarkStart w:id="8" w:name="SEC_105"/>
      <w:pPr>
        <w:pStyle w:val="Heading2"/>
      </w:pPr>
      <w:r>
        <w:t>SEC. 105. DEFINITIONS OF INDIVIDUALS, CAPABILITIES, AND PARTICIPATION.</w:t>
      </w:r>
      <w:bookmarkEnd w:id="8"/>
    </w:p>
    <w:p>
      <w:pPr>
        <w:pStyle w:val="LegalBody"/>
      </w:pPr>
      <w:r>
        <w:t>For purposes of this Act:</w:t>
      </w:r>
    </w:p>
    <w:p>
      <w:pPr>
        <w:pStyle w:val="LegalBody"/>
      </w:pPr>
      <w:r>
        <w:rPr>
          <w:b/>
        </w:rPr>
        <w:t xml:space="preserve">(1) Individual. </w:t>
      </w:r>
      <w:r>
        <w:t>The term “individual” means a natural person. A person's status under this Act shall not be diminished by disability, age, illness, dependence on technology, genetic alteration, prosthetic or implanted devices, mode of communication, citizenship, ancestry, or actual or perceived cognitive capacity. This definition neither alters section 8 of title 1, United States Code, nor determines legal questions concerning pregnancy, embryos, fetal status, or nonhuman systems.</w:t>
      </w:r>
    </w:p>
    <w:p>
      <w:pPr>
        <w:pStyle w:val="LegalBody"/>
      </w:pPr>
      <w:r>
        <w:rPr>
          <w:b/>
        </w:rPr>
        <w:t xml:space="preserve">(2) Human capability. </w:t>
      </w:r>
      <w:r>
        <w:t>The term “human capability” means a person's practical opportunity, with appropriate support and subject to the rights of others, to perform or pursue activities that the person values. It includes opportunities concerning health, communication, learning, movement, care, livelihood, creativity, relationships, rest, and participation. It does not prescribe an outcome an individual must achieve.</w:t>
      </w:r>
    </w:p>
    <w:p>
      <w:pPr>
        <w:pStyle w:val="LegalBody"/>
      </w:pPr>
      <w:r>
        <w:rPr>
          <w:b/>
        </w:rPr>
        <w:t xml:space="preserve">(3) Functional ability. </w:t>
      </w:r>
      <w:r>
        <w:t>The term “functional ability” means the interaction between an individual's capacities and the environments, assistance, and technologies enabling that individual to act. A limitation in an unaided task shall not be treated as proof that an individual lacks the ability to perform that task with reasonable support.</w:t>
      </w:r>
    </w:p>
    <w:p>
      <w:pPr>
        <w:pStyle w:val="LegalBody"/>
      </w:pPr>
      <w:r>
        <w:rPr>
          <w:b/>
        </w:rPr>
        <w:t xml:space="preserve">(4) Child; adolescent. </w:t>
      </w:r>
      <w:r>
        <w:t>The term “child” means an individual younger than 18 years. The term “adolescent” means an individual aged 13 through 17 years. These definitions do not alter an age of consent, majority, employment, or educational eligibility established by another law unless an operative provision expressly provides otherwise.</w:t>
      </w:r>
    </w:p>
    <w:p>
      <w:pPr>
        <w:pStyle w:val="LegalBody"/>
      </w:pPr>
      <w:r>
        <w:rPr>
          <w:b/>
        </w:rPr>
        <w:t xml:space="preserve">(5) Chosen supporter. </w:t>
      </w:r>
      <w:r>
        <w:t>The term “chosen supporter” means a person selected by an individual to assist communication, comprehension, or decision-making. Selection does not by itself transfer legal authority, create guardianship, or permit the supporter to override the individual's lawful decision.</w:t>
      </w:r>
    </w:p>
    <w:p>
      <w:pPr>
        <w:pStyle w:val="LegalBody"/>
      </w:pPr>
      <w:r>
        <w:rPr>
          <w:b/>
        </w:rPr>
        <w:t xml:space="preserve">(6) Accessible. </w:t>
      </w:r>
      <w:r>
        <w:t>The term “accessible” includes physical, sensory, communication, cognitive, language, and digital accessibility appropriate to the activity, consistent with applicable disability law and the specific duties of this Act.</w:t>
      </w:r>
    </w:p>
    <w:p>
      <w:bookmarkStart w:id="9" w:name="SEC_106"/>
      <w:pPr>
        <w:pStyle w:val="Heading2"/>
      </w:pPr>
      <w:r>
        <w:t>SEC. 106. DEFINITIONS OF ENTITIES, PROGRAMS, AND RESPONSIBLE OFFICIALS.</w:t>
      </w:r>
      <w:bookmarkEnd w:id="9"/>
    </w:p>
    <w:p>
      <w:pPr>
        <w:pStyle w:val="LegalBody"/>
      </w:pPr>
      <w:r>
        <w:t>For purposes of this Act:</w:t>
      </w:r>
    </w:p>
    <w:p>
      <w:pPr>
        <w:pStyle w:val="LegalBody"/>
      </w:pPr>
      <w:r>
        <w:rPr>
          <w:b/>
        </w:rPr>
        <w:t xml:space="preserve">(1) Secretary. </w:t>
      </w:r>
      <w:r>
        <w:t>The term “Secretary” means the Secretary of Health and Human Services, except where another Secretary is expressly identified.</w:t>
      </w:r>
    </w:p>
    <w:p>
      <w:pPr>
        <w:pStyle w:val="LegalBody"/>
      </w:pPr>
      <w:r>
        <w:rPr>
          <w:b/>
        </w:rPr>
        <w:t xml:space="preserve">(2) Director. </w:t>
      </w:r>
      <w:r>
        <w:t>The term “Director” means the Director of the Office of Human Development and Capability established by section 301.</w:t>
      </w:r>
    </w:p>
    <w:p>
      <w:pPr>
        <w:pStyle w:val="LegalBody"/>
      </w:pPr>
      <w:r>
        <w:rPr>
          <w:b/>
        </w:rPr>
        <w:t xml:space="preserve">(3) Lead agency. </w:t>
      </w:r>
      <w:r>
        <w:t>The term “lead agency” means the Federal department or agency assigned responsibility for a title, section, or account under this Act. A lead agency may obtain assistance from another agency but remains responsible for the duty assigned to it.</w:t>
      </w:r>
    </w:p>
    <w:p>
      <w:pPr>
        <w:pStyle w:val="LegalBody"/>
      </w:pPr>
      <w:r>
        <w:rPr>
          <w:b/>
        </w:rPr>
        <w:t xml:space="preserve">(4) Covered program. </w:t>
      </w:r>
      <w:r>
        <w:t>The term “covered program” means an activity funded in whole or in part under this Act, including a subaward or contract financed with such assistance. Coverage extends to the funded activity and reasonably necessary administrative functions, not automatically to every unrelated activity of a recipient.</w:t>
      </w:r>
    </w:p>
    <w:p>
      <w:pPr>
        <w:pStyle w:val="LegalBody"/>
      </w:pPr>
      <w:r>
        <w:rPr>
          <w:b/>
        </w:rPr>
        <w:t xml:space="preserve">(5) Recipient. </w:t>
      </w:r>
      <w:r>
        <w:t>The term “recipient” means a public or private entity receiving assistance under this Act, directly or through a subaward, and includes a contractor only with respect to contract conditions expressly applicable to that contractor.</w:t>
      </w:r>
    </w:p>
    <w:p>
      <w:pPr>
        <w:pStyle w:val="LegalBody"/>
      </w:pPr>
      <w:r>
        <w:rPr>
          <w:b/>
        </w:rPr>
        <w:t xml:space="preserve">(6) Covered commercial entity. </w:t>
      </w:r>
      <w:r>
        <w:t>The term “covered commercial entity” means a person other than an individual acting exclusively in a personal or household capacity that offers, supplies, deploys, or materially controls a product or service in or affecting interstate or foreign commerce and is expressly subject to a commercial requirement of titles XIV or XVIII through XXII. Nonprofit status does not itself exclude a commercial activity from this definition.</w:t>
      </w:r>
    </w:p>
    <w:p>
      <w:pPr>
        <w:pStyle w:val="LegalBody"/>
      </w:pPr>
      <w:r>
        <w:rPr>
          <w:b/>
        </w:rPr>
        <w:t xml:space="preserve">(7) State. </w:t>
      </w:r>
      <w:r>
        <w:t>The term “State” includes each State, the District of Columbia, the Commonwealth of Puerto Rico, and each United States territory or possession. A tribal government is not included within the term State unless expressly stated.</w:t>
      </w:r>
    </w:p>
    <w:p>
      <w:pPr>
        <w:pStyle w:val="LegalBody"/>
      </w:pPr>
      <w:r>
        <w:rPr>
          <w:b/>
        </w:rPr>
        <w:t xml:space="preserve">(8) Indian Tribe. </w:t>
      </w:r>
      <w:r>
        <w:t>The term “Indian Tribe” means an Indian tribe, band, nation, or other organized group or community recognized as eligible for services from the United States because of its status as an Indian tribe.</w:t>
      </w:r>
    </w:p>
    <w:p>
      <w:bookmarkStart w:id="10" w:name="SEC_107"/>
      <w:pPr>
        <w:pStyle w:val="Heading2"/>
      </w:pPr>
      <w:r>
        <w:t>SEC. 107. DEFINITIONS OF EVIDENCE, RISK, DATA, AND TECHNOLOGY.</w:t>
      </w:r>
      <w:bookmarkEnd w:id="10"/>
    </w:p>
    <w:p>
      <w:pPr>
        <w:pStyle w:val="LegalBody"/>
      </w:pPr>
      <w:r>
        <w:t>For purposes of this Act:</w:t>
      </w:r>
    </w:p>
    <w:p>
      <w:pPr>
        <w:pStyle w:val="LegalBody"/>
      </w:pPr>
      <w:r>
        <w:rPr>
          <w:b/>
        </w:rPr>
        <w:t xml:space="preserve">(1) Evidence assessment. </w:t>
      </w:r>
      <w:r>
        <w:t>The term “evidence assessment” means a documented appraisal of study design, risk of bias, precision, consistency, applicability, publication bias, conflicts of interest, and the distinction between observed association and causal inference. An assessment may consider qualitative evidence and community knowledge without misrepresenting their purpose or methodological limits.</w:t>
      </w:r>
    </w:p>
    <w:p>
      <w:pPr>
        <w:pStyle w:val="LegalBody"/>
      </w:pPr>
      <w:r>
        <w:rPr>
          <w:b/>
        </w:rPr>
        <w:t xml:space="preserve">(2) Serious harm. </w:t>
      </w:r>
      <w:r>
        <w:t>The term “serious harm” means death, substantial bodily injury, substantial and clinically consequential impairment of mental functioning, unlawful deprivation of a fundamental liberty, or a comparably grave and demonstrable injury expressly identified in the applicable provision. Distress caused solely by encountering a lawful viewpoint is not serious harm for purposes of restricting expression.</w:t>
      </w:r>
    </w:p>
    <w:p>
      <w:pPr>
        <w:pStyle w:val="LegalBody"/>
      </w:pPr>
      <w:r>
        <w:rPr>
          <w:b/>
        </w:rPr>
        <w:t xml:space="preserve">(3) Material risk. </w:t>
      </w:r>
      <w:r>
        <w:t>The term “material risk” means a risk whose probability, severity, duration, distribution, and uncertainty would be important to a reasonable decision concerning the specified activity. Speculative possibilities unsupported by a reasoned evidentiary account are insufficient to establish material risk.</w:t>
      </w:r>
    </w:p>
    <w:p>
      <w:pPr>
        <w:pStyle w:val="LegalBody"/>
      </w:pPr>
      <w:r>
        <w:rPr>
          <w:b/>
        </w:rPr>
        <w:t xml:space="preserve">(4) Personal data. </w:t>
      </w:r>
      <w:r>
        <w:t>The term “personal data” means information that identifies, relates to, or is reasonably linkable to an individual, including an inference used to make a decision about that individual. Data are not anonymous merely because direct identifiers have been removed.</w:t>
      </w:r>
    </w:p>
    <w:p>
      <w:pPr>
        <w:pStyle w:val="LegalBody"/>
      </w:pPr>
      <w:r>
        <w:rPr>
          <w:b/>
        </w:rPr>
        <w:t xml:space="preserve">(5) Sensitive data. </w:t>
      </w:r>
      <w:r>
        <w:t>The term “sensitive data” includes health, genetic, neural, precise location, sexual or reproductive, biometric identification, and confidential communications data, and information revealing a person's religious beliefs or protected civil-rights characteristics.</w:t>
      </w:r>
    </w:p>
    <w:p>
      <w:pPr>
        <w:pStyle w:val="LegalBody"/>
      </w:pPr>
      <w:r>
        <w:rPr>
          <w:b/>
        </w:rPr>
        <w:t xml:space="preserve">(6) Automated decision system. </w:t>
      </w:r>
      <w:r>
        <w:t>The term “automated decision system” means a computational process used to make or materially recommend a decision concerning an individual. Routine arithmetic without inferential classification is excluded unless it materially determines a high-impact decision defined in title XIX.</w:t>
      </w:r>
    </w:p>
    <w:p>
      <w:pPr>
        <w:pStyle w:val="LegalBody"/>
      </w:pPr>
      <w:r>
        <w:rPr>
          <w:b/>
        </w:rPr>
        <w:t xml:space="preserve">(7) Human review. </w:t>
      </w:r>
      <w:r>
        <w:t>The term “human review” means review by a competent person with access to relevant information, sufficient time, authority to change the result, and responsibility to give reasons. Approval without these conditions is not human review.</w:t>
      </w:r>
    </w:p>
    <w:p>
      <w:bookmarkStart w:id="11" w:name="SEC_108"/>
      <w:pPr>
        <w:pStyle w:val="Heading2"/>
      </w:pPr>
      <w:r>
        <w:t>SEC. 108. GENERAL RIGHTS-PROTECTIVE CONSTRUCTION.</w:t>
      </w:r>
      <w:bookmarkEnd w:id="11"/>
    </w:p>
    <w:p>
      <w:pPr>
        <w:pStyle w:val="LegalBody"/>
      </w:pPr>
      <w:r>
        <w:rPr>
          <w:b/>
        </w:rPr>
        <w:t xml:space="preserve">(a) Personal liberty. </w:t>
      </w:r>
      <w:r>
        <w:t>Nothing in this Act authorizes compulsory social participation, a mandated belief, compelled reproduction or sterilization, involuntary genetic modification, compulsory neural monitoring, a mandatory wellness score, or treatment imposed solely to improve a population indicator. Existing lawful authorities for emergency care or narrowly authorized public-health action are neither enlarged nor displaced by this clause.</w:t>
      </w:r>
    </w:p>
    <w:p>
      <w:pPr>
        <w:pStyle w:val="LegalBody"/>
      </w:pPr>
      <w:r>
        <w:rPr>
          <w:b/>
        </w:rPr>
        <w:t xml:space="preserve">(b) Equality and variation. </w:t>
      </w:r>
      <w:r>
        <w:t>Agencies shall not equate an observed population average with an individual's ability, preference, risk, or legal entitlement. Standards shall accommodate relevant variation and shall be evaluated for exclusion of persons with disabilities, uncommon conditions, minority languages, and circumstances poorly represented in the underlying evidence.</w:t>
      </w:r>
    </w:p>
    <w:p>
      <w:pPr>
        <w:pStyle w:val="LegalBody"/>
      </w:pPr>
      <w:r>
        <w:rPr>
          <w:b/>
        </w:rPr>
        <w:t xml:space="preserve">(c) Expression and religion. </w:t>
      </w:r>
      <w:r>
        <w:t>This Act shall be administered consistently with the First Amendment, applicable religious-freedom statutes, freedom of inquiry, and lawful editorial discretion. A grant may specify the service purchased but shall not require agreement with a governmental view concerning the meaning of a good life.</w:t>
      </w:r>
    </w:p>
    <w:p>
      <w:pPr>
        <w:pStyle w:val="LegalBody"/>
      </w:pPr>
      <w:r>
        <w:rPr>
          <w:b/>
        </w:rPr>
        <w:t xml:space="preserve">(d) Clinical and personal choices. </w:t>
      </w:r>
      <w:r>
        <w:t>References to care, enhancement, prevention, or development do not establish a duty to accept treatment or create an entitlement to an unapproved or unlawful intervention. References to a family include relationships recognized under applicable law and do not authorize Federal determination of private family status.</w:t>
      </w:r>
    </w:p>
    <w:p>
      <w:pPr>
        <w:pStyle w:val="LegalBody"/>
      </w:pPr>
      <w:r>
        <w:rPr>
          <w:b/>
        </w:rPr>
        <w:t xml:space="preserve">(e) Technological neutrality. </w:t>
      </w:r>
      <w:r>
        <w:t>A human-made, biological, digital, mechanical, or hybrid method shall not be favored or disfavored solely because of its category. Requirements shall address the actual function, evidence, risks, benefits, and rights implicated by its use.</w:t>
      </w:r>
    </w:p>
    <w:p>
      <w:bookmarkStart w:id="12" w:name="SEC_109"/>
      <w:pPr>
        <w:pStyle w:val="Heading2"/>
      </w:pPr>
      <w:r>
        <w:t>SEC. 109. RELATIONSHIP TO EXISTING LAW AND ENFORCEABLE DUTIES.</w:t>
      </w:r>
      <w:bookmarkEnd w:id="12"/>
    </w:p>
    <w:p>
      <w:pPr>
        <w:pStyle w:val="LegalBody"/>
      </w:pPr>
      <w:r>
        <w:rPr>
          <w:b/>
        </w:rPr>
        <w:t xml:space="preserve">(a) Preservation. </w:t>
      </w:r>
      <w:r>
        <w:t>Except for express amendments or expressly stated independent obligations, this Act supplements and does not repeal protections under civil-rights, disability, labor, consumer-protection, privacy, environmental, research, medical-product, education, and public-records law. Compliance with this Act does not excuse noncompliance with another applicable requirement.</w:t>
      </w:r>
    </w:p>
    <w:p>
      <w:pPr>
        <w:pStyle w:val="LegalBody"/>
      </w:pPr>
      <w:r>
        <w:rPr>
          <w:b/>
        </w:rPr>
        <w:t xml:space="preserve">(b) No implied cause of action. </w:t>
      </w:r>
      <w:r>
        <w:t>A purpose, finding, goal, dashboard measure, strategic plan, or recommendation under this Act creates no private cause of action. Private enforcement is available only as provided in section 2807 for the specifically enumerated duties. Public enforcement and grant remedies shall proceed under title XXVIII and the applicable substantive title.</w:t>
      </w:r>
    </w:p>
    <w:p>
      <w:pPr>
        <w:pStyle w:val="LegalBody"/>
      </w:pPr>
      <w:r>
        <w:rPr>
          <w:b/>
        </w:rPr>
        <w:t xml:space="preserve">(c) No implied entitlement. </w:t>
      </w:r>
      <w:r>
        <w:t>A discretionary service financed by a capped account under title XXIX is available subject to eligibility, published allocation rules, and available funds. A recipient shall not promise an unconditional benefit beyond its authority or deny an existing statutory entitlement by characterizing it as a discretionary HUMAN Act service.</w:t>
      </w:r>
    </w:p>
    <w:p>
      <w:pPr>
        <w:pStyle w:val="LegalBody"/>
      </w:pPr>
      <w:r>
        <w:rPr>
          <w:b/>
        </w:rPr>
        <w:t xml:space="preserve">(d) Benefit continuity. </w:t>
      </w:r>
      <w:r>
        <w:t>A person shall not lose an existing benefit because a demonstration is created, because the person declines participation in research, or because a recipient fails to secure a continuation award. Transition obligations specifically undertaken in a funded plan remain enforceable within the applicable award.</w:t>
      </w:r>
    </w:p>
    <w:p>
      <w:pPr>
        <w:pStyle w:val="LegalBody"/>
      </w:pPr>
      <w:r>
        <w:rPr>
          <w:b/>
        </w:rPr>
        <w:t xml:space="preserve">(e) Specificity. </w:t>
      </w:r>
      <w:r>
        <w:t>Where provisions of this Act conflict, the provision more specifically governing the activity controls, subject to the minimum rights and procedural protections expressly made nonwaivable. An agency shall explain a claimed conflict in a public written interpretation rather than silently disregarding either provision.</w:t>
      </w:r>
    </w:p>
    <w:p>
      <w:bookmarkStart w:id="13" w:name="SEC_110"/>
      <w:pPr>
        <w:pStyle w:val="Heading2"/>
      </w:pPr>
      <w:r>
        <w:t>SEC. 110. TIME, NOTICE, AND INTERPRETATION OF DEADLINES.</w:t>
      </w:r>
      <w:bookmarkEnd w:id="13"/>
    </w:p>
    <w:p>
      <w:pPr>
        <w:pStyle w:val="LegalBody"/>
      </w:pPr>
      <w:r>
        <w:rPr>
          <w:b/>
        </w:rPr>
        <w:t xml:space="preserve">(a) Enactment days. </w:t>
      </w:r>
      <w:r>
        <w:t>A deadline measured in days after enactment means calendar days unless expressly stated otherwise. If the final day is a Saturday, Sunday, or Federal legal holiday, a filing or agency action may occur on the next business day. Emergency protective duties stated in hours are not extended by this rule.</w:t>
      </w:r>
    </w:p>
    <w:p>
      <w:pPr>
        <w:pStyle w:val="LegalBody"/>
      </w:pPr>
      <w:r>
        <w:rPr>
          <w:b/>
        </w:rPr>
        <w:t xml:space="preserve">(b) Program years. </w:t>
      </w:r>
      <w:r>
        <w:t>Program year 1 means the first Federal fiscal year beginning after enactment. Subsequent program years are consecutive Federal fiscal years. Obligations and outlays shall be recorded by the fiscal year in which they occur, including expenditures of the advance made available at enactment under section 2902.</w:t>
      </w:r>
    </w:p>
    <w:p>
      <w:pPr>
        <w:pStyle w:val="LegalBody"/>
      </w:pPr>
      <w:r>
        <w:rPr>
          <w:b/>
        </w:rPr>
        <w:t xml:space="preserve">(c) Notice. </w:t>
      </w:r>
      <w:r>
        <w:t>A notice required to an individual shall use a reasonably accessible method suited to the relationship, shall identify the sender and action, and shall explain material consequences and available review. A notice is not effective merely because it appears in an inaccessible portal that the individual cannot reasonably use.</w:t>
      </w:r>
    </w:p>
    <w:p>
      <w:pPr>
        <w:pStyle w:val="LegalBody"/>
      </w:pPr>
      <w:r>
        <w:rPr>
          <w:b/>
        </w:rPr>
        <w:t xml:space="preserve">(d) Extensions. </w:t>
      </w:r>
      <w:r>
        <w:t>An agency may extend an administrative filing deadline for good cause where no express statutory prohibition applies, but may not extend a statutory compliance date applicable to regulated entities except under an express waiver authority. Extensions shall identify their scope, reasons, and duration.</w:t>
      </w:r>
    </w:p>
    <w:p>
      <w:pPr>
        <w:pStyle w:val="LegalBody"/>
      </w:pPr>
      <w:r>
        <w:rPr>
          <w:b/>
        </w:rPr>
        <w:t xml:space="preserve">(e) General effective date. </w:t>
      </w:r>
      <w:r>
        <w:t>The general effective date is governed by section 3001. Immediate organizational and funding provisions, delayed commercial requirements, pilot expiration dates, and emergency procedures shall be administered according to their specific terms. No civil monetary penalty may be imposed for conduct preceding the effective date of the duty allegedly violated.</w:t>
      </w:r>
    </w:p>
    <w:p>
      <w:bookmarkStart w:id="14" w:name="TITLE_II"/>
      <w:pPr>
        <w:pStyle w:val="Heading1"/>
        <w:pageBreakBefore/>
      </w:pPr>
      <w:r>
        <w:t>TITLE II. DIGNITY, AUTONOMY, EQUALITY, AND INDIVIDUAL SAFEGUARDS</w:t>
      </w:r>
      <w:bookmarkEnd w:id="14"/>
    </w:p>
    <w:p>
      <w:bookmarkStart w:id="15" w:name="SEC_201"/>
      <w:pPr>
        <w:pStyle w:val="Heading2"/>
        <w:spacing w:before="220"/>
      </w:pPr>
      <w:r>
        <w:t>SEC. 201. EQUAL ACCESS IN COVERED PROGRAMS.</w:t>
      </w:r>
      <w:bookmarkEnd w:id="15"/>
    </w:p>
    <w:p>
      <w:pPr>
        <w:pStyle w:val="LegalBody"/>
        <w:spacing w:after="60"/>
      </w:pPr>
      <w:r>
        <w:rPr>
          <w:b/>
        </w:rPr>
        <w:t xml:space="preserve">(a) Duty. </w:t>
      </w:r>
      <w:r>
        <w:t>A recipient shall administer a covered program without discrimination on the basis of race, color, national origin, ethnicity, sex, pregnancy, sexual orientation, gender identity, religion, disability, age, genetic characteristics, or family structure. Citizenship or immigration restrictions expressly required by another applicable Federal statute remain controlling unless this Act expressly changes them.</w:t>
      </w:r>
    </w:p>
    <w:p>
      <w:pPr>
        <w:pStyle w:val="LegalBody"/>
        <w:spacing w:after="60"/>
      </w:pPr>
      <w:r>
        <w:rPr>
          <w:b/>
        </w:rPr>
        <w:t xml:space="preserve">(b) Relevant criteria. </w:t>
      </w:r>
      <w:r>
        <w:t>A program may use a clinically, developmentally, or operationally relevant eligibility criterion when necessary to deliver the authorized service, supported by reasons, and not a pretext for exclusion. An age-defined child service, a treatment directed to a particular condition, and an accessibility intervention are not prohibited solely because they serve a defined population.</w:t>
      </w:r>
    </w:p>
    <w:p>
      <w:pPr>
        <w:pStyle w:val="LegalBody"/>
        <w:spacing w:after="60"/>
      </w:pPr>
      <w:r>
        <w:rPr>
          <w:b/>
        </w:rPr>
        <w:t xml:space="preserve">(c) Individual assessment. </w:t>
      </w:r>
      <w:r>
        <w:t>Where eligibility turns on functional ability, the recipient shall consider reasonable accommodations and assistive technology before deciding that an individual cannot participate safely. A diagnosis alone is insufficient to establish dangerousness, incapacity, or inability to benefit.</w:t>
      </w:r>
    </w:p>
    <w:p>
      <w:pPr>
        <w:pStyle w:val="LegalBody"/>
        <w:spacing w:after="60"/>
      </w:pPr>
      <w:r>
        <w:rPr>
          <w:b/>
        </w:rPr>
        <w:t xml:space="preserve">(d) Correction. </w:t>
      </w:r>
      <w:r>
        <w:t>A person denied access shall receive an explanation identifying the applicable criterion and a route to review under section 206. An urgent health or safety need shall be referred promptly to an available lawful service rather than left unresolved solely because eligibility is disputed.</w:t>
      </w:r>
    </w:p>
    <w:p>
      <w:pPr>
        <w:pStyle w:val="LegalBody"/>
        <w:spacing w:after="60"/>
      </w:pPr>
      <w:r>
        <w:rPr>
          <w:b/>
        </w:rPr>
        <w:t xml:space="preserve">(e) Administration. </w:t>
      </w:r>
      <w:r>
        <w:t>The Secretary shall coordinate enforcement with the responsible civil-rights offices. This section establishes an independent condition of new assistance and does not narrow any broader protection or remedy available under existing law.</w:t>
      </w:r>
    </w:p>
    <w:p>
      <w:bookmarkStart w:id="16" w:name="SEC_202"/>
      <w:pPr>
        <w:pStyle w:val="Heading2"/>
        <w:spacing w:before="220"/>
      </w:pPr>
      <w:r>
        <w:t>SEC. 202. VOLUNTARY PARTICIPATION AND FREEDOM FROM COERCION.</w:t>
      </w:r>
      <w:bookmarkEnd w:id="16"/>
    </w:p>
    <w:p>
      <w:pPr>
        <w:pStyle w:val="LegalBody"/>
        <w:spacing w:after="60"/>
      </w:pPr>
      <w:r>
        <w:rPr>
          <w:b/>
        </w:rPr>
        <w:t xml:space="preserve">(a) General rule. </w:t>
      </w:r>
      <w:r>
        <w:t>Participation in a covered wellness, social-connection, cultural, behavioral, or research program shall be voluntary. A recipient shall not threaten withdrawal of unrelated housing, healthcare, education, food assistance, employment, or legal representation to secure participation.</w:t>
      </w:r>
    </w:p>
    <w:p>
      <w:pPr>
        <w:pStyle w:val="LegalBody"/>
        <w:spacing w:after="60"/>
      </w:pPr>
      <w:r>
        <w:rPr>
          <w:b/>
        </w:rPr>
        <w:t xml:space="preserve">(b) Incentives. </w:t>
      </w:r>
      <w:r>
        <w:t>Reasonable reimbursement of expenses and compensation for time are permitted. An incentive shall be reviewed for undue influence where participants face substantial deprivation or dependency. A recipient shall distinguish compensation from a penalty imposed on nonparticipants and shall offer a reasonably equivalent accessible method of earning a generally available benefit when the original activity excludes a person because of disability.</w:t>
      </w:r>
    </w:p>
    <w:p>
      <w:pPr>
        <w:pStyle w:val="LegalBody"/>
        <w:spacing w:after="60"/>
      </w:pPr>
      <w:r>
        <w:rPr>
          <w:b/>
        </w:rPr>
        <w:t xml:space="preserve">(c) Withdrawal. </w:t>
      </w:r>
      <w:r>
        <w:t>An individual may cease participation prospectively without retaliation. The recipient may explain direct consequences, including the inability to receive a service that cannot be delivered without the declined activity, but shall not characterize unrelated consequences as unavoidable. Withdrawal from research does not require destruction of data already lawfully incorporated into an analysis when such destruction is infeasible and the consent process explained the limitation.</w:t>
      </w:r>
    </w:p>
    <w:p>
      <w:pPr>
        <w:pStyle w:val="LegalBody"/>
        <w:spacing w:after="60"/>
      </w:pPr>
      <w:r>
        <w:rPr>
          <w:b/>
        </w:rPr>
        <w:t xml:space="preserve">(d) Custodial settings. </w:t>
      </w:r>
      <w:r>
        <w:t>A person exercising authority over confinement, discipline, immigration custody, or essential care shall not solicit consent by promising a discretionary release, favorable adjudication, or protection from mistreatment. Lawful alternatives to prosecution or confinement require independent legal safeguards and are not created by this Act.</w:t>
      </w:r>
    </w:p>
    <w:p>
      <w:pPr>
        <w:pStyle w:val="LegalBody"/>
        <w:spacing w:after="60"/>
      </w:pPr>
      <w:r>
        <w:rPr>
          <w:b/>
        </w:rPr>
        <w:t xml:space="preserve">(e) Record. </w:t>
      </w:r>
      <w:r>
        <w:t>Consent and withdrawal procedures shall be available in accessible formats and shall not require disclosure of a private reason for declining participation.</w:t>
      </w:r>
    </w:p>
    <w:p>
      <w:bookmarkStart w:id="17" w:name="SEC_203"/>
      <w:pPr>
        <w:pStyle w:val="Heading2"/>
        <w:spacing w:before="220"/>
      </w:pPr>
      <w:r>
        <w:t>SEC. 203. INFORMED CONSENT AND SUPPORTED UNDERSTANDING.</w:t>
      </w:r>
      <w:bookmarkEnd w:id="17"/>
    </w:p>
    <w:p>
      <w:pPr>
        <w:pStyle w:val="LegalBody"/>
        <w:spacing w:after="60"/>
      </w:pPr>
      <w:r>
        <w:rPr>
          <w:b/>
        </w:rPr>
        <w:t xml:space="preserve">(a) Required information. </w:t>
      </w:r>
      <w:r>
        <w:t>Where this Act requires consent, the responsible entity shall explain the activity, its purpose, material risks and expected benefits, reasonable alternatives, costs, data uses, limits on confidentiality, ability to withdraw, and contact for questions. Information shall be proportionate to the decision and presented without deceptive urgency or concealment in unrelated terms.</w:t>
      </w:r>
    </w:p>
    <w:p>
      <w:pPr>
        <w:pStyle w:val="LegalBody"/>
        <w:spacing w:after="60"/>
      </w:pPr>
      <w:r>
        <w:rPr>
          <w:b/>
        </w:rPr>
        <w:t xml:space="preserve">(b) Understanding. </w:t>
      </w:r>
      <w:r>
        <w:t>The entity shall provide a reasonable opportunity to ask questions and shall use language and communication assistance appropriate to the individual. A signature, button selection, or recorded verbal assent is evidence of consent only when the surrounding process is voluntary and adequately informative.</w:t>
      </w:r>
    </w:p>
    <w:p>
      <w:pPr>
        <w:pStyle w:val="LegalBody"/>
        <w:spacing w:after="60"/>
      </w:pPr>
      <w:r>
        <w:rPr>
          <w:b/>
        </w:rPr>
        <w:t xml:space="preserve">(c) Assistance. </w:t>
      </w:r>
      <w:r>
        <w:t>An individual may use a chosen supporter, interpreter, accessible communication device, or other assistance. The entity shall address the individual directly where practicable and shall verify that assistance does not substitute the supporter's preference for the individual's own choice.</w:t>
      </w:r>
    </w:p>
    <w:p>
      <w:pPr>
        <w:pStyle w:val="LegalBody"/>
        <w:spacing w:after="60"/>
      </w:pPr>
      <w:r>
        <w:rPr>
          <w:b/>
        </w:rPr>
        <w:t xml:space="preserve">(d) Capacity and authority. </w:t>
      </w:r>
      <w:r>
        <w:t>Legal capacity, parental permission, authorized representation, and emergency exceptions remain governed by applicable law except where this Act provides a more specific safeguard for its own programs. A determination of incapacity shall be decision-specific and shall not be inferred solely from a disability or communication difference.</w:t>
      </w:r>
    </w:p>
    <w:p>
      <w:pPr>
        <w:pStyle w:val="LegalBody"/>
        <w:spacing w:after="60"/>
      </w:pPr>
      <w:r>
        <w:rPr>
          <w:b/>
        </w:rPr>
        <w:t xml:space="preserve">(e) Renewed consent. </w:t>
      </w:r>
      <w:r>
        <w:t>Material changes in an intervention or a new incompatible use of sensitive data require renewed consent unless a separate legal authorization applies. A recipient shall document the version of information supplied and preserve that record for the period necessary to resolve a reasonably foreseeable dispute.</w:t>
      </w:r>
    </w:p>
    <w:p>
      <w:bookmarkStart w:id="18" w:name="SEC_204"/>
      <w:pPr>
        <w:pStyle w:val="Heading2"/>
        <w:spacing w:before="220"/>
      </w:pPr>
      <w:r>
        <w:t>SEC. 204. BODILY INTEGRITY AND PROHIBITED PROGRAM PRACTICES.</w:t>
      </w:r>
      <w:bookmarkEnd w:id="18"/>
    </w:p>
    <w:p>
      <w:pPr>
        <w:pStyle w:val="LegalBody"/>
        <w:spacing w:after="60"/>
      </w:pPr>
      <w:r>
        <w:rPr>
          <w:b/>
        </w:rPr>
        <w:t xml:space="preserve">(a) Prohibition. </w:t>
      </w:r>
      <w:r>
        <w:t>No recipient shall use assistance under this Act to conduct or require involuntary sterilization, nonconsensual reproductive intervention, coercive genetic selection, nonconsensual implantation for nonemergency behavioral control, or a procedure intended to eliminate a protected identity rather than address an individual's voluntarily identified health need.</w:t>
      </w:r>
    </w:p>
    <w:p>
      <w:pPr>
        <w:pStyle w:val="LegalBody"/>
        <w:spacing w:after="60"/>
      </w:pPr>
      <w:r>
        <w:rPr>
          <w:b/>
        </w:rPr>
        <w:t xml:space="preserve">(b) Treatment decisions. </w:t>
      </w:r>
      <w:r>
        <w:t>A funded provider shall not condition clinically indicated care on an individual's agreement to undergo an unrelated enhancement, participate in research, donate biological material, or disclose intimate information not reasonably necessary for the service. A provider may require information necessary to assess a specific contraindication and shall explain that necessity.</w:t>
      </w:r>
    </w:p>
    <w:p>
      <w:pPr>
        <w:pStyle w:val="LegalBody"/>
        <w:spacing w:after="60"/>
      </w:pPr>
      <w:r>
        <w:rPr>
          <w:b/>
        </w:rPr>
        <w:t xml:space="preserve">(c) Existing emergency law. </w:t>
      </w:r>
      <w:r>
        <w:t>This section does not prohibit treatment permitted by applicable emergency-consent law to prevent imminent serious harm when an individual cannot provide consent. The exception shall not be used to authorize a nontherapeutic experiment, a reproductive procedure unrelated to the emergency, or a convenience-based behavioral intervention.</w:t>
      </w:r>
    </w:p>
    <w:p>
      <w:pPr>
        <w:pStyle w:val="LegalBody"/>
        <w:spacing w:after="60"/>
      </w:pPr>
      <w:r>
        <w:rPr>
          <w:b/>
        </w:rPr>
        <w:t xml:space="preserve">(d) Restraint and isolation. </w:t>
      </w:r>
      <w:r>
        <w:t>Covered programs shall employ prevention, communication support, and de-escalation. Physical restraint or involuntary isolation may be used only under applicable law, by trained personnel, for the shortest period necessary to address imminent serious physical harm, with documentation, monitoring, and independent review. Seclusion shall not be used as punishment or to compensate for inadequate staffing.</w:t>
      </w:r>
    </w:p>
    <w:p>
      <w:pPr>
        <w:pStyle w:val="LegalBody"/>
        <w:spacing w:after="60"/>
      </w:pPr>
      <w:r>
        <w:rPr>
          <w:b/>
        </w:rPr>
        <w:t xml:space="preserve">(e) Referral. </w:t>
      </w:r>
      <w:r>
        <w:t>Suspected abuse shall be reported through applicable protective-service and professional channels. Reporting shall preserve confidentiality to the greatest extent consistent with the person's safety and legally required disclosures.</w:t>
      </w:r>
    </w:p>
    <w:p>
      <w:bookmarkStart w:id="19" w:name="SEC_205"/>
      <w:pPr>
        <w:pStyle w:val="Heading2"/>
        <w:spacing w:before="220"/>
      </w:pPr>
      <w:r>
        <w:t>SEC. 205. PRIVACY OF BELIEF, RELATIONSHIPS, AND PERSONAL CHOICE.</w:t>
      </w:r>
      <w:bookmarkEnd w:id="19"/>
    </w:p>
    <w:p>
      <w:pPr>
        <w:pStyle w:val="LegalBody"/>
        <w:spacing w:after="60"/>
      </w:pPr>
      <w:r>
        <w:rPr>
          <w:b/>
        </w:rPr>
        <w:t xml:space="preserve">(a) Limits on inquiry. </w:t>
      </w:r>
      <w:r>
        <w:t>A recipient shall not collect information concerning beliefs, lawful intimate relationships, political association, reproductive intentions, or genetic ancestry merely to measure compliance with an agency's conception of human development. Collection necessary for a voluntary, specified service or properly approved research shall comply with title XXV.</w:t>
      </w:r>
    </w:p>
    <w:p>
      <w:pPr>
        <w:pStyle w:val="LegalBody"/>
        <w:spacing w:after="60"/>
      </w:pPr>
      <w:r>
        <w:rPr>
          <w:b/>
        </w:rPr>
        <w:t xml:space="preserve">(b) No lifestyle condition. </w:t>
      </w:r>
      <w:r>
        <w:t>Receipt of a covered general service shall not depend on marriage, parenthood, religious observance, abstention from lawful expression, participation in a cultural practice, or achievement of a specified body size. Clinically appropriate counseling may be offered without converting advice into a condition unrelated to eligibility.</w:t>
      </w:r>
    </w:p>
    <w:p>
      <w:pPr>
        <w:pStyle w:val="LegalBody"/>
        <w:spacing w:after="60"/>
      </w:pPr>
      <w:r>
        <w:rPr>
          <w:b/>
        </w:rPr>
        <w:t xml:space="preserve">(c) Solitude and association. </w:t>
      </w:r>
      <w:r>
        <w:t>Programs supporting connection shall preserve the choice to be alone, to decline contact, to select one's associates, and to leave an activity. A recipient shall not disclose a participant's location or contact details to another participant without permission or a separate lawful basis.</w:t>
      </w:r>
    </w:p>
    <w:p>
      <w:pPr>
        <w:pStyle w:val="LegalBody"/>
        <w:spacing w:after="60"/>
      </w:pPr>
      <w:r>
        <w:rPr>
          <w:b/>
        </w:rPr>
        <w:t xml:space="preserve">(d) Confidential assistance. </w:t>
      </w:r>
      <w:r>
        <w:t>A program serving persons experiencing abuse shall provide confidential access routes and shall not require joint counseling, family notification, or mediation where doing so would reasonably create danger or violate applicable law.</w:t>
      </w:r>
    </w:p>
    <w:p>
      <w:pPr>
        <w:pStyle w:val="LegalBody"/>
        <w:spacing w:after="60"/>
      </w:pPr>
      <w:r>
        <w:rPr>
          <w:b/>
        </w:rPr>
        <w:t xml:space="preserve">(e) Service explanation. </w:t>
      </w:r>
      <w:r>
        <w:t>A recipient may explain the purpose of a funded activity and reasonable conduct rules necessary for safety and equal access. Such rules shall concern behavior affecting the activity, not agreement with an ideology or disclosure of personal beliefs.</w:t>
      </w:r>
    </w:p>
    <w:p>
      <w:bookmarkStart w:id="20" w:name="SEC_206"/>
      <w:pPr>
        <w:pStyle w:val="Heading2"/>
        <w:spacing w:before="220"/>
      </w:pPr>
      <w:r>
        <w:t>SEC. 206. INDIVIDUAL NOTICE, COMPLAINTS, AND PROGRAM APPEALS.</w:t>
      </w:r>
      <w:bookmarkEnd w:id="20"/>
    </w:p>
    <w:p>
      <w:pPr>
        <w:pStyle w:val="LegalBody"/>
        <w:spacing w:after="60"/>
      </w:pPr>
      <w:r>
        <w:rPr>
          <w:b/>
        </w:rPr>
        <w:t xml:space="preserve">(a) Notice of adverse action. </w:t>
      </w:r>
      <w:r>
        <w:t>Before terminating an ongoing covered service for alleged noncompliance, a recipient shall provide written or otherwise accessible notice of the facts relied upon, the rule applied, the proposed effective date, and a process for contesting the action. Immediate temporary restrictions are permissible where necessary to prevent imminent serious physical harm, with prompt subsequent review.</w:t>
      </w:r>
    </w:p>
    <w:p>
      <w:pPr>
        <w:pStyle w:val="LegalBody"/>
        <w:spacing w:after="60"/>
      </w:pPr>
      <w:r>
        <w:rPr>
          <w:b/>
        </w:rPr>
        <w:t xml:space="preserve">(b) Review. </w:t>
      </w:r>
      <w:r>
        <w:t>Each recipient shall designate a reviewer who did not make the contested decision. A request may be submitted orally, electronically, or in writing within 30 days after notice, with reasonable extensions for disability, language barriers, hospitalization, or failure of notice. The reviewer shall issue a reasoned decision within 30 days, or within 72 hours where delay threatens a serious interruption of essential care.</w:t>
      </w:r>
    </w:p>
    <w:p>
      <w:pPr>
        <w:pStyle w:val="LegalBody"/>
        <w:spacing w:after="60"/>
      </w:pPr>
      <w:r>
        <w:rPr>
          <w:b/>
        </w:rPr>
        <w:t xml:space="preserve">(c) Assistance and records. </w:t>
      </w:r>
      <w:r>
        <w:t>The individual may obtain assistance, inspect nonprivileged information material to the decision, and submit relevant evidence. Confidential information about another person may be redacted, but the recipient shall disclose a meaningful account of the grounds being used.</w:t>
      </w:r>
    </w:p>
    <w:p>
      <w:pPr>
        <w:pStyle w:val="LegalBody"/>
        <w:spacing w:after="60"/>
      </w:pPr>
      <w:r>
        <w:rPr>
          <w:b/>
        </w:rPr>
        <w:t xml:space="preserve">(d) Continuity. </w:t>
      </w:r>
      <w:r>
        <w:t>Where safe and financially authorized, an existing service shall continue pending a timely appeal. This requirement does not compel expenditure beyond a lawful award ceiling; the recipient shall then provide a transition plan and identify available alternatives.</w:t>
      </w:r>
    </w:p>
    <w:p>
      <w:pPr>
        <w:pStyle w:val="LegalBody"/>
        <w:spacing w:after="60"/>
      </w:pPr>
      <w:r>
        <w:rPr>
          <w:b/>
        </w:rPr>
        <w:t xml:space="preserve">(e) External remedies. </w:t>
      </w:r>
      <w:r>
        <w:t>Internal review does not waive administrative complaints, judicial remedies expressly available under this Act, or remedies under other law. Exhaustion is required only where a statute expressly imposes it.</w:t>
      </w:r>
    </w:p>
    <w:p>
      <w:bookmarkStart w:id="21" w:name="SEC_207"/>
      <w:pPr>
        <w:pStyle w:val="Heading2"/>
        <w:spacing w:before="220"/>
      </w:pPr>
      <w:r>
        <w:t>SEC. 207. ACCESSIBILITY, LANGUAGE ACCESS, AND COMMUNICATION.</w:t>
      </w:r>
      <w:bookmarkEnd w:id="21"/>
    </w:p>
    <w:p>
      <w:pPr>
        <w:pStyle w:val="LegalBody"/>
        <w:spacing w:after="60"/>
      </w:pPr>
      <w:r>
        <w:rPr>
          <w:b/>
        </w:rPr>
        <w:t xml:space="preserve">(a) Accessible delivery. </w:t>
      </w:r>
      <w:r>
        <w:t>Recipients shall plan for accessible facilities, transportation connections, digital interfaces, communications, application procedures, and emergency instructions. Accessibility shall be incorporated before procurement or construction rather than treated solely as a later individual exception.</w:t>
      </w:r>
    </w:p>
    <w:p>
      <w:pPr>
        <w:pStyle w:val="LegalBody"/>
        <w:spacing w:after="60"/>
      </w:pPr>
      <w:r>
        <w:rPr>
          <w:b/>
        </w:rPr>
        <w:t xml:space="preserve">(b) Language assistance. </w:t>
      </w:r>
      <w:r>
        <w:t>Where necessary for meaningful access, a recipient shall provide competent interpretation and translated vital information without charging the individual. Minor children shall not be used as interpreters for significant health, legal, or financial decisions except in a genuine emergency while qualified assistance is being obtained.</w:t>
      </w:r>
    </w:p>
    <w:p>
      <w:pPr>
        <w:pStyle w:val="LegalBody"/>
        <w:spacing w:after="60"/>
      </w:pPr>
      <w:r>
        <w:rPr>
          <w:b/>
        </w:rPr>
        <w:t xml:space="preserve">(c) Multiple channels. </w:t>
      </w:r>
      <w:r>
        <w:t>A person shall not be denied a covered essential service solely because the person lacks a smartphone, biometric credential, reliable broadband, credit card, or private electronic account. A recipient shall maintain a reasonable assisted, telephone, mail, or in-person alternative appropriate to the service.</w:t>
      </w:r>
    </w:p>
    <w:p>
      <w:pPr>
        <w:pStyle w:val="LegalBody"/>
        <w:spacing w:after="60"/>
      </w:pPr>
      <w:r>
        <w:rPr>
          <w:b/>
        </w:rPr>
        <w:t xml:space="preserve">(d) Accommodation process. </w:t>
      </w:r>
      <w:r>
        <w:t>Requests need not use a particular phrase or disclose an entire medical history. A recipient may seek documentation proportionate to an accommodation not otherwise apparent, shall protect that documentation, and shall provide a timely written explanation of any denial and effective alternatives considered.</w:t>
      </w:r>
    </w:p>
    <w:p>
      <w:pPr>
        <w:pStyle w:val="LegalBody"/>
        <w:spacing w:after="60"/>
      </w:pPr>
      <w:r>
        <w:rPr>
          <w:b/>
        </w:rPr>
        <w:t xml:space="preserve">(e) Procurement testing. </w:t>
      </w:r>
      <w:r>
        <w:t>Systems acquired with assistance under this Act shall undergo accessibility testing with users representing relevant access needs. A vendor's general declaration of accessibility does not substitute for testing of the actual functions purchased. Remediation duties and acceptance criteria shall be included in the contract.</w:t>
      </w:r>
    </w:p>
    <w:p>
      <w:bookmarkStart w:id="22" w:name="SEC_208"/>
      <w:pPr>
        <w:pStyle w:val="Heading2"/>
        <w:spacing w:before="220"/>
      </w:pPr>
      <w:r>
        <w:t>SEC. 208. PROTECTION AGAINST RETALIATION AND IMPROPER INFLUENCE.</w:t>
      </w:r>
      <w:bookmarkEnd w:id="22"/>
    </w:p>
    <w:p>
      <w:pPr>
        <w:pStyle w:val="LegalBody"/>
        <w:spacing w:after="60"/>
      </w:pPr>
      <w:r>
        <w:rPr>
          <w:b/>
        </w:rPr>
        <w:t xml:space="preserve">(a) Protected activity. </w:t>
      </w:r>
      <w:r>
        <w:t>A recipient or covered commercial entity shall not retaliate against an individual for exercising a right under this Act, requesting an accommodation, declining optional research, providing truthful information to an investigator, reporting a reasonably believed violation, or assisting another person in a protected complaint.</w:t>
      </w:r>
    </w:p>
    <w:p>
      <w:pPr>
        <w:pStyle w:val="LegalBody"/>
        <w:spacing w:after="60"/>
      </w:pPr>
      <w:r>
        <w:rPr>
          <w:b/>
        </w:rPr>
        <w:t xml:space="preserve">(b) Retaliation. </w:t>
      </w:r>
      <w:r>
        <w:t>Prohibited retaliation includes materially adverse employment action, service termination unrelated to eligibility, intimidation, threats concerning immigration status, unjustified disclosure of sensitive information, and interference with a lawful complaint. A legitimate action supported by independent reasons is not prohibited merely because it follows protected activity.</w:t>
      </w:r>
    </w:p>
    <w:p>
      <w:pPr>
        <w:pStyle w:val="LegalBody"/>
        <w:spacing w:after="60"/>
      </w:pPr>
      <w:r>
        <w:rPr>
          <w:b/>
        </w:rPr>
        <w:t xml:space="preserve">(c) Integrity of participation. </w:t>
      </w:r>
      <w:r>
        <w:t>A funded advisory body shall not condition participation on signing a statement of political agreement, waiving a right to criticize the program, or surrendering a lawful confidentiality interest unrelated to the deliberation. Reasonable conflict-of-interest disclosures and protection of properly confidential deliberative material are permitted.</w:t>
      </w:r>
    </w:p>
    <w:p>
      <w:pPr>
        <w:pStyle w:val="LegalBody"/>
        <w:spacing w:after="60"/>
      </w:pPr>
      <w:r>
        <w:rPr>
          <w:b/>
        </w:rPr>
        <w:t xml:space="preserve">(d) Contract terms. </w:t>
      </w:r>
      <w:r>
        <w:t>A predispute term that purports to waive a substantive protection of this Act is unenforceable. Nothing in this subsection independently invalidates an otherwise lawful agreement about a forum or procedure; such agreements remain subject to applicable Federal law and the explicit judicial-access provisions of section 2807.</w:t>
      </w:r>
    </w:p>
    <w:p>
      <w:pPr>
        <w:pStyle w:val="LegalBody"/>
        <w:spacing w:after="60"/>
      </w:pPr>
      <w:r>
        <w:rPr>
          <w:b/>
        </w:rPr>
        <w:t xml:space="preserve">(e) Remedies. </w:t>
      </w:r>
      <w:r>
        <w:t>Retaliation affecting a covered program may be remedied through restoration, corrective conditions, or public enforcement under title XXVIII. An individual private remedy is available only within the causes of action expressly established by section 2807.</w:t>
      </w:r>
    </w:p>
    <w:p>
      <w:bookmarkStart w:id="23" w:name="SEC_209"/>
      <w:pPr>
        <w:pStyle w:val="Heading2"/>
        <w:spacing w:before="220"/>
      </w:pPr>
      <w:r>
        <w:t>SEC. 209. ANTI-EUGENICS AND NONHIERARCHICAL USE OF SCIENCE.</w:t>
      </w:r>
      <w:bookmarkEnd w:id="23"/>
    </w:p>
    <w:p>
      <w:pPr>
        <w:pStyle w:val="LegalBody"/>
        <w:spacing w:after="60"/>
      </w:pPr>
      <w:r>
        <w:rPr>
          <w:b/>
        </w:rPr>
        <w:t xml:space="preserve">(a) Prohibited uses of assistance. </w:t>
      </w:r>
      <w:r>
        <w:t>Funds under this Act shall not be used to establish a governmental hierarchy of human worth based on ancestry, inherited traits, disability, intelligence testing, productivity, reproductive status, or conformity to an asserted biological norm; to pursue coercive population selection; or to deny basic program protections on the ground that a person's life is less valuable.</w:t>
      </w:r>
    </w:p>
    <w:p>
      <w:pPr>
        <w:pStyle w:val="LegalBody"/>
        <w:spacing w:after="60"/>
      </w:pPr>
      <w:r>
        <w:rPr>
          <w:b/>
        </w:rPr>
        <w:t xml:space="preserve">(b) Permissible research. </w:t>
      </w:r>
      <w:r>
        <w:t>This section does not prohibit scientifically valid research concerning genetic variation, disease, development, environmental interaction, or functional differences. Research shall explain its population descriptors, limitations, potential for misinterpretation, and safeguards against misuse, consistent with scientific freedom and applicable ethics requirements.</w:t>
      </w:r>
    </w:p>
    <w:p>
      <w:pPr>
        <w:pStyle w:val="LegalBody"/>
        <w:spacing w:after="60"/>
      </w:pPr>
      <w:r>
        <w:rPr>
          <w:b/>
        </w:rPr>
        <w:t xml:space="preserve">(c) Resource allocation. </w:t>
      </w:r>
      <w:r>
        <w:t>Agencies may evaluate effectiveness, costs, access, and competing needs. An evaluation shall not assign a lower monetary value to extending an individual's life solely because the individual has a disability or needs assistance. Budget constraints shall be disclosed rather than disguised as a judgment about personal worth.</w:t>
      </w:r>
    </w:p>
    <w:p>
      <w:pPr>
        <w:pStyle w:val="LegalBody"/>
        <w:spacing w:after="60"/>
      </w:pPr>
      <w:r>
        <w:rPr>
          <w:b/>
        </w:rPr>
        <w:t xml:space="preserve">(d) Clinical choice. </w:t>
      </w:r>
      <w:r>
        <w:t>Voluntary diagnosis, counseling, assistive technology, fertility care, and lawful treatment directed to an individual's chosen health goals are not prohibited merely because they affect a heritable condition. Conditions on clinical genome editing are governed by title XXI.</w:t>
      </w:r>
    </w:p>
    <w:p>
      <w:pPr>
        <w:pStyle w:val="LegalBody"/>
        <w:spacing w:after="60"/>
      </w:pPr>
      <w:r>
        <w:rPr>
          <w:b/>
        </w:rPr>
        <w:t xml:space="preserve">(e) Historical accountability. </w:t>
      </w:r>
      <w:r>
        <w:t>Training financed under this Act may examine documented abuses in medicine and public policy. Such training shall support accurate understanding and present-day safeguards without attributing collective guilt or diminished rights to persons because of their ancestry.</w:t>
      </w:r>
    </w:p>
    <w:p>
      <w:bookmarkStart w:id="24" w:name="SEC_210"/>
      <w:pPr>
        <w:pStyle w:val="Heading2"/>
        <w:spacing w:before="220"/>
      </w:pPr>
      <w:r>
        <w:t>SEC. 210. RIGHTS IMPLEMENTATION AND PERIODIC AUDIT.</w:t>
      </w:r>
      <w:bookmarkEnd w:id="24"/>
    </w:p>
    <w:p>
      <w:pPr>
        <w:pStyle w:val="LegalBody"/>
        <w:spacing w:after="60"/>
      </w:pPr>
      <w:r>
        <w:rPr>
          <w:b/>
        </w:rPr>
        <w:t xml:space="preserve">(a) Responsible office. </w:t>
      </w:r>
      <w:r>
        <w:t>Within 180 days after enactment, the Secretary shall designate an existing civil-rights office to coordinate implementation of this title and publish a single referral pathway. Specialized complaints shall remain with the agency possessing the relevant expertise and authority.</w:t>
      </w:r>
    </w:p>
    <w:p>
      <w:pPr>
        <w:pStyle w:val="LegalBody"/>
        <w:spacing w:after="60"/>
      </w:pPr>
      <w:r>
        <w:rPr>
          <w:b/>
        </w:rPr>
        <w:t xml:space="preserve">(b) Audit plan. </w:t>
      </w:r>
      <w:r>
        <w:t>Each lead agency shall adopt a risk-based rights audit plan for its covered programs. The plan shall examine access denials, consent processes, accommodation delays, complaint outcomes, retaliation, and unequal burdens. Audits shall use aggregate information where sufficient and shall not require collection of sensitive characteristics from every participant.</w:t>
      </w:r>
    </w:p>
    <w:p>
      <w:pPr>
        <w:pStyle w:val="LegalBody"/>
        <w:spacing w:after="60"/>
      </w:pPr>
      <w:r>
        <w:rPr>
          <w:b/>
        </w:rPr>
        <w:t xml:space="preserve">(c) Participation. </w:t>
      </w:r>
      <w:r>
        <w:t>Individuals affected by services, including persons using communication assistance and persons from underserved settings, shall have accessible opportunities to identify practical barriers. Participation may be compensated from authorized administration funds. No participant shall be required to disclose a diagnosis publicly.</w:t>
      </w:r>
    </w:p>
    <w:p>
      <w:pPr>
        <w:pStyle w:val="LegalBody"/>
        <w:spacing w:after="60"/>
      </w:pPr>
      <w:r>
        <w:rPr>
          <w:b/>
        </w:rPr>
        <w:t xml:space="preserve">(d) Findings and correction. </w:t>
      </w:r>
      <w:r>
        <w:t>An audit shall distinguish verified violations, unresolved allegations, data limitations, and recommended improvements. A recipient shall receive notice and an opportunity to respond before a final adverse finding, except where an interim protective measure is necessary under title XXVIII.</w:t>
      </w:r>
    </w:p>
    <w:p>
      <w:pPr>
        <w:pStyle w:val="LegalBody"/>
        <w:spacing w:after="60"/>
      </w:pPr>
      <w:r>
        <w:rPr>
          <w:b/>
        </w:rPr>
        <w:t xml:space="preserve">(e) Public accountability. </w:t>
      </w:r>
      <w:r>
        <w:t>Annual reporting shall describe patterns and corrective actions without publishing identifiable complainant information. A decline in recorded complaints shall not be treated automatically as improvement; agencies shall examine whether the complaint process remains accessible and trusted. Audit funding is governed by the administration and accountability account in section 2903.</w:t>
      </w:r>
    </w:p>
    <w:p>
      <w:bookmarkStart w:id="25" w:name="TITLE_III"/>
      <w:pPr>
        <w:pStyle w:val="Heading1"/>
        <w:pageBreakBefore/>
      </w:pPr>
      <w:r>
        <w:t>TITLE III. FEDERAL ADMINISTRATION AND COORDINATION</w:t>
      </w:r>
      <w:bookmarkEnd w:id="25"/>
    </w:p>
    <w:p>
      <w:bookmarkStart w:id="26" w:name="SEC_301"/>
      <w:pPr>
        <w:pStyle w:val="Heading2"/>
      </w:pPr>
      <w:r>
        <w:t>SEC. 301. OFFICE OF HUMAN DEVELOPMENT AND CAPABILITY.</w:t>
      </w:r>
      <w:bookmarkEnd w:id="26"/>
    </w:p>
    <w:p>
      <w:pPr>
        <w:pStyle w:val="LegalBody"/>
      </w:pPr>
      <w:r>
        <w:rPr>
          <w:b/>
        </w:rPr>
        <w:t xml:space="preserve">(a) Establishment. </w:t>
      </w:r>
      <w:r>
        <w:t>There is established within the Department of Health and Human Services an Office of Human Development and Capability. The Office shall coordinate, and shall not replace, the statutory responsibilities of existing agencies. The Secretary shall appoint a Director under applicable civil-service law and shall retain supervision and final decisional authority.</w:t>
      </w:r>
    </w:p>
    <w:p>
      <w:pPr>
        <w:pStyle w:val="LegalBody"/>
      </w:pPr>
      <w:r>
        <w:rPr>
          <w:b/>
        </w:rPr>
        <w:t xml:space="preserve">(b) Functions. </w:t>
      </w:r>
      <w:r>
        <w:t>The Director shall maintain the implementation schedule, coordinate account execution, publish the program inventory and public dashboard, identify duplication, support interagency research, and transmit unresolved implementation issues to the Secretary. The Office shall provide administrative support for the advisory bodies established by this title.</w:t>
      </w:r>
    </w:p>
    <w:p>
      <w:pPr>
        <w:pStyle w:val="LegalBody"/>
      </w:pPr>
      <w:r>
        <w:rPr>
          <w:b/>
        </w:rPr>
        <w:t xml:space="preserve">(c) Limits. </w:t>
      </w:r>
      <w:r>
        <w:t>The Director shall not approve a medical product, adjudicate an individual's immigration status, regulate a school's curriculum, direct an independent enforcement decision, or issue a binding rule except pursuant to an express delegation by a legally authorized agency head. Coordination does not enlarge substantive jurisdiction.</w:t>
      </w:r>
    </w:p>
    <w:p>
      <w:pPr>
        <w:pStyle w:val="LegalBody"/>
      </w:pPr>
      <w:r>
        <w:rPr>
          <w:b/>
        </w:rPr>
        <w:t xml:space="preserve">(d) Staffing. </w:t>
      </w:r>
      <w:r>
        <w:t>The Secretary may detail employees with reimbursement from the applicable account and hire personnel within section 2905. Initial staffing shall prioritize program management, research methods, civil rights, grants administration, financial controls, accessibility, privacy, and evaluation. Permanent functions shall not depend exclusively on temporary consultants.</w:t>
      </w:r>
    </w:p>
    <w:p>
      <w:pPr>
        <w:pStyle w:val="LegalBody"/>
      </w:pPr>
      <w:r>
        <w:rPr>
          <w:b/>
        </w:rPr>
        <w:t xml:space="preserve">(e) Continuity. </w:t>
      </w:r>
      <w:r>
        <w:t>Records, contracts, and responsibilities shall be maintained in ordinary agency systems with succession plans and documented decisions. The Office shall not create a separate personal database of participants where an existing lawful system can perform the required function with fewer privacy risks.</w:t>
      </w:r>
    </w:p>
    <w:p>
      <w:bookmarkStart w:id="27" w:name="SEC_302"/>
      <w:pPr>
        <w:pStyle w:val="Heading2"/>
      </w:pPr>
      <w:r>
        <w:t>SEC. 302. INTERAGENCY HUMAN CAPABILITY COUNCIL.</w:t>
      </w:r>
      <w:bookmarkEnd w:id="27"/>
    </w:p>
    <w:p>
      <w:pPr>
        <w:pStyle w:val="LegalBody"/>
      </w:pPr>
      <w:r>
        <w:rPr>
          <w:b/>
        </w:rPr>
        <w:t xml:space="preserve">(a) Membership. </w:t>
      </w:r>
      <w:r>
        <w:t>There is established an Interagency Human Capability Council, chaired by the Secretary and composed of senior officials designated by the Secretaries of Labor, Education, Housing and Urban Development, Transportation, Agriculture, Commerce, Interior, Veterans Affairs, and State; the Administrators of the Environmental Protection Agency and National Aeronautics and Space Administration; the Directors of the National Science Foundation and Office of Management and Budget; and representatives designated by the Federal Trade Commission and other participating independent agencies consistent with their independence.</w:t>
      </w:r>
    </w:p>
    <w:p>
      <w:pPr>
        <w:pStyle w:val="LegalBody"/>
      </w:pPr>
      <w:r>
        <w:rPr>
          <w:b/>
        </w:rPr>
        <w:t xml:space="preserve">(b) Duties. </w:t>
      </w:r>
      <w:r>
        <w:t>The Council shall coordinate overlapping programs, agree on common administrative definitions where lawful, identify service gaps, resolve operational conflicts, and develop joint procurement and research arrangements. It shall not vote to override an agency's statutory authority or substitute collective preference for a required agency finding.</w:t>
      </w:r>
    </w:p>
    <w:p>
      <w:pPr>
        <w:pStyle w:val="LegalBody"/>
      </w:pPr>
      <w:r>
        <w:rPr>
          <w:b/>
        </w:rPr>
        <w:t xml:space="preserve">(c) Meetings. </w:t>
      </w:r>
      <w:r>
        <w:t>The Council shall meet at least quarterly during the first 2 years and at least twice annually thereafter. Public agendas and nonconfidential summaries shall identify decisions, responsible officials, deadlines, and matters requiring legislation or additional appropriations.</w:t>
      </w:r>
    </w:p>
    <w:p>
      <w:pPr>
        <w:pStyle w:val="LegalBody"/>
      </w:pPr>
      <w:r>
        <w:rPr>
          <w:b/>
        </w:rPr>
        <w:t xml:space="preserve">(d) Disputes. </w:t>
      </w:r>
      <w:r>
        <w:t>If participating agencies cannot resolve a question within 60 days, the Director shall record the competing interpretations and refer the issue to the relevant agency heads. Any final action shall identify the legal authority and remain reviewable under applicable law.</w:t>
      </w:r>
    </w:p>
    <w:p>
      <w:pPr>
        <w:pStyle w:val="LegalBody"/>
      </w:pPr>
      <w:r>
        <w:rPr>
          <w:b/>
        </w:rPr>
        <w:t xml:space="preserve">(e) Existing mechanisms. </w:t>
      </w:r>
      <w:r>
        <w:t>The Council shall use existing interagency structures where practicable and shall report which duplicative committees or reporting requirements can lawfully be consolidated without reducing oversight.</w:t>
      </w:r>
    </w:p>
    <w:p>
      <w:bookmarkStart w:id="28" w:name="SEC_303"/>
      <w:pPr>
        <w:pStyle w:val="Heading2"/>
      </w:pPr>
      <w:r>
        <w:t>SEC. 303. SCIENTIFIC AND HUMAN RIGHTS ADVISORY BOARD.</w:t>
      </w:r>
      <w:bookmarkEnd w:id="28"/>
    </w:p>
    <w:p>
      <w:pPr>
        <w:pStyle w:val="LegalBody"/>
      </w:pPr>
      <w:r>
        <w:rPr>
          <w:b/>
        </w:rPr>
        <w:t xml:space="preserve">(a) Establishment and role. </w:t>
      </w:r>
      <w:r>
        <w:t>The Secretary shall establish a Scientific and Human Rights Advisory Board under the Federal Advisory Committee Act. The Board shall provide advice concerning evidence, research priorities, ethical issues, and evaluation. It shall exercise no regulatory, enforcement, grant-award, or adjudicatory authority.</w:t>
      </w:r>
    </w:p>
    <w:p>
      <w:pPr>
        <w:pStyle w:val="LegalBody"/>
      </w:pPr>
      <w:r>
        <w:rPr>
          <w:b/>
        </w:rPr>
        <w:t xml:space="preserve">(b) Composition. </w:t>
      </w:r>
      <w:r>
        <w:t>The Board shall include expertise in evolutionary and cultural anthropology, developmental science, medicine, mental health, disability, public health, economics, labor, education, environmental science, engineering, information systems, constitutional law, bioethics, and research methods. Membership shall also include persons with relevant lived experience and representatives of tribal or Indigenous research institutions selected through consultation.</w:t>
      </w:r>
    </w:p>
    <w:p>
      <w:pPr>
        <w:pStyle w:val="LegalBody"/>
      </w:pPr>
      <w:r>
        <w:rPr>
          <w:b/>
        </w:rPr>
        <w:t xml:space="preserve">(c) Appointments. </w:t>
      </w:r>
      <w:r>
        <w:t>Members shall be appointed for staggered 3-year terms, renewable once. Selection shall consider scientific competence, methodological diversity, independence, geographic experience, and the ability to evaluate evidence from populations often omitted from research. No member shall be selected through a political loyalty test.</w:t>
      </w:r>
    </w:p>
    <w:p>
      <w:pPr>
        <w:pStyle w:val="LegalBody"/>
      </w:pPr>
      <w:r>
        <w:rPr>
          <w:b/>
        </w:rPr>
        <w:t xml:space="preserve">(d) Conflicts. </w:t>
      </w:r>
      <w:r>
        <w:t>Financial and institutional interests relevant to Board work shall be disclosed publicly subject to lawful privacy limits. A member shall recuse from recommendations uniquely affecting a financial interest. Broad professional expertise does not by itself constitute a disqualifying conflict.</w:t>
      </w:r>
    </w:p>
    <w:p>
      <w:pPr>
        <w:pStyle w:val="LegalBody"/>
      </w:pPr>
      <w:r>
        <w:rPr>
          <w:b/>
        </w:rPr>
        <w:t xml:space="preserve">(e) Advice. </w:t>
      </w:r>
      <w:r>
        <w:t>Recommendations shall state evidence quality, uncertainty, alternatives, minority scientific views where material, and whether the question requires a policy choice rather than scientific determination. Agency disagreement with a recommendation shall be explained, but the recommendation shall not bind an agency or court.</w:t>
      </w:r>
    </w:p>
    <w:p>
      <w:bookmarkStart w:id="29" w:name="SEC_304"/>
      <w:pPr>
        <w:pStyle w:val="Heading2"/>
      </w:pPr>
      <w:r>
        <w:t>SEC. 304. ASSIGNMENT OF LEAD RESPONSIBILITIES.</w:t>
      </w:r>
      <w:bookmarkEnd w:id="29"/>
    </w:p>
    <w:p>
      <w:pPr>
        <w:pStyle w:val="LegalBody"/>
      </w:pPr>
      <w:r>
        <w:rPr>
          <w:b/>
        </w:rPr>
        <w:t xml:space="preserve">(a) Health and development. </w:t>
      </w:r>
      <w:r>
        <w:t>The Secretary shall administer titles II, V, VIII through XII, XV, XX, XXI, and XXIII, except functions expressly assigned elsewhere. The National Institutes of Health shall lead biomedical research, the Centers for Disease Control and Prevention shall lead population-health methods, and the Food and Drug Administration shall retain product responsibilities within its existing and expressly added authority.</w:t>
      </w:r>
    </w:p>
    <w:p>
      <w:pPr>
        <w:pStyle w:val="LegalBody"/>
      </w:pPr>
      <w:r>
        <w:rPr>
          <w:b/>
        </w:rPr>
        <w:t xml:space="preserve">(b) Other assignments. </w:t>
      </w:r>
      <w:r>
        <w:t>The National Science Foundation, in coordination with the National Institutes of Health and the Smithsonian Institution where appropriate, shall lead title IV. The Secretary of Education shall lead title VII; the Secretary, in coordination with that Secretary, shall lead title VI. The National Endowment for the Arts and National Endowment for the Humanities shall jointly administer title XIII through their existing statutory structures. The Secretary of Labor shall lead title XIV.</w:t>
      </w:r>
    </w:p>
    <w:p>
      <w:pPr>
        <w:pStyle w:val="LegalBody"/>
      </w:pPr>
      <w:r>
        <w:rPr>
          <w:b/>
        </w:rPr>
        <w:t xml:space="preserve">(c) Place and environment. </w:t>
      </w:r>
      <w:r>
        <w:t>The Secretary of Housing and Urban Development shall coordinate title XVI with the Secretary of Transportation. The Environmental Protection Agency shall coordinate title XVII with health, agriculture, interior, and transportation agencies.</w:t>
      </w:r>
    </w:p>
    <w:p>
      <w:pPr>
        <w:pStyle w:val="LegalBody"/>
      </w:pPr>
      <w:r>
        <w:rPr>
          <w:b/>
        </w:rPr>
        <w:t xml:space="preserve">(d) Technology and international matters. </w:t>
      </w:r>
      <w:r>
        <w:t>The Federal Trade Commission shall lead commercial consumer duties under title XVIII. Responsibilities under titles XIX and XXII shall follow the sectoral assignment in section 2802, with technical assistance from the National Institute of Standards and Technology. The Secretary of State shall coordinate title XXIV.</w:t>
      </w:r>
    </w:p>
    <w:p>
      <w:pPr>
        <w:pStyle w:val="LegalBody"/>
      </w:pPr>
      <w:r>
        <w:rPr>
          <w:b/>
        </w:rPr>
        <w:t xml:space="preserve">(e) Common administration. </w:t>
      </w:r>
      <w:r>
        <w:t>The Director shall coordinate titles XXV through XXX, without displacing the authority of the Office of Management and Budget, Inspectors General, statistical agencies, or enforcement officials. An unassigned research or grant coordination function shall rest with the Secretary; an unassigned coercive regulatory function shall not arise by implication.</w:t>
      </w:r>
    </w:p>
    <w:p>
      <w:bookmarkStart w:id="30" w:name="SEC_305"/>
      <w:pPr>
        <w:pStyle w:val="Heading2"/>
      </w:pPr>
      <w:r>
        <w:t>SEC. 305. NATIONAL IMPLEMENTATION STRATEGY.</w:t>
      </w:r>
      <w:bookmarkEnd w:id="30"/>
    </w:p>
    <w:p>
      <w:pPr>
        <w:pStyle w:val="LegalBody"/>
      </w:pPr>
      <w:r>
        <w:rPr>
          <w:b/>
        </w:rPr>
        <w:t xml:space="preserve">(a) Initial strategy. </w:t>
      </w:r>
      <w:r>
        <w:t>Not later than 270 days after enactment, the Director shall publish an implementation strategy approved by the Secretary after interagency consultation. The strategy shall identify each statutory program, responsible official, funding source, commencement date, rulemaking dependency, procurement requirement, data need, and material delivery risk.</w:t>
      </w:r>
    </w:p>
    <w:p>
      <w:pPr>
        <w:pStyle w:val="LegalBody"/>
      </w:pPr>
      <w:r>
        <w:rPr>
          <w:b/>
        </w:rPr>
        <w:t xml:space="preserve">(b) Baseline. </w:t>
      </w:r>
      <w:r>
        <w:t>The strategy shall distinguish activities already authorized and financed under other law from new duties and expenditures under this Act. Rebranding an existing activity shall not be counted as a new service unless the additional scope and resources are separately documented.</w:t>
      </w:r>
    </w:p>
    <w:p>
      <w:pPr>
        <w:pStyle w:val="LegalBody"/>
      </w:pPr>
      <w:r>
        <w:rPr>
          <w:b/>
        </w:rPr>
        <w:t xml:space="preserve">(c) Sequencing. </w:t>
      </w:r>
      <w:r>
        <w:t>Initial work shall prioritize legally required organization, safeguards, baseline measurement, technical assistance, and services that can be delivered through established institutions. Complex technology standards and construction programs shall include testing, workforce preparation, and realistic procurement intervals before mandatory operation.</w:t>
      </w:r>
    </w:p>
    <w:p>
      <w:pPr>
        <w:pStyle w:val="LegalBody"/>
      </w:pPr>
      <w:r>
        <w:rPr>
          <w:b/>
        </w:rPr>
        <w:t xml:space="preserve">(d) Public consultation. </w:t>
      </w:r>
      <w:r>
        <w:t>The Director shall provide at least 60 days for public comment and accessible opportunities for affected communities, small entities, States, and Indian Tribes to identify delivery barriers. The final strategy shall include a response to material comments and unresolved resource constraints.</w:t>
      </w:r>
    </w:p>
    <w:p>
      <w:pPr>
        <w:pStyle w:val="LegalBody"/>
      </w:pPr>
      <w:r>
        <w:rPr>
          <w:b/>
        </w:rPr>
        <w:t xml:space="preserve">(e) Updates. </w:t>
      </w:r>
      <w:r>
        <w:t>The strategy shall be updated annually for the first 3 years and every 2 years thereafter. An update may improve sequencing within statutory discretion but may not change an appropriation, waive a right, postpone a fixed compliance date, or create a new regulatory category without lawful authority.</w:t>
      </w:r>
    </w:p>
    <w:p>
      <w:bookmarkStart w:id="31" w:name="SEC_306"/>
      <w:pPr>
        <w:pStyle w:val="Heading2"/>
      </w:pPr>
      <w:r>
        <w:t>SEC. 306. FEDERAL PROGRAM INVENTORY AND COORDINATION AGREEMENTS.</w:t>
      </w:r>
      <w:bookmarkEnd w:id="31"/>
    </w:p>
    <w:p>
      <w:pPr>
        <w:pStyle w:val="LegalBody"/>
      </w:pPr>
      <w:r>
        <w:rPr>
          <w:b/>
        </w:rPr>
        <w:t xml:space="preserve">(a) Inventory. </w:t>
      </w:r>
      <w:r>
        <w:t>Within 180 days after enactment, each participating agency shall identify programs relevant to its responsibilities under this Act, including statutory authority, administering unit, current delivery partners, population served, funding type, reporting requirements, and known overlaps. The Director shall publish a consolidated inventory excluding protected security and personal information.</w:t>
      </w:r>
    </w:p>
    <w:p>
      <w:pPr>
        <w:pStyle w:val="LegalBody"/>
      </w:pPr>
      <w:r>
        <w:rPr>
          <w:b/>
        </w:rPr>
        <w:t xml:space="preserve">(b) Agreements. </w:t>
      </w:r>
      <w:r>
        <w:t>Agencies may enter written coordination agreements for joint notices, technical assistance, shared services, evaluation, and compatible reporting. An agreement shall identify the accountable agency, disposition of funds, applicable procurement and personnel law, records custodian, dispute procedure, and termination arrangements.</w:t>
      </w:r>
    </w:p>
    <w:p>
      <w:pPr>
        <w:pStyle w:val="LegalBody"/>
      </w:pPr>
      <w:r>
        <w:rPr>
          <w:b/>
        </w:rPr>
        <w:t xml:space="preserve">(c) No unauthorized transfer. </w:t>
      </w:r>
      <w:r>
        <w:t>An agreement does not authorize transfer of appropriations, merger of accounts, disclosure of protected records, or reassignment of a statutory duty unless such action is independently authorized. Reimbursable services shall identify their legal and financial basis.</w:t>
      </w:r>
    </w:p>
    <w:p>
      <w:pPr>
        <w:pStyle w:val="LegalBody"/>
      </w:pPr>
      <w:r>
        <w:rPr>
          <w:b/>
        </w:rPr>
        <w:t xml:space="preserve">(d) Recipient burden. </w:t>
      </w:r>
      <w:r>
        <w:t>Where two agencies request substantially identical information concerning the same expenditure, they shall accept a common submission when legally permissible. A common submission shall retain information necessary for distinct statutory responsibilities and shall not require a recipient to disclose participant-level records merely for administrative convenience.</w:t>
      </w:r>
    </w:p>
    <w:p>
      <w:pPr>
        <w:pStyle w:val="LegalBody"/>
      </w:pPr>
      <w:r>
        <w:rPr>
          <w:b/>
        </w:rPr>
        <w:t xml:space="preserve">(e) Sunset of duplication. </w:t>
      </w:r>
      <w:r>
        <w:t>The annual report shall identify redundant Federal reporting or coordination processes that the agencies have eliminated under existing authority and those requiring congressional action. Claimed efficiency savings shall be documented as actual reductions or clearly labeled estimates, not used as automatic offsets to the appropriations in title XXIX.</w:t>
      </w:r>
    </w:p>
    <w:p>
      <w:bookmarkStart w:id="32" w:name="SEC_307"/>
      <w:pPr>
        <w:pStyle w:val="Heading2"/>
      </w:pPr>
      <w:r>
        <w:t>SEC. 307. SCIENTIFIC INTEGRITY AND PUBLIC COMMUNICATION.</w:t>
      </w:r>
      <w:bookmarkEnd w:id="32"/>
    </w:p>
    <w:p>
      <w:pPr>
        <w:pStyle w:val="LegalBody"/>
      </w:pPr>
      <w:r>
        <w:rPr>
          <w:b/>
        </w:rPr>
        <w:t xml:space="preserve">(a) Integrity policy. </w:t>
      </w:r>
      <w:r>
        <w:t>Each lead agency shall apply a scientific-integrity policy to work financed under this Act. The policy shall protect accurate reporting, distinguish scientific results from policy decisions, prohibit alteration or suppression of findings for non-scientific reasons, and provide a process for reporting research misconduct and interference.</w:t>
      </w:r>
    </w:p>
    <w:p>
      <w:pPr>
        <w:pStyle w:val="LegalBody"/>
      </w:pPr>
      <w:r>
        <w:rPr>
          <w:b/>
        </w:rPr>
        <w:t xml:space="preserve">(b) Communication. </w:t>
      </w:r>
      <w:r>
        <w:t>Public materials shall state the population and time period studied, distinguish relative from absolute changes where material, disclose important limitations, and avoid presenting a correlation as proof of causation. Where a program's effect has not been established, the agency shall describe it as a demonstration or hypothesis rather than a proven intervention.</w:t>
      </w:r>
    </w:p>
    <w:p>
      <w:pPr>
        <w:pStyle w:val="LegalBody"/>
      </w:pPr>
      <w:r>
        <w:rPr>
          <w:b/>
        </w:rPr>
        <w:t xml:space="preserve">(c) Corrections. </w:t>
      </w:r>
      <w:r>
        <w:t>Material errors in public evidence summaries shall be corrected with a dated explanation. An archived version shall remain available where necessary for accountability, clearly marked as superseded. Corrections shall not remove lawful criticism or conceal the basis of a prior decision.</w:t>
      </w:r>
    </w:p>
    <w:p>
      <w:pPr>
        <w:pStyle w:val="LegalBody"/>
      </w:pPr>
      <w:r>
        <w:rPr>
          <w:b/>
        </w:rPr>
        <w:t xml:space="preserve">(d) Researchers. </w:t>
      </w:r>
      <w:r>
        <w:t>Subject to privacy, security, intellectual-property, and employment obligations, researchers may discuss their findings without prior approval of a political viewpoint. Agencies may coordinate official communications and protect confidential information but shall not require scientific conclusions to conform to a desired policy outcome.</w:t>
      </w:r>
    </w:p>
    <w:p>
      <w:pPr>
        <w:pStyle w:val="LegalBody"/>
      </w:pPr>
      <w:r>
        <w:rPr>
          <w:b/>
        </w:rPr>
        <w:t xml:space="preserve">(e) Distinction from guidance. </w:t>
      </w:r>
      <w:r>
        <w:t>A plain-language publication, technical guide, or advisory recommendation shall identify whether it is binding. An agency shall not enforce nonbinding guidance as though it independently imposed a legal duty.</w:t>
      </w:r>
    </w:p>
    <w:p>
      <w:bookmarkStart w:id="33" w:name="SEC_308"/>
      <w:pPr>
        <w:pStyle w:val="Heading2"/>
      </w:pPr>
      <w:r>
        <w:t>SEC. 308. PUBLIC SERVICE WORKFORCE AND PROCUREMENT CAPACITY.</w:t>
      </w:r>
      <w:bookmarkEnd w:id="33"/>
    </w:p>
    <w:p>
      <w:pPr>
        <w:pStyle w:val="LegalBody"/>
      </w:pPr>
      <w:r>
        <w:rPr>
          <w:b/>
        </w:rPr>
        <w:t xml:space="preserve">(a) Workforce plan. </w:t>
      </w:r>
      <w:r>
        <w:t>Within 240 days after enactment, each lead agency shall estimate staffing and skill needs, compare them with existing capacity, and identify recruitment, training, and shared-service options. The plan shall distinguish permanent oversight needs from temporary development projects and shall operate within section 2905.</w:t>
      </w:r>
    </w:p>
    <w:p>
      <w:pPr>
        <w:pStyle w:val="LegalBody"/>
      </w:pPr>
      <w:r>
        <w:rPr>
          <w:b/>
        </w:rPr>
        <w:t xml:space="preserve">(b) Essential expertise. </w:t>
      </w:r>
      <w:r>
        <w:t>Agencies shall maintain sufficient in-house expertise to evaluate contractor work, investigate complaints, administer grants, assess evidence, protect information, and explain decisions. Contractors shall not exercise inherently governmental functions or make final determinations of legal rights on behalf of an agency.</w:t>
      </w:r>
    </w:p>
    <w:p>
      <w:pPr>
        <w:pStyle w:val="LegalBody"/>
      </w:pPr>
      <w:r>
        <w:rPr>
          <w:b/>
        </w:rPr>
        <w:t xml:space="preserve">(c) Training. </w:t>
      </w:r>
      <w:r>
        <w:t>Staff shall receive instruction appropriate to their duties concerning administrative law, accessibility, cultural and linguistic competence, informed consent, conflicts of interest, data minimization, procurement integrity, and research interpretation. Training shall use practical scenarios and shall not require ideological declarations.</w:t>
      </w:r>
    </w:p>
    <w:p>
      <w:pPr>
        <w:pStyle w:val="LegalBody"/>
      </w:pPr>
      <w:r>
        <w:rPr>
          <w:b/>
        </w:rPr>
        <w:t xml:space="preserve">(d) Acquisition planning. </w:t>
      </w:r>
      <w:r>
        <w:t>Before acquiring a major information system, the agency shall document user needs, alternatives, interoperability, lifecycle costs, cybersecurity, exit rights, and the ability to provide nondigital access. Procurement shall permit modular replacement and shall avoid dependence on a vendor's proprietary eligibility or risk classification that the agency cannot meaningfully examine.</w:t>
      </w:r>
    </w:p>
    <w:p>
      <w:pPr>
        <w:pStyle w:val="LegalBody"/>
      </w:pPr>
      <w:r>
        <w:rPr>
          <w:b/>
        </w:rPr>
        <w:t xml:space="preserve">(e) Contractor accountability. </w:t>
      </w:r>
      <w:r>
        <w:t>Contracts shall include measurable acceptance criteria, audit rights, incident reporting, record retention, and transition assistance. Payment shall be tied to verified delivery rather than unsupported claims of improved human well-being. Small and nonprofit suppliers shall have fair opportunities to compete under applicable procurement law.</w:t>
      </w:r>
    </w:p>
    <w:p>
      <w:bookmarkStart w:id="34" w:name="SEC_309"/>
      <w:pPr>
        <w:pStyle w:val="Heading2"/>
      </w:pPr>
      <w:r>
        <w:t>SEC. 309. INSPECTORS GENERAL, COMPTROLLER GENERAL, AND CONGRESSIONAL OVERSIGHT.</w:t>
      </w:r>
      <w:bookmarkEnd w:id="34"/>
    </w:p>
    <w:p>
      <w:pPr>
        <w:pStyle w:val="LegalBody"/>
      </w:pPr>
      <w:r>
        <w:rPr>
          <w:b/>
        </w:rPr>
        <w:t xml:space="preserve">(a) Inspectors General. </w:t>
      </w:r>
      <w:r>
        <w:t>Existing Inspectors General retain authority over funds and activities under this Act. Lead agencies shall provide timely access to records and personnel consistent with law, including contractor and subrecipient records required as award conditions. No special review process under this Act shall delay a lawful audit or investigation.</w:t>
      </w:r>
    </w:p>
    <w:p>
      <w:pPr>
        <w:pStyle w:val="LegalBody"/>
      </w:pPr>
      <w:r>
        <w:rPr>
          <w:b/>
        </w:rPr>
        <w:t xml:space="preserve">(b) Government Accountability Office. </w:t>
      </w:r>
      <w:r>
        <w:t>The Comptroller General shall conduct an implementation review after 2 program years and a comprehensive performance and fiscal review after 5 program years. Reviews shall examine program overlap, account execution, participant safeguards, evidence quality, distributional effects, administrative burden, and unresolved legal or operational risks.</w:t>
      </w:r>
    </w:p>
    <w:p>
      <w:pPr>
        <w:pStyle w:val="LegalBody"/>
      </w:pPr>
      <w:r>
        <w:rPr>
          <w:b/>
        </w:rPr>
        <w:t xml:space="preserve">(c) Agency response. </w:t>
      </w:r>
      <w:r>
        <w:t>Within 90 days after a final oversight report, the responsible agency shall publish a response identifying accepted recommendations, corrective actions, deadlines, and reasons for declining a recommendation. Sensitive details may be withheld only under applicable law, with a public explanation of the basis.</w:t>
      </w:r>
    </w:p>
    <w:p>
      <w:pPr>
        <w:pStyle w:val="LegalBody"/>
      </w:pPr>
      <w:r>
        <w:rPr>
          <w:b/>
        </w:rPr>
        <w:t xml:space="preserve">(d) Congressional reports. </w:t>
      </w:r>
      <w:r>
        <w:t>Reports required by this Act shall be transmitted to the committees of jurisdiction and made publicly available in accessible, searchable formats. An agency may combine reports to reduce duplication if every statutory item remains identifiable and the applicable deadline is met.</w:t>
      </w:r>
    </w:p>
    <w:p>
      <w:pPr>
        <w:pStyle w:val="LegalBody"/>
      </w:pPr>
      <w:r>
        <w:rPr>
          <w:b/>
        </w:rPr>
        <w:t xml:space="preserve">(e) No outcome censorship. </w:t>
      </w:r>
      <w:r>
        <w:t>Oversight bodies may evaluate methods, lawfulness, costs, and performance but shall not direct researchers to produce a preferred result. Funding decisions shall remain subject to appropriations law, peer-review requirements, and the express eligibility provisions of this Act.</w:t>
      </w:r>
    </w:p>
    <w:p>
      <w:bookmarkStart w:id="35" w:name="SEC_310"/>
      <w:pPr>
        <w:pStyle w:val="Heading2"/>
      </w:pPr>
      <w:r>
        <w:t>SEC. 310. ADMINISTRATIVE FUNDING AND LIMITS ON INSTITUTIONAL EXPANSION.</w:t>
      </w:r>
      <w:bookmarkEnd w:id="35"/>
    </w:p>
    <w:p>
      <w:pPr>
        <w:pStyle w:val="LegalBody"/>
      </w:pPr>
      <w:r>
        <w:rPr>
          <w:b/>
        </w:rPr>
        <w:t xml:space="preserve">(a) Source. </w:t>
      </w:r>
      <w:r>
        <w:t>Activities under this title shall be financed from the administration and accountability account established by section 2903, together with properly attributable administration costs of other accounts where expressly permitted. No provision of this title independently appropriates money.</w:t>
      </w:r>
    </w:p>
    <w:p>
      <w:pPr>
        <w:pStyle w:val="LegalBody"/>
      </w:pPr>
      <w:r>
        <w:rPr>
          <w:b/>
        </w:rPr>
        <w:t xml:space="preserve">(b) Coordination ceiling. </w:t>
      </w:r>
      <w:r>
        <w:t>The Office established by section 301 shall employ not more than 150 full-time-equivalent employees charged to this Act. Details count toward the ceiling in proportion to service. The ceiling does not include staff of other agencies carrying out their own assigned substantive functions, but all new staffing is subject to the overall limit in section 2905.</w:t>
      </w:r>
    </w:p>
    <w:p>
      <w:pPr>
        <w:pStyle w:val="LegalBody"/>
      </w:pPr>
      <w:r>
        <w:rPr>
          <w:b/>
        </w:rPr>
        <w:t xml:space="preserve">(c) No duplicate field bureaucracy. </w:t>
      </w:r>
      <w:r>
        <w:t>Before opening a new Federal field office, the Secretary shall determine that existing facilities, shared service arrangements, and funded local partners cannot adequately perform the function. The determination shall include costs, access needs, and alternatives and shall be included in the annual administrative report.</w:t>
      </w:r>
    </w:p>
    <w:p>
      <w:pPr>
        <w:pStyle w:val="LegalBody"/>
      </w:pPr>
      <w:r>
        <w:rPr>
          <w:b/>
        </w:rPr>
        <w:t xml:space="preserve">(d) Advisory expenses. </w:t>
      </w:r>
      <w:r>
        <w:t>Advisory compensation, travel, accessibility support, and participant reimbursement shall be reasonable, documented, and consistent with Federal law. Membership does not confer authority to incur obligations or represent the United States in negotiations.</w:t>
      </w:r>
    </w:p>
    <w:p>
      <w:pPr>
        <w:pStyle w:val="LegalBody"/>
      </w:pPr>
      <w:r>
        <w:rPr>
          <w:b/>
        </w:rPr>
        <w:t xml:space="preserve">(e) Organizational review. </w:t>
      </w:r>
      <w:r>
        <w:t>At the 5-year review, the Secretary shall assess whether the Office should continue, be consolidated, or have specified functions reassigned. No recommendation changes a statutory responsibility without lawful action, and records, complaint pathways, and ongoing awards shall be preserved during any authorized reorganization.</w:t>
      </w:r>
    </w:p>
    <w:p>
      <w:bookmarkStart w:id="36" w:name="TITLE_IV"/>
      <w:pPr>
        <w:pStyle w:val="Heading1"/>
        <w:pageBreakBefore/>
      </w:pPr>
      <w:r>
        <w:t>TITLE IV. SCIENCE OF HUMANITY, EVOLUTION, AND RESPONSIBLE RESEARCH</w:t>
      </w:r>
      <w:bookmarkEnd w:id="36"/>
    </w:p>
    <w:p>
      <w:bookmarkStart w:id="37" w:name="SEC_401"/>
      <w:pPr>
        <w:pStyle w:val="Heading2"/>
      </w:pPr>
      <w:r>
        <w:t>SEC. 401. HUMAN ORIGINS AND ADAPTATION RESEARCH PROGRAM.</w:t>
      </w:r>
      <w:bookmarkEnd w:id="37"/>
    </w:p>
    <w:p>
      <w:pPr>
        <w:pStyle w:val="LegalBody"/>
      </w:pPr>
      <w:r>
        <w:rPr>
          <w:b/>
        </w:rPr>
        <w:t xml:space="preserve">(a) Establishment. </w:t>
      </w:r>
      <w:r>
        <w:t>The National Science Foundation, in coordination with the National Institutes of Health and appropriate museums and research institutions, shall establish a competitive program concerning human origins, biological and cultural evolution, adaptation, migration, cooperation, communication, cognition, and interaction with environments and technologies.</w:t>
      </w:r>
    </w:p>
    <w:p>
      <w:pPr>
        <w:pStyle w:val="LegalBody"/>
      </w:pPr>
      <w:r>
        <w:rPr>
          <w:b/>
        </w:rPr>
        <w:t xml:space="preserve">(b) Scientific scope. </w:t>
      </w:r>
      <w:r>
        <w:t>Eligible work includes archaeology, paleoanthropology, comparative cognition, population genetics, developmental biology, historical demography, linguistics, cultural anthropology, and interdisciplinary methods capable of testing a clearly stated question. No applicant shall be required to adopt an evolutionary explanation where the proposed question is better addressed by another valid method.</w:t>
      </w:r>
    </w:p>
    <w:p>
      <w:pPr>
        <w:pStyle w:val="LegalBody"/>
      </w:pPr>
      <w:r>
        <w:rPr>
          <w:b/>
        </w:rPr>
        <w:t xml:space="preserve">(c) Evidentiary safeguards. </w:t>
      </w:r>
      <w:r>
        <w:t>An award shall require investigators to distinguish direct observations from reconstruction, competing interpretations, and speculative narrative. Claims concerning ancestral behavior shall identify temporal, geographic, preservation, and sampling limits. Present-day communities shall not be described as unchanged replicas of prehistoric populations.</w:t>
      </w:r>
    </w:p>
    <w:p>
      <w:pPr>
        <w:pStyle w:val="LegalBody"/>
      </w:pPr>
      <w:r>
        <w:rPr>
          <w:b/>
        </w:rPr>
        <w:t xml:space="preserve">(d) No normative inference. </w:t>
      </w:r>
      <w:r>
        <w:t>A finding that a behavior occurred historically or has an evolutionary explanation does not establish that the behavior is desirable, unavoidable, legally permissible, or appropriate for a contemporary population. Award materials shall address foreseeable misuse of findings to justify exclusion or coercion without suppressing legitimate scientific inquiry.</w:t>
      </w:r>
    </w:p>
    <w:p>
      <w:pPr>
        <w:pStyle w:val="LegalBody"/>
      </w:pPr>
      <w:r>
        <w:rPr>
          <w:b/>
        </w:rPr>
        <w:t xml:space="preserve">(e) Funding. </w:t>
      </w:r>
      <w:r>
        <w:t>The program shall be financed from the science and evidence account under section 2903. Awards shall follow title XXVII, preserve lawful academic independence, and include plans for accessible public explanation and stewardship of research materials.</w:t>
      </w:r>
    </w:p>
    <w:p>
      <w:bookmarkStart w:id="38" w:name="SEC_402"/>
      <w:pPr>
        <w:pStyle w:val="Heading2"/>
      </w:pPr>
      <w:r>
        <w:t>SEC. 402. HUMAN DEVELOPMENT AND LIFE-COURSE COHORTS.</w:t>
      </w:r>
      <w:bookmarkEnd w:id="38"/>
    </w:p>
    <w:p>
      <w:pPr>
        <w:pStyle w:val="LegalBody"/>
      </w:pPr>
      <w:r>
        <w:rPr>
          <w:b/>
        </w:rPr>
        <w:t xml:space="preserve">(a) Program. </w:t>
      </w:r>
      <w:r>
        <w:t>The Secretary, acting through the National Institutes of Health and Centers for Disease Control and Prevention, may support longitudinal cohorts examining interactions among biology, environment, care, education, work, technology, relationships, and aging. Cohorts shall be designed to answer specified questions rather than create a comprehensive record of participants' private lives.</w:t>
      </w:r>
    </w:p>
    <w:p>
      <w:pPr>
        <w:pStyle w:val="LegalBody"/>
      </w:pPr>
      <w:r>
        <w:rPr>
          <w:b/>
        </w:rPr>
        <w:t xml:space="preserve">(b) Design. </w:t>
      </w:r>
      <w:r>
        <w:t>Each cohort shall include a sampling plan, retention strategy, comparison methods, treatment of missing data, anticipated analytical limits, and procedures for updating consent as participants age or the study materially changes. Appropriate oversampling may improve representation without treating a subgroup as biologically uniform.</w:t>
      </w:r>
    </w:p>
    <w:p>
      <w:pPr>
        <w:pStyle w:val="LegalBody"/>
      </w:pPr>
      <w:r>
        <w:rPr>
          <w:b/>
        </w:rPr>
        <w:t xml:space="preserve">(c) Data collection. </w:t>
      </w:r>
      <w:r>
        <w:t>Investigators shall justify the frequency, sensitivity, and burden of each measurement. Continuous location, audio, video, or neural collection requires a specific scientific rationale and separate consent; a broad consent to participate in a cohort is insufficient. Participants shall be able to pause optional passive collection without losing access to unrelated study activities.</w:t>
      </w:r>
    </w:p>
    <w:p>
      <w:pPr>
        <w:pStyle w:val="LegalBody"/>
      </w:pPr>
      <w:r>
        <w:rPr>
          <w:b/>
        </w:rPr>
        <w:t xml:space="preserve">(d) Return of findings. </w:t>
      </w:r>
      <w:r>
        <w:t>The consent process shall explain whether individual findings will be returned, which results require clinical confirmation, and how incidental findings will be handled. Unvalidated research classifications shall not be presented as diagnoses or supplied to employers, insurers, or schools for individual decisions.</w:t>
      </w:r>
    </w:p>
    <w:p>
      <w:pPr>
        <w:pStyle w:val="LegalBody"/>
      </w:pPr>
      <w:r>
        <w:rPr>
          <w:b/>
        </w:rPr>
        <w:t xml:space="preserve">(e) Continuity. </w:t>
      </w:r>
      <w:r>
        <w:t>Awardees shall maintain plans for participant communication, secure archiving, and orderly closure if funding ends. A cohort shall not promise lifelong monitoring beyond funded commitments or require a participant to remain reachable indefinitely.</w:t>
      </w:r>
    </w:p>
    <w:p>
      <w:bookmarkStart w:id="39" w:name="SEC_403"/>
      <w:pPr>
        <w:pStyle w:val="Heading2"/>
      </w:pPr>
      <w:r>
        <w:t>SEC. 403. DIVERSITY, GENERALIZABILITY, AND COMMUNITY PARTNERSHIP.</w:t>
      </w:r>
      <w:bookmarkEnd w:id="39"/>
    </w:p>
    <w:p>
      <w:pPr>
        <w:pStyle w:val="LegalBody"/>
      </w:pPr>
      <w:r>
        <w:rPr>
          <w:b/>
        </w:rPr>
        <w:t xml:space="preserve">(a) Representation plan. </w:t>
      </w:r>
      <w:r>
        <w:t>A major human-subjects award shall explain the relationship between the proposed sample and the population to which findings may be applied. Where appropriate, recruitment shall include rural communities, persons with disabilities, varied age groups, different income settings, minority languages, and populations outside high-income research institutions.</w:t>
      </w:r>
    </w:p>
    <w:p>
      <w:pPr>
        <w:pStyle w:val="LegalBody"/>
      </w:pPr>
      <w:r>
        <w:rPr>
          <w:b/>
        </w:rPr>
        <w:t xml:space="preserve">(b) Scientific justification. </w:t>
      </w:r>
      <w:r>
        <w:t>Inclusion targets shall arise from the research question, expected variation, feasibility, and fairness. Investigators shall not use race as an unexplained substitute for genetic ancestry, environment, discrimination, socioeconomic conditions, or another mechanism. Sex-related and gender-related variables shall be defined according to the question and collected respectfully when relevant.</w:t>
      </w:r>
    </w:p>
    <w:p>
      <w:pPr>
        <w:pStyle w:val="LegalBody"/>
      </w:pPr>
      <w:r>
        <w:rPr>
          <w:b/>
        </w:rPr>
        <w:t xml:space="preserve">(c) Partnership. </w:t>
      </w:r>
      <w:r>
        <w:t>Community partners may assist question formation, recruitment, interpretation, dissemination, and identification of harms. Partnership agreements shall specify compensation, authority, access to results, dispute resolution, and the limits of any proposed publication restriction. Community participation shall not permit suppression of valid unfavorable results, except that disclosure of protected knowledge or identifiable information requires lawful consent.</w:t>
      </w:r>
    </w:p>
    <w:p>
      <w:pPr>
        <w:pStyle w:val="LegalBody"/>
      </w:pPr>
      <w:r>
        <w:rPr>
          <w:b/>
        </w:rPr>
        <w:t xml:space="preserve">(d) Burden and benefit. </w:t>
      </w:r>
      <w:r>
        <w:t>Investigators shall assess whether recruitment concentrates burdens on readily accessible or economically dependent populations while benefits are likely to accrue elsewhere. Corrective measures may include local research capacity, accessible results, service referral, and equitable intellectual contribution.</w:t>
      </w:r>
    </w:p>
    <w:p>
      <w:pPr>
        <w:pStyle w:val="LegalBody"/>
      </w:pPr>
      <w:r>
        <w:rPr>
          <w:b/>
        </w:rPr>
        <w:t xml:space="preserve">(e) Reporting. </w:t>
      </w:r>
      <w:r>
        <w:t>Publications shall state relevant limits on generalization. Failure to include a population shall be explained without implying that the population is unimportant or that unmeasured effects can be assumed identical.</w:t>
      </w:r>
    </w:p>
    <w:p>
      <w:bookmarkStart w:id="40" w:name="SEC_404"/>
      <w:pPr>
        <w:pStyle w:val="Heading2"/>
      </w:pPr>
      <w:r>
        <w:t>SEC. 404. REPLICATION, OPEN METHODS, AND NEGATIVE RESULTS.</w:t>
      </w:r>
      <w:bookmarkEnd w:id="40"/>
    </w:p>
    <w:p>
      <w:pPr>
        <w:pStyle w:val="LegalBody"/>
      </w:pPr>
      <w:r>
        <w:rPr>
          <w:b/>
        </w:rPr>
        <w:t xml:space="preserve">(a) Portfolio. </w:t>
      </w:r>
      <w:r>
        <w:t>The National Science Foundation and National Institutes of Health shall devote not less than 10 percent of competitive research obligations under this title to replication, measurement validation, methods development, systematic synthesis, or publication of well-conducted null and negative findings.</w:t>
      </w:r>
    </w:p>
    <w:p>
      <w:pPr>
        <w:pStyle w:val="LegalBody"/>
      </w:pPr>
      <w:r>
        <w:rPr>
          <w:b/>
        </w:rPr>
        <w:t xml:space="preserve">(b) Registration. </w:t>
      </w:r>
      <w:r>
        <w:t>A funded prospective interventional study shall register its principal questions, outcomes, analysis plan, and stopping rules in an appropriate public registry before enrolling participants, subject to lawful protection of confidential protocol details. Material changes shall be dated and explained. Exploratory analyses may be conducted but shall be identified as exploratory.</w:t>
      </w:r>
    </w:p>
    <w:p>
      <w:pPr>
        <w:pStyle w:val="LegalBody"/>
      </w:pPr>
      <w:r>
        <w:rPr>
          <w:b/>
        </w:rPr>
        <w:t xml:space="preserve">(c) Access. </w:t>
      </w:r>
      <w:r>
        <w:t>Awardees shall make accepted manuscripts, analysis code, data dictionaries, and sufficient methodological information publicly available in accordance with applicable Federal public-access requirements and award terms. Personal data, culturally restricted information, security-sensitive material, and legitimately protected intellectual property shall be handled through controlled access or other lawful alternatives.</w:t>
      </w:r>
    </w:p>
    <w:p>
      <w:pPr>
        <w:pStyle w:val="LegalBody"/>
      </w:pPr>
      <w:r>
        <w:rPr>
          <w:b/>
        </w:rPr>
        <w:t xml:space="preserve">(d) Results. </w:t>
      </w:r>
      <w:r>
        <w:t>A recipient shall submit a summary of completed study results within 12 months after the primary completion date unless the funding agency grants a documented extension for good cause. Absence of a statistically significant result is not good cause for nonpublication.</w:t>
      </w:r>
    </w:p>
    <w:p>
      <w:pPr>
        <w:pStyle w:val="LegalBody"/>
      </w:pPr>
      <w:r>
        <w:rPr>
          <w:b/>
        </w:rPr>
        <w:t xml:space="preserve">(e) Incentives. </w:t>
      </w:r>
      <w:r>
        <w:t>Peer review shall value rigorous methods and informative results rather than novelty alone. Agencies shall track publication completeness, reproducibility barriers, and corrections. A failed replication does not by itself establish misconduct; allegations of misconduct shall be evaluated through existing evidentiary procedures.</w:t>
      </w:r>
    </w:p>
    <w:p>
      <w:bookmarkStart w:id="41" w:name="SEC_405"/>
      <w:pPr>
        <w:pStyle w:val="Heading2"/>
      </w:pPr>
      <w:r>
        <w:t>SEC. 405. HUMAN-SUBJECTS PROTECTION AND INDEPENDENT ETHICS REVIEW.</w:t>
      </w:r>
      <w:bookmarkEnd w:id="41"/>
    </w:p>
    <w:p>
      <w:pPr>
        <w:pStyle w:val="LegalBody"/>
      </w:pPr>
      <w:r>
        <w:rPr>
          <w:b/>
        </w:rPr>
        <w:t xml:space="preserve">(a) Application. </w:t>
      </w:r>
      <w:r>
        <w:t>Human-subjects research financed under this Act shall comply with the applicable Common Rule, Food and Drug Administration research requirements, and additional protections for vulnerable participants. A community demonstration that meets the legal definition of research shall not evade review by being labeled service improvement or innovation.</w:t>
      </w:r>
    </w:p>
    <w:p>
      <w:pPr>
        <w:pStyle w:val="LegalBody"/>
      </w:pPr>
      <w:r>
        <w:rPr>
          <w:b/>
        </w:rPr>
        <w:t xml:space="preserve">(b) Independence. </w:t>
      </w:r>
      <w:r>
        <w:t>An institutional review board or other legally required ethics body shall have access to the protocol, recruitment materials, data practices, compensation arrangements, conflicts of interest, and monitoring plan. The sponsor shall not condition payment on approval or remove a reviewer for raising a good-faith concern.</w:t>
      </w:r>
    </w:p>
    <w:p>
      <w:pPr>
        <w:pStyle w:val="LegalBody"/>
      </w:pPr>
      <w:r>
        <w:rPr>
          <w:b/>
        </w:rPr>
        <w:t xml:space="preserve">(c) Proportional review. </w:t>
      </w:r>
      <w:r>
        <w:t>Agencies shall facilitate lawful reliance arrangements and streamlined review of minimal-risk studies while maintaining accountability. Streamlining shall not eliminate informed consent where required or convert sensitive surveillance into minimal-risk research solely because the data are collected digitally.</w:t>
      </w:r>
    </w:p>
    <w:p>
      <w:pPr>
        <w:pStyle w:val="LegalBody"/>
      </w:pPr>
      <w:r>
        <w:rPr>
          <w:b/>
        </w:rPr>
        <w:t xml:space="preserve">(d) Injury and support. </w:t>
      </w:r>
      <w:r>
        <w:t>A funded interventional study shall disclose the availability and limits of treatment and compensation for research-related injury, identify responsibility for urgent referral, and budget for safety monitoring. A participant shall not be asked to waive legal rights as a condition of enrollment.</w:t>
      </w:r>
    </w:p>
    <w:p>
      <w:pPr>
        <w:pStyle w:val="LegalBody"/>
      </w:pPr>
      <w:r>
        <w:rPr>
          <w:b/>
        </w:rPr>
        <w:t xml:space="preserve">(e) International studies. </w:t>
      </w:r>
      <w:r>
        <w:t>Foreign research supported under this Act shall meet applicable United States funding protections and host-country law. Where requirements differ, the sponsor shall resolve the conflict lawfully before enrollment; relocation to a jurisdiction with weaker oversight shall not excuse a protection attached to Federal support.</w:t>
      </w:r>
    </w:p>
    <w:p>
      <w:bookmarkStart w:id="42" w:name="SEC_406"/>
      <w:pPr>
        <w:pStyle w:val="Heading2"/>
      </w:pPr>
      <w:r>
        <w:t>SEC. 406. BIOLOGICAL MATERIALS, HUMAN REMAINS, AND CULTURAL HERITAGE.</w:t>
      </w:r>
      <w:bookmarkEnd w:id="42"/>
    </w:p>
    <w:p>
      <w:pPr>
        <w:pStyle w:val="LegalBody"/>
      </w:pPr>
      <w:r>
        <w:rPr>
          <w:b/>
        </w:rPr>
        <w:t xml:space="preserve">(a) Lawful provenance. </w:t>
      </w:r>
      <w:r>
        <w:t>An award involving human remains, biological samples, archaeological materials, or culturally significant objects shall document lawful acquisition, custody, research permissions, and applicable repatriation obligations. Funding shall not create an exception to the Native American Graves Protection and Repatriation Act or other applicable heritage law.</w:t>
      </w:r>
    </w:p>
    <w:p>
      <w:pPr>
        <w:pStyle w:val="LegalBody"/>
      </w:pPr>
      <w:r>
        <w:rPr>
          <w:b/>
        </w:rPr>
        <w:t xml:space="preserve">(b) Consent and consultation. </w:t>
      </w:r>
      <w:r>
        <w:t>Before destructive sampling or research on material subject to a legal consent requirement, the recipient shall obtain the required consent from the authorized persons or communities. Consultation shall occur early enough to affect the proposed method, scope, retention, and disposition. Silence is not consent where affirmative permission is legally required.</w:t>
      </w:r>
    </w:p>
    <w:p>
      <w:pPr>
        <w:pStyle w:val="LegalBody"/>
      </w:pPr>
      <w:r>
        <w:rPr>
          <w:b/>
        </w:rPr>
        <w:t xml:space="preserve">(c) Least destructive method. </w:t>
      </w:r>
      <w:r>
        <w:t>Investigators shall justify destructive analysis, consider less destructive alternatives, record quantities used, and avoid repeated sampling where existing valid data can answer the question. Scientific convenience alone is insufficient to override an applicable restriction.</w:t>
      </w:r>
    </w:p>
    <w:p>
      <w:pPr>
        <w:pStyle w:val="LegalBody"/>
      </w:pPr>
      <w:r>
        <w:rPr>
          <w:b/>
        </w:rPr>
        <w:t xml:space="preserve">(d) Derived data. </w:t>
      </w:r>
      <w:r>
        <w:t>Agreements shall address genetic sequences, images, digital reconstructions, commercial uses, and data sharing derived from the material. A permission to inspect a specimen does not automatically authorize sequencing, public facial reconstruction, or commercial exploitation.</w:t>
      </w:r>
    </w:p>
    <w:p>
      <w:pPr>
        <w:pStyle w:val="LegalBody"/>
      </w:pPr>
      <w:r>
        <w:rPr>
          <w:b/>
        </w:rPr>
        <w:t xml:space="preserve">(e) Stewardship. </w:t>
      </w:r>
      <w:r>
        <w:t>Repositories shall maintain inventories, access logs, preservation standards, and return or disposition procedures. Disputed materials shall be segregated from new research pending lawful resolution. A recipient shall report a material provenance concern to the funding agency and relevant authority without destroying evidence or publishing sensitive locations that would facilitate looting.</w:t>
      </w:r>
    </w:p>
    <w:p>
      <w:bookmarkStart w:id="43" w:name="SEC_407"/>
      <w:pPr>
        <w:pStyle w:val="Heading2"/>
      </w:pPr>
      <w:r>
        <w:t>SEC. 407. EVOLUTIONARY MISMATCH AND CONTEMPORARY ENVIRONMENTS.</w:t>
      </w:r>
      <w:bookmarkEnd w:id="43"/>
    </w:p>
    <w:p>
      <w:pPr>
        <w:pStyle w:val="LegalBody"/>
      </w:pPr>
      <w:r>
        <w:rPr>
          <w:b/>
        </w:rPr>
        <w:t xml:space="preserve">(a) Research authority. </w:t>
      </w:r>
      <w:r>
        <w:t>Agencies may support research testing whether particular features of contemporary environments interact adversely or beneficially with human physiology, cognition, or development. Eligible questions include light exposure, sedentary conditions, food environments, social patterns, sensory load, work schedules, and technology-mediated attention.</w:t>
      </w:r>
    </w:p>
    <w:p>
      <w:pPr>
        <w:pStyle w:val="LegalBody"/>
      </w:pPr>
      <w:r>
        <w:rPr>
          <w:b/>
        </w:rPr>
        <w:t xml:space="preserve">(b) Testable mechanism. </w:t>
      </w:r>
      <w:r>
        <w:t>A proposal invoking evolutionary mismatch shall identify the hypothesized mechanism, relevant comparison, alternative explanations, measurable outcomes, and evidence that could disconfirm the hypothesis. An assertion that a behavior is ancient, natural, or intuitively familiar is not an adequate research design.</w:t>
      </w:r>
    </w:p>
    <w:p>
      <w:pPr>
        <w:pStyle w:val="LegalBody"/>
      </w:pPr>
      <w:r>
        <w:rPr>
          <w:b/>
        </w:rPr>
        <w:t xml:space="preserve">(c) Comparative interpretation. </w:t>
      </w:r>
      <w:r>
        <w:t>Studies shall account for variation in ecological conditions, culture, disease exposure, life expectancy, labor, inequality, and access to medicine. Historical or small-scale populations shall not be treated as controlled experiments lacking confounding influences.</w:t>
      </w:r>
    </w:p>
    <w:p>
      <w:pPr>
        <w:pStyle w:val="LegalBody"/>
      </w:pPr>
      <w:r>
        <w:rPr>
          <w:b/>
        </w:rPr>
        <w:t xml:space="preserve">(d) Translation. </w:t>
      </w:r>
      <w:r>
        <w:t>Before a finding is used to justify a program requirement, the responsible agency shall assess whether the proposed contemporary intervention has been evaluated, whether effects differ across populations, and whether a less burdensome alternative exists. Biological plausibility may support a pilot but shall not be represented as proof of program effectiveness.</w:t>
      </w:r>
    </w:p>
    <w:p>
      <w:pPr>
        <w:pStyle w:val="LegalBody"/>
      </w:pPr>
      <w:r>
        <w:rPr>
          <w:b/>
        </w:rPr>
        <w:t xml:space="preserve">(e) Communication. </w:t>
      </w:r>
      <w:r>
        <w:t>Public summaries shall avoid romanticizing deprivation or implying that technological dependence makes a person less human. The research objective is to understand interactions and expand beneficial options, not to impose a reconstructed historical lifestyle or rank cultures by proximity to an imagined natural condition.</w:t>
      </w:r>
    </w:p>
    <w:p>
      <w:bookmarkStart w:id="44" w:name="SEC_408"/>
      <w:pPr>
        <w:pStyle w:val="Heading2"/>
      </w:pPr>
      <w:r>
        <w:t>SEC. 408. RESEARCH INFRASTRUCTURE AND RESPONSIBLE SCIENTIFIC COMPUTING.</w:t>
      </w:r>
      <w:bookmarkEnd w:id="44"/>
    </w:p>
    <w:p>
      <w:pPr>
        <w:pStyle w:val="LegalBody"/>
      </w:pPr>
      <w:r>
        <w:rPr>
          <w:b/>
        </w:rPr>
        <w:t xml:space="preserve">(a) Shared facilities. </w:t>
      </w:r>
      <w:r>
        <w:t>The National Science Foundation may support shared laboratories, secure computing environments, accessible field facilities, translation resources, and research repositories serving the purposes of this title. Awards shall include utilization plans, maintenance costs, access rules, and responsible closure provisions.</w:t>
      </w:r>
    </w:p>
    <w:p>
      <w:pPr>
        <w:pStyle w:val="LegalBody"/>
      </w:pPr>
      <w:r>
        <w:rPr>
          <w:b/>
        </w:rPr>
        <w:t xml:space="preserve">(b) Computing. </w:t>
      </w:r>
      <w:r>
        <w:t>Systems handling sensitive human data shall use access controls, encryption, audit logs, separation of identifiers, and tested recovery procedures proportionate to risk. A researcher shall receive only the access necessary for an approved project and shall not export identifiable information merely to simplify computation.</w:t>
      </w:r>
    </w:p>
    <w:p>
      <w:pPr>
        <w:pStyle w:val="LegalBody"/>
      </w:pPr>
      <w:r>
        <w:rPr>
          <w:b/>
        </w:rPr>
        <w:t xml:space="preserve">(c) Model development. </w:t>
      </w:r>
      <w:r>
        <w:t>An artificial intelligence model trained with restricted research data shall be assessed for memorization, reidentification, unauthorized inference, and downstream use incompatible with consent. Release of model parameters shall not be presumed safe solely because the original records are not directly distributed.</w:t>
      </w:r>
    </w:p>
    <w:p>
      <w:pPr>
        <w:pStyle w:val="LegalBody"/>
      </w:pPr>
      <w:r>
        <w:rPr>
          <w:b/>
        </w:rPr>
        <w:t xml:space="preserve">(d) Interoperability. </w:t>
      </w:r>
      <w:r>
        <w:t>Data standards shall preserve provenance, measurement context, uncertainty, and consent restrictions. Harmonization shall not erase distinctions that are scientifically meaningful or force culturally different constructs into a misleading common scale.</w:t>
      </w:r>
    </w:p>
    <w:p>
      <w:pPr>
        <w:pStyle w:val="LegalBody"/>
      </w:pPr>
      <w:r>
        <w:rPr>
          <w:b/>
        </w:rPr>
        <w:t xml:space="preserve">(e) Access equity. </w:t>
      </w:r>
      <w:r>
        <w:t>Facility access shall be allocated through transparent scientific criteria, with assistance for institutions lacking specialized infrastructure. Fees may recover reasonable costs but shall not convert publicly financed essential research infrastructure into an exclusive advantage for a small group of incumbent institutions. Intellectual-property arrangements shall comply with applicable Federal law and disclose material access limitations.</w:t>
      </w:r>
    </w:p>
    <w:p>
      <w:bookmarkStart w:id="45" w:name="SEC_409"/>
      <w:pPr>
        <w:pStyle w:val="Heading2"/>
      </w:pPr>
      <w:r>
        <w:t>SEC. 409. EVIDENCE SYNTHESIS AND TRANSLATIONAL CLEARINGHOUSE.</w:t>
      </w:r>
      <w:bookmarkEnd w:id="45"/>
    </w:p>
    <w:p>
      <w:pPr>
        <w:pStyle w:val="LegalBody"/>
      </w:pPr>
      <w:r>
        <w:rPr>
          <w:b/>
        </w:rPr>
        <w:t xml:space="preserve">(a) Clearinghouse. </w:t>
      </w:r>
      <w:r>
        <w:t>The Director shall establish a public evidence clearinghouse linking, rather than duplicating, authoritative reviews, research registries, implementation studies, and methodological guidance relevant to this Act. Each entry shall identify its date, population, intervention, outcomes, uncertainty, and responsible reviewing body.</w:t>
      </w:r>
    </w:p>
    <w:p>
      <w:pPr>
        <w:pStyle w:val="LegalBody"/>
      </w:pPr>
      <w:r>
        <w:rPr>
          <w:b/>
        </w:rPr>
        <w:t xml:space="preserve">(b) Categories. </w:t>
      </w:r>
      <w:r>
        <w:t>Evidence shall be characterized as supporting established practice, supporting context-dependent implementation, warranting evaluated demonstration, insufficient for a conclusion, or indicating material harm. These categories concern evidence for a specified intervention and outcome; they shall not rate people, cultures, political choices, or institutions as globally superior or inferior.</w:t>
      </w:r>
    </w:p>
    <w:p>
      <w:pPr>
        <w:pStyle w:val="LegalBody"/>
      </w:pPr>
      <w:r>
        <w:rPr>
          <w:b/>
        </w:rPr>
        <w:t xml:space="preserve">(c) Review process. </w:t>
      </w:r>
      <w:r>
        <w:t>Material classifications shall undergo independent methodological review and be open to correction. An interested party may submit additional evidence and receive an explanation of disposition. A classification is advisory unless a separate statutory provision expressly gives it a defined legal effect.</w:t>
      </w:r>
    </w:p>
    <w:p>
      <w:pPr>
        <w:pStyle w:val="LegalBody"/>
      </w:pPr>
      <w:r>
        <w:rPr>
          <w:b/>
        </w:rPr>
        <w:t xml:space="preserve">(d) Translation products. </w:t>
      </w:r>
      <w:r>
        <w:t>Agencies may publish implementation guides identifying staffing, costs, access barriers, fidelity requirements, adaptations, and failure conditions. A guide shall explain which components are supported by evidence and which are proposed design choices.</w:t>
      </w:r>
    </w:p>
    <w:p>
      <w:pPr>
        <w:pStyle w:val="LegalBody"/>
      </w:pPr>
      <w:r>
        <w:rPr>
          <w:b/>
        </w:rPr>
        <w:t xml:space="preserve">(e) Update. </w:t>
      </w:r>
      <w:r>
        <w:t>High-use or rapidly changing topics shall be reviewed at least annually; other entries shall display a next-review date not more than 3 years after publication. Withdrawn, retracted, or materially superseded evidence shall be flagged promptly, with a record of the correction and affected guidance.</w:t>
      </w:r>
    </w:p>
    <w:p>
      <w:bookmarkStart w:id="46" w:name="SEC_410"/>
      <w:pPr>
        <w:pStyle w:val="Heading2"/>
      </w:pPr>
      <w:r>
        <w:t>SEC. 410. RESEARCH PORTFOLIO ACCOUNTABILITY AND LONG-TERM STEWARDSHIP.</w:t>
      </w:r>
      <w:bookmarkEnd w:id="46"/>
    </w:p>
    <w:p>
      <w:pPr>
        <w:pStyle w:val="LegalBody"/>
      </w:pPr>
      <w:r>
        <w:rPr>
          <w:b/>
        </w:rPr>
        <w:t xml:space="preserve">(a) Portfolio report. </w:t>
      </w:r>
      <w:r>
        <w:t>Each year the lead research agencies shall report obligations by field, method, population, geographic setting, career stage, and infrastructure need, using categories that do not expose individual participants. The report shall identify unsupported gaps and duplication, not merely count publications or announcements.</w:t>
      </w:r>
    </w:p>
    <w:p>
      <w:pPr>
        <w:pStyle w:val="LegalBody"/>
      </w:pPr>
      <w:r>
        <w:rPr>
          <w:b/>
        </w:rPr>
        <w:t xml:space="preserve">(b) Evaluation. </w:t>
      </w:r>
      <w:r>
        <w:t>The 5-year review shall assess scientific quality, publication completeness, replication, generalizability, participant burden, access to infrastructure, community relationships, and documented translation into practice. Citation counts and commercial revenue may be described but shall not serve as sole measures of research value.</w:t>
      </w:r>
    </w:p>
    <w:p>
      <w:pPr>
        <w:pStyle w:val="LegalBody"/>
      </w:pPr>
      <w:r>
        <w:rPr>
          <w:b/>
        </w:rPr>
        <w:t xml:space="preserve">(c) Early-career development. </w:t>
      </w:r>
      <w:r>
        <w:t>Awards may support mentorship, methodological training, cross-disciplinary placements, and accessible research careers. Selection shall use transparent criteria and shall protect trainees from retaliation for raising methodological or ethical concerns.</w:t>
      </w:r>
    </w:p>
    <w:p>
      <w:pPr>
        <w:pStyle w:val="LegalBody"/>
      </w:pPr>
      <w:r>
        <w:rPr>
          <w:b/>
        </w:rPr>
        <w:t xml:space="preserve">(d) Continuation. </w:t>
      </w:r>
      <w:r>
        <w:t>A multiyear award shall identify milestones and continuation conditions without promising appropriations beyond title XXIX. Long-lived cohorts, collections, and repositories shall include reserve planning, lawful transfer arrangements, and participant communication if continuation is not funded.</w:t>
      </w:r>
    </w:p>
    <w:p>
      <w:pPr>
        <w:pStyle w:val="LegalBody"/>
      </w:pPr>
      <w:r>
        <w:rPr>
          <w:b/>
        </w:rPr>
        <w:t xml:space="preserve">(e) Public understanding. </w:t>
      </w:r>
      <w:r>
        <w:t>Agencies may support museums, libraries, schools, and public institutions in explaining human origins and contemporary research accurately. Such activities shall distinguish established findings from unresolved questions and shall not condition unrelated public benefits on accepting a scientific, philosophical, or religious position. Public education concerning evidence shall remain compatible with freedom of belief and inquiry.</w:t>
      </w:r>
    </w:p>
    <w:p>
      <w:bookmarkStart w:id="47" w:name="TITLE_V"/>
      <w:pPr>
        <w:pStyle w:val="Heading1"/>
        <w:pageBreakBefore/>
      </w:pPr>
      <w:r>
        <w:t>TITLE V. PREGNANCY, INFANCY, AND EARLY CAREGIVING</w:t>
      </w:r>
      <w:bookmarkEnd w:id="47"/>
    </w:p>
    <w:p>
      <w:bookmarkStart w:id="48" w:name="SEC_501"/>
      <w:pPr>
        <w:pStyle w:val="Heading2"/>
      </w:pPr>
      <w:r>
        <w:t>SEC. 501. EARLY LIFE AND CAREGIVING SUPPORT PROGRAM.</w:t>
      </w:r>
      <w:bookmarkEnd w:id="48"/>
    </w:p>
    <w:p>
      <w:pPr>
        <w:pStyle w:val="LegalBody"/>
      </w:pPr>
      <w:r>
        <w:rPr>
          <w:b/>
        </w:rPr>
        <w:t xml:space="preserve">(a) Establishment. </w:t>
      </w:r>
      <w:r>
        <w:t>The Secretary shall award grants to eligible health systems, public agencies, tribal organizations, and community providers for coordinated support during pregnancy, infancy, adoption, and the first 3 years of caregiving. Assistance shall supplement, not replace, existing lawful services and shall be financed from the childhood and learning account and the health and mental-health account according to attributable purpose.</w:t>
      </w:r>
    </w:p>
    <w:p>
      <w:pPr>
        <w:pStyle w:val="LegalBody"/>
      </w:pPr>
      <w:r>
        <w:rPr>
          <w:b/>
        </w:rPr>
        <w:t xml:space="preserve">(b) Plans. </w:t>
      </w:r>
      <w:r>
        <w:t>An applicant shall identify gaps in access, referral arrangements, workforce capacity, language needs, disability access, transportation, and continuity after the award. Plans shall include parents and other lawful caregivers without presuming a single household structure or that caregiving is performed by one sex.</w:t>
      </w:r>
    </w:p>
    <w:p>
      <w:pPr>
        <w:pStyle w:val="LegalBody"/>
      </w:pPr>
      <w:r>
        <w:rPr>
          <w:b/>
        </w:rPr>
        <w:t xml:space="preserve">(c) Permitted services. </w:t>
      </w:r>
      <w:r>
        <w:t>Grants may support navigation, home visiting where voluntarily chosen, postpartum follow-up, infant development consultation, lactation or feeding support, respite referral, accessible parenting education, and coordination with lawful clinical services.</w:t>
      </w:r>
    </w:p>
    <w:p>
      <w:pPr>
        <w:pStyle w:val="LegalBody"/>
      </w:pPr>
      <w:r>
        <w:rPr>
          <w:b/>
        </w:rPr>
        <w:t xml:space="preserve">(d) Eligibility. </w:t>
      </w:r>
      <w:r>
        <w:t>A grant shall state whether it finances broadly available public-health activities or individually eligible benefits and shall comply with applicable benefit-eligibility law. No applicant shall be required to disclose immigration information not necessary to administer a lawful eligibility rule.</w:t>
      </w:r>
    </w:p>
    <w:p>
      <w:pPr>
        <w:pStyle w:val="LegalBody"/>
      </w:pPr>
      <w:r>
        <w:rPr>
          <w:b/>
        </w:rPr>
        <w:t xml:space="preserve">(e) Boundaries. </w:t>
      </w:r>
      <w:r>
        <w:t>This title does not establish a new insurance entitlement, change the legal status of pregnancy or embryos, alter State consent law, or repeal any restriction on the use of Federal funds for a particular procedure. Those questions shall not be resolved by implication from the purposes of this Act.</w:t>
      </w:r>
    </w:p>
    <w:p>
      <w:bookmarkStart w:id="49" w:name="SEC_502"/>
      <w:pPr>
        <w:pStyle w:val="Heading2"/>
      </w:pPr>
      <w:r>
        <w:t>SEC. 502. MATERNAL AND PREGNANCY-RELATED HEALTH ACCESS.</w:t>
      </w:r>
      <w:bookmarkEnd w:id="49"/>
    </w:p>
    <w:p>
      <w:pPr>
        <w:pStyle w:val="LegalBody"/>
      </w:pPr>
      <w:r>
        <w:rPr>
          <w:b/>
        </w:rPr>
        <w:t xml:space="preserve">(a) Services. </w:t>
      </w:r>
      <w:r>
        <w:t>Funded clinical networks shall support timely access to evidence-based prenatal, pregnancy-related, and postpartum assessment, management of chronic conditions, mental-health referral, substance-use care, and appropriate emergency pathways. Services shall be delivered by qualified professionals within lawful scope of practice.</w:t>
      </w:r>
    </w:p>
    <w:p>
      <w:pPr>
        <w:pStyle w:val="LegalBody"/>
      </w:pPr>
      <w:r>
        <w:rPr>
          <w:b/>
        </w:rPr>
        <w:t xml:space="preserve">(b) Continuity. </w:t>
      </w:r>
      <w:r>
        <w:t>A network shall designate a responsible contact for transitions among primary care, obstetric care, hospitals, community providers, and postpartum services. Discharge information shall identify warning signs, medication instructions, follow-up arrangements, and assistance available to the patient, in accessible language.</w:t>
      </w:r>
    </w:p>
    <w:p>
      <w:pPr>
        <w:pStyle w:val="LegalBody"/>
      </w:pPr>
      <w:r>
        <w:rPr>
          <w:b/>
        </w:rPr>
        <w:t xml:space="preserve">(c) Respectful care. </w:t>
      </w:r>
      <w:r>
        <w:t>Providers shall obtain consent for examinations and procedures, explain available choices, permit a chosen support person when consistent with safety and privacy, and respond to reported symptoms without stereotypes concerning race, disability, age, income, or family status.</w:t>
      </w:r>
    </w:p>
    <w:p>
      <w:pPr>
        <w:pStyle w:val="LegalBody"/>
      </w:pPr>
      <w:r>
        <w:rPr>
          <w:b/>
        </w:rPr>
        <w:t xml:space="preserve">(d) Access barriers. </w:t>
      </w:r>
      <w:r>
        <w:t>Grants may finance transportation, interpretation, telehealth support, and mobile or regional services where distance or workforce shortages impede care. Telehealth shall supplement rather than automatically replace an examination that a qualified clinician determines is necessary.</w:t>
      </w:r>
    </w:p>
    <w:p>
      <w:pPr>
        <w:pStyle w:val="LegalBody"/>
      </w:pPr>
      <w:r>
        <w:rPr>
          <w:b/>
        </w:rPr>
        <w:t xml:space="preserve">(e) Evaluation. </w:t>
      </w:r>
      <w:r>
        <w:t>Recipients shall measure timeliness, continuity, reported experience, preventable service interruptions, and relevant health outcomes. Small numbers shall be protected against identification, and outcome comparisons shall account for case mix without using adjustment to conceal avoidable disparities or poor-quality care.</w:t>
      </w:r>
    </w:p>
    <w:p>
      <w:bookmarkStart w:id="50" w:name="SEC_503"/>
      <w:pPr>
        <w:pStyle w:val="Heading2"/>
      </w:pPr>
      <w:r>
        <w:t>SEC. 503. POSTPARTUM RECOVERY AND CAREGIVER MENTAL HEALTH.</w:t>
      </w:r>
      <w:bookmarkEnd w:id="50"/>
    </w:p>
    <w:p>
      <w:pPr>
        <w:pStyle w:val="LegalBody"/>
      </w:pPr>
      <w:r>
        <w:rPr>
          <w:b/>
        </w:rPr>
        <w:t xml:space="preserve">(a) Recovery plan. </w:t>
      </w:r>
      <w:r>
        <w:t>A participating provider shall offer an individualized postpartum recovery plan addressing physical recovery, sleep opportunity, pain, nutrition, medication, mental health, social support, and return to employment or education where relevant. Acceptance of optional support shall not be a condition of receiving clinically indicated care.</w:t>
      </w:r>
    </w:p>
    <w:p>
      <w:pPr>
        <w:pStyle w:val="LegalBody"/>
      </w:pPr>
      <w:r>
        <w:rPr>
          <w:b/>
        </w:rPr>
        <w:t xml:space="preserve">(b) Mental-health response. </w:t>
      </w:r>
      <w:r>
        <w:t>Screening financed under this title shall be connected to an actual assessment and referral pathway. A positive screening result is not a diagnosis and shall not automatically trigger removal of a child, disclosure to an employer, or a finding of parental unfitness.</w:t>
      </w:r>
    </w:p>
    <w:p>
      <w:pPr>
        <w:pStyle w:val="LegalBody"/>
      </w:pPr>
      <w:r>
        <w:rPr>
          <w:b/>
        </w:rPr>
        <w:t xml:space="preserve">(c) Additional caregivers. </w:t>
      </w:r>
      <w:r>
        <w:t>Programs may provide mental-health support and practical guidance to fathers, adoptive parents, partners, grandparents, and other lawful caregivers affected by a new caregiving role. Services shall recognize that caregiver needs can arise without pregnancy or a biological relationship.</w:t>
      </w:r>
    </w:p>
    <w:p>
      <w:pPr>
        <w:pStyle w:val="LegalBody"/>
      </w:pPr>
      <w:r>
        <w:rPr>
          <w:b/>
        </w:rPr>
        <w:t xml:space="preserve">(d) Urgent needs. </w:t>
      </w:r>
      <w:r>
        <w:t>Recipients shall maintain procedures for responding to imminent self-harm, psychosis, violence, or inability to meet an infant's immediate safety needs, using qualified assessment and applicable law. The least restrictive appropriate response shall be sought, and follow-up shall not end after an emergency referral.</w:t>
      </w:r>
    </w:p>
    <w:p>
      <w:pPr>
        <w:pStyle w:val="LegalBody"/>
      </w:pPr>
      <w:r>
        <w:rPr>
          <w:b/>
        </w:rPr>
        <w:t xml:space="preserve">(e) Service design. </w:t>
      </w:r>
      <w:r>
        <w:t>Evening, remote, home-based, and community appointments may be offered where appropriate. Programs shall evaluate missed visits as possible evidence of access barriers rather than presumptive unwillingness to care for a child.</w:t>
      </w:r>
    </w:p>
    <w:p>
      <w:bookmarkStart w:id="51" w:name="SEC_504"/>
      <w:pPr>
        <w:pStyle w:val="Heading2"/>
      </w:pPr>
      <w:r>
        <w:t>SEC. 504. INFANT FEEDING, NUTRITION, AND FAMILY CHOICE.</w:t>
      </w:r>
      <w:bookmarkEnd w:id="51"/>
    </w:p>
    <w:p>
      <w:pPr>
        <w:pStyle w:val="LegalBody"/>
      </w:pPr>
      <w:r>
        <w:rPr>
          <w:b/>
        </w:rPr>
        <w:t xml:space="preserve">(a) Assistance. </w:t>
      </w:r>
      <w:r>
        <w:t>Recipients may provide evidence-based lactation care, formula preparation education, feeding assessment, support for infants with medical or developmental needs, and referral to lawful nutrition assistance. Information shall be accurate, commercially independent, and respectful of clinical circumstances and family choice.</w:t>
      </w:r>
    </w:p>
    <w:p>
      <w:pPr>
        <w:pStyle w:val="LegalBody"/>
      </w:pPr>
      <w:r>
        <w:rPr>
          <w:b/>
        </w:rPr>
        <w:t xml:space="preserve">(b) No coercion. </w:t>
      </w:r>
      <w:r>
        <w:t>A provider shall not withhold necessary feeding support to compel a preferred feeding method. A parent or caregiver shall not be shamed, denied unrelated services, or required to disclose a private explanation for choosing a lawful and nutritionally appropriate alternative.</w:t>
      </w:r>
    </w:p>
    <w:p>
      <w:pPr>
        <w:pStyle w:val="LegalBody"/>
      </w:pPr>
      <w:r>
        <w:rPr>
          <w:b/>
        </w:rPr>
        <w:t xml:space="preserve">(c) Safety. </w:t>
      </w:r>
      <w:r>
        <w:t>Education shall address safe preparation, storage, hygiene, recognition of feeding difficulty, and when to seek clinical advice. Recommendations for specialized products shall identify the clinical rationale and shall not be driven by undisclosed sponsorship or referral compensation.</w:t>
      </w:r>
    </w:p>
    <w:p>
      <w:pPr>
        <w:pStyle w:val="LegalBody"/>
      </w:pPr>
      <w:r>
        <w:rPr>
          <w:b/>
        </w:rPr>
        <w:t xml:space="preserve">(d) Workplace coordination. </w:t>
      </w:r>
      <w:r>
        <w:t>Programs may explain applicable workplace accommodation rights and connect caregivers with assistance under title XIV. Health records shall not be disclosed to an employer without permission or another lawful basis, and a request for feeding accommodation shall not require disclosure of unrelated reproductive information.</w:t>
      </w:r>
    </w:p>
    <w:p>
      <w:pPr>
        <w:pStyle w:val="LegalBody"/>
      </w:pPr>
      <w:r>
        <w:rPr>
          <w:b/>
        </w:rPr>
        <w:t xml:space="preserve">(e) Evaluation. </w:t>
      </w:r>
      <w:r>
        <w:t>Recipients shall assess access to competent support, feeding-related complications, informed choice, and caregiver experience. A single feeding-rate target shall not be used to penalize providers serving medically complex infants or to override an individual decision made with adequate information.</w:t>
      </w:r>
    </w:p>
    <w:p>
      <w:bookmarkStart w:id="52" w:name="SEC_505"/>
      <w:pPr>
        <w:pStyle w:val="Heading2"/>
      </w:pPr>
      <w:r>
        <w:t>SEC. 505. VOLUNTARY HOME VISITING AND COMMUNITY SUPPORT.</w:t>
      </w:r>
      <w:bookmarkEnd w:id="52"/>
    </w:p>
    <w:p>
      <w:pPr>
        <w:pStyle w:val="LegalBody"/>
      </w:pPr>
      <w:r>
        <w:rPr>
          <w:b/>
        </w:rPr>
        <w:t xml:space="preserve">(a) Models. </w:t>
      </w:r>
      <w:r>
        <w:t>The Secretary may finance home-visiting and community-support models with a defined evidence basis or an approved evaluation plan. Services may address development, caregiving confidence, safety, navigation, and access to material support. A participant shall be offered a neutral location or remote alternative where feasible.</w:t>
      </w:r>
    </w:p>
    <w:p>
      <w:pPr>
        <w:pStyle w:val="LegalBody"/>
      </w:pPr>
      <w:r>
        <w:rPr>
          <w:b/>
        </w:rPr>
        <w:t xml:space="preserve">(b) Consent and entry. </w:t>
      </w:r>
      <w:r>
        <w:t>Participation does not authorize entry without permission, inspection of unrelated private areas, or collection of information beyond the service's disclosed purpose. A visitor shall identify the agency, explain confidentiality and mandatory-reporting limits, and respect a decision to end a visit.</w:t>
      </w:r>
    </w:p>
    <w:p>
      <w:pPr>
        <w:pStyle w:val="LegalBody"/>
      </w:pPr>
      <w:r>
        <w:rPr>
          <w:b/>
        </w:rPr>
        <w:t xml:space="preserve">(c) Workforce. </w:t>
      </w:r>
      <w:r>
        <w:t>Home visitors shall receive supervision, safety planning, cultural and language preparation, boundaries training, and access to qualified clinical consultation. A visitor shall not diagnose or deliver treatment outside professional competence.</w:t>
      </w:r>
    </w:p>
    <w:p>
      <w:pPr>
        <w:pStyle w:val="LegalBody"/>
      </w:pPr>
      <w:r>
        <w:rPr>
          <w:b/>
        </w:rPr>
        <w:t xml:space="preserve">(d) Separation from enforcement. </w:t>
      </w:r>
      <w:r>
        <w:t>Routine service records shall not be used as a general-purpose investigatory database. Legally required reporting of suspected abuse remains applicable, but poverty, disability, an unconventional household, or refusal of optional home visiting shall not alone establish neglect.</w:t>
      </w:r>
    </w:p>
    <w:p>
      <w:pPr>
        <w:pStyle w:val="LegalBody"/>
      </w:pPr>
      <w:r>
        <w:rPr>
          <w:b/>
        </w:rPr>
        <w:t xml:space="preserve">(e) Continuity. </w:t>
      </w:r>
      <w:r>
        <w:t>A recipient shall explain expected visit frequency, duration, available alternatives, and the end of funded support. Families shall receive a transition and referral plan. Evaluation shall distinguish voluntary disengagement, relocation, service dissatisfaction, and administrative failure rather than treating every incomplete visit schedule as parental noncompliance.</w:t>
      </w:r>
    </w:p>
    <w:p>
      <w:bookmarkStart w:id="53" w:name="SEC_506"/>
      <w:pPr>
        <w:pStyle w:val="Heading2"/>
      </w:pPr>
      <w:r>
        <w:t>SEC. 506. EARLY DEVELOPMENTAL SUPPORT AND DISABILITY INCLUSION.</w:t>
      </w:r>
      <w:bookmarkEnd w:id="53"/>
    </w:p>
    <w:p>
      <w:pPr>
        <w:pStyle w:val="LegalBody"/>
      </w:pPr>
      <w:r>
        <w:rPr>
          <w:b/>
        </w:rPr>
        <w:t xml:space="preserve">(a) Access. </w:t>
      </w:r>
      <w:r>
        <w:t>Grants may support timely developmental assessment, hearing and vision referral, communication support, assistive technology, and coordination with existing early-intervention programs. The recipient shall explain that developmental variation does not automatically constitute disease and that screening tools have limits.</w:t>
      </w:r>
    </w:p>
    <w:p>
      <w:pPr>
        <w:pStyle w:val="LegalBody"/>
      </w:pPr>
      <w:r>
        <w:rPr>
          <w:b/>
        </w:rPr>
        <w:t xml:space="preserve">(b) Family-directed planning. </w:t>
      </w:r>
      <w:r>
        <w:t>A plan shall identify the child's needs, family priorities, available supports, accessibility barriers, and measurable service goals. Goals shall focus on communication, participation, comfort, learning, and chosen functional opportunities rather than suppression of harmless differences for appearance alone.</w:t>
      </w:r>
    </w:p>
    <w:p>
      <w:pPr>
        <w:pStyle w:val="LegalBody"/>
      </w:pPr>
      <w:r>
        <w:rPr>
          <w:b/>
        </w:rPr>
        <w:t xml:space="preserve">(c) Coordination. </w:t>
      </w:r>
      <w:r>
        <w:t>Referrals to services under the Individuals with Disabilities Education Act and other applicable law shall preserve those laws' eligibility standards, procedural safeguards, and timelines. A HUMAN Act grant shall not be used to delay a legally required evaluation or substitute a lesser discretionary service for an entitlement.</w:t>
      </w:r>
    </w:p>
    <w:p>
      <w:pPr>
        <w:pStyle w:val="LegalBody"/>
      </w:pPr>
      <w:r>
        <w:rPr>
          <w:b/>
        </w:rPr>
        <w:t xml:space="preserve">(d) Equipment and training. </w:t>
      </w:r>
      <w:r>
        <w:t>Where an assistive device is provided, the award shall cover fitting, training, maintenance, repair, and a replacement pathway appropriate to growth and changing needs. An unusable device shall not be recorded as successful access merely because it was delivered.</w:t>
      </w:r>
    </w:p>
    <w:p>
      <w:pPr>
        <w:pStyle w:val="LegalBody"/>
      </w:pPr>
      <w:r>
        <w:rPr>
          <w:b/>
        </w:rPr>
        <w:t xml:space="preserve">(e) Privacy. </w:t>
      </w:r>
      <w:r>
        <w:t>Developmental records shall be shared only as lawfully necessary and with appropriate permission. A research risk score shall not determine custody, school placement, insurance eligibility, or access to care without an independently lawful and validated decision process.</w:t>
      </w:r>
    </w:p>
    <w:p>
      <w:bookmarkStart w:id="54" w:name="SEC_507"/>
      <w:pPr>
        <w:pStyle w:val="Heading2"/>
      </w:pPr>
      <w:r>
        <w:t>SEC. 507. SAFE CARE, INJURY PREVENTION, AND SUPPORT WITHOUT SURVEILLANCE.</w:t>
      </w:r>
      <w:bookmarkEnd w:id="54"/>
    </w:p>
    <w:p>
      <w:pPr>
        <w:pStyle w:val="LegalBody"/>
      </w:pPr>
      <w:r>
        <w:rPr>
          <w:b/>
        </w:rPr>
        <w:t xml:space="preserve">(a) Education. </w:t>
      </w:r>
      <w:r>
        <w:t>Recipients may provide current evidence-based guidance on infant sleep safety, transportation restraints, household injury prevention, poisoning prevention, emergency response, and safe caregiving arrangements. Guidance shall identify when individualized clinical advice is necessary and shall be updated as authoritative recommendations change.</w:t>
      </w:r>
    </w:p>
    <w:p>
      <w:pPr>
        <w:pStyle w:val="LegalBody"/>
      </w:pPr>
      <w:r>
        <w:rPr>
          <w:b/>
        </w:rPr>
        <w:t xml:space="preserve">(b) Material assistance. </w:t>
      </w:r>
      <w:r>
        <w:t>Where a recommended practice requires equipment or housing conditions a household lacks, the program may provide or arrange appropriate material support within its award. Education alone shall not be treated as a sufficient intervention when a known practical barrier prevents implementation.</w:t>
      </w:r>
    </w:p>
    <w:p>
      <w:pPr>
        <w:pStyle w:val="LegalBody"/>
      </w:pPr>
      <w:r>
        <w:rPr>
          <w:b/>
        </w:rPr>
        <w:t xml:space="preserve">(c) Digital products. </w:t>
      </w:r>
      <w:r>
        <w:t>A consumer monitor, camera, wearable, or application shall not be required as a condition of receiving services unless specifically necessary for a chosen clinical intervention and accompanied by an accessible alternative where feasible. Recipients shall not endorse unvalidated safety claims or imply that a device replaces supervision or medical care.</w:t>
      </w:r>
    </w:p>
    <w:p>
      <w:pPr>
        <w:pStyle w:val="LegalBody"/>
      </w:pPr>
      <w:r>
        <w:rPr>
          <w:b/>
        </w:rPr>
        <w:t xml:space="preserve">(d) Nonpunitive approach. </w:t>
      </w:r>
      <w:r>
        <w:t>Records of requests for help shall not be treated as evidence of wrongdoing without an independent factual basis. Mandatory reporting and emergency protections remain applicable, with staff trained to distinguish immediate danger from a remediable lack of resources.</w:t>
      </w:r>
    </w:p>
    <w:p>
      <w:pPr>
        <w:pStyle w:val="LegalBody"/>
      </w:pPr>
      <w:r>
        <w:rPr>
          <w:b/>
        </w:rPr>
        <w:t xml:space="preserve">(e) Assessment. </w:t>
      </w:r>
      <w:r>
        <w:t>Programs shall monitor whether safety interventions are understandable, affordable, usable by disabled caregivers, and suitable for the household's actual environment. A participant's inability to follow an impracticable recommendation shall prompt adaptation or referral rather than automatic discharge.</w:t>
      </w:r>
    </w:p>
    <w:p>
      <w:bookmarkStart w:id="55" w:name="SEC_508"/>
      <w:pPr>
        <w:pStyle w:val="Heading2"/>
      </w:pPr>
      <w:r>
        <w:t>SEC. 508. CHILDCARE QUALITY, ACCESS, AND CAREGIVER WORKFORCE.</w:t>
      </w:r>
      <w:bookmarkEnd w:id="55"/>
    </w:p>
    <w:p>
      <w:pPr>
        <w:pStyle w:val="LegalBody"/>
      </w:pPr>
      <w:r>
        <w:rPr>
          <w:b/>
        </w:rPr>
        <w:t xml:space="preserve">(a) Grants. </w:t>
      </w:r>
      <w:r>
        <w:t>The Secretary may support quality improvement, accessibility, training, and coordination in lawful childcare settings serving infants and young children. Awards shall not displace licensing, background-check, health, safety, or labor requirements imposed by applicable law.</w:t>
      </w:r>
    </w:p>
    <w:p>
      <w:pPr>
        <w:pStyle w:val="LegalBody"/>
      </w:pPr>
      <w:r>
        <w:rPr>
          <w:b/>
        </w:rPr>
        <w:t xml:space="preserve">(b) Quality elements. </w:t>
      </w:r>
      <w:r>
        <w:t>Funded improvements may include stable caregiver relationships, responsive interaction, age-appropriate play, safe space, inclusion of children with disabilities, language access, nutrition coordination, and staff supervision. A quality assessment shall consider direct observation and caregiver conditions rather than paperwork volume alone.</w:t>
      </w:r>
    </w:p>
    <w:p>
      <w:pPr>
        <w:pStyle w:val="LegalBody"/>
      </w:pPr>
      <w:r>
        <w:rPr>
          <w:b/>
        </w:rPr>
        <w:t xml:space="preserve">(c) Workforce. </w:t>
      </w:r>
      <w:r>
        <w:t>Grants may support credential pathways, paid training time, mentoring, retention, and reasonable compensation improvements. A recipient shall document how additional resources reach the workforce and shall not require workers to absorb training costs through unpaid labor contrary to applicable law.</w:t>
      </w:r>
    </w:p>
    <w:p>
      <w:pPr>
        <w:pStyle w:val="LegalBody"/>
      </w:pPr>
      <w:r>
        <w:rPr>
          <w:b/>
        </w:rPr>
        <w:t xml:space="preserve">(d) Access. </w:t>
      </w:r>
      <w:r>
        <w:t>Programs shall identify gaps for nonstandard work schedules, rural areas, disabled caregivers, and families needing language assistance. Pilot schedules shall be evaluated for both family access and staff fatigue. Expanded operating hours shall not be financed by unsafe staffing or uncompensated work.</w:t>
      </w:r>
    </w:p>
    <w:p>
      <w:pPr>
        <w:pStyle w:val="LegalBody"/>
      </w:pPr>
      <w:r>
        <w:rPr>
          <w:b/>
        </w:rPr>
        <w:t xml:space="preserve">(e) Transparency. </w:t>
      </w:r>
      <w:r>
        <w:t>Families shall receive clear information about fees, hours, closures, staffing, complaint procedures, accessibility, and material changes. A provider receiving support shall maintain an orderly closure plan and reasonable notice, except where immediate closure is required for safety.</w:t>
      </w:r>
    </w:p>
    <w:p>
      <w:bookmarkStart w:id="56" w:name="SEC_509"/>
      <w:pPr>
        <w:pStyle w:val="Heading2"/>
      </w:pPr>
      <w:r>
        <w:t>SEC. 509. CARE TRANSITIONS, ADOPTION, FOSTER CARE, AND BEREAVEMENT.</w:t>
      </w:r>
      <w:bookmarkEnd w:id="56"/>
    </w:p>
    <w:p>
      <w:pPr>
        <w:pStyle w:val="LegalBody"/>
      </w:pPr>
      <w:r>
        <w:rPr>
          <w:b/>
        </w:rPr>
        <w:t xml:space="preserve">(a) Transition support. </w:t>
      </w:r>
      <w:r>
        <w:t>Grants may provide developmentally appropriate support during adoption, foster placement, reunification, kinship care, or a significant change in lawful caregiving. Services shall coordinate with the responsible legal and child-welfare authorities without creating a new Federal custody standard.</w:t>
      </w:r>
    </w:p>
    <w:p>
      <w:pPr>
        <w:pStyle w:val="LegalBody"/>
      </w:pPr>
      <w:r>
        <w:rPr>
          <w:b/>
        </w:rPr>
        <w:t xml:space="preserve">(b) Relationship continuity. </w:t>
      </w:r>
      <w:r>
        <w:t>Where safe and legally permitted, plans shall preserve significant supportive relationships, language, cultural connections, medical continuity, and access to familiar communication aids. A transition shall not presume that biological connection alone resolves the child's needs or that chosen and adoptive relationships are less meaningful.</w:t>
      </w:r>
    </w:p>
    <w:p>
      <w:pPr>
        <w:pStyle w:val="LegalBody"/>
      </w:pPr>
      <w:r>
        <w:rPr>
          <w:b/>
        </w:rPr>
        <w:t xml:space="preserve">(c) Caregiver preparation. </w:t>
      </w:r>
      <w:r>
        <w:t>New caregivers may receive practical training, respite referral, trauma-informed support, and assistance obtaining records necessary for care. Training shall not promise that a single behavioral method resolves every developmental or trauma-related need.</w:t>
      </w:r>
    </w:p>
    <w:p>
      <w:pPr>
        <w:pStyle w:val="LegalBody"/>
      </w:pPr>
      <w:r>
        <w:rPr>
          <w:b/>
        </w:rPr>
        <w:t xml:space="preserve">(d) Loss. </w:t>
      </w:r>
      <w:r>
        <w:t>Programs may support individuals and families experiencing miscarriage, stillbirth, infant death, unsuccessful fertility treatment, disrupted placement, or death of a caregiver. Support shall be voluntary, confidential, culturally responsive, and independent of agreement with a particular account of grief.</w:t>
      </w:r>
    </w:p>
    <w:p>
      <w:pPr>
        <w:pStyle w:val="LegalBody"/>
      </w:pPr>
      <w:r>
        <w:rPr>
          <w:b/>
        </w:rPr>
        <w:t xml:space="preserve">(e) Evaluation. </w:t>
      </w:r>
      <w:r>
        <w:t>Measures shall focus on service continuity, safety, access, caregiver support, and the child's expressed experience where developmentally appropriate. A recipient shall not use a simplified attachment score to make a custody recommendation or substitute a program evaluation for an individualized legal determination.</w:t>
      </w:r>
    </w:p>
    <w:p>
      <w:bookmarkStart w:id="57" w:name="SEC_510"/>
      <w:pPr>
        <w:pStyle w:val="Heading2"/>
      </w:pPr>
      <w:r>
        <w:t>SEC. 510. EARLY-LIFE PROGRAM ACCOUNTABILITY.</w:t>
      </w:r>
      <w:bookmarkEnd w:id="57"/>
    </w:p>
    <w:p>
      <w:pPr>
        <w:pStyle w:val="LegalBody"/>
      </w:pPr>
      <w:r>
        <w:rPr>
          <w:b/>
        </w:rPr>
        <w:t xml:space="preserve">(a) Common plan. </w:t>
      </w:r>
      <w:r>
        <w:t>A recipient under this title shall submit a coordinated plan identifying services, eligibility, referral agreements, workforce, costs, evidence status, safeguarding procedures, and expected capacity. Existing assessments may be incorporated to avoid repeated collection of family information.</w:t>
      </w:r>
    </w:p>
    <w:p>
      <w:pPr>
        <w:pStyle w:val="LegalBody"/>
      </w:pPr>
      <w:r>
        <w:rPr>
          <w:b/>
        </w:rPr>
        <w:t xml:space="preserve">(b) Measures. </w:t>
      </w:r>
      <w:r>
        <w:t>The Secretary shall establish a limited core of measures concerning timely access, continuity, developmental service completion, caregiver experience, accessibility, and preventable interruptions. Measures shall not rank families, establish a preferred fertility rate, or condition assistance on reproduction.</w:t>
      </w:r>
    </w:p>
    <w:p>
      <w:pPr>
        <w:pStyle w:val="LegalBody"/>
      </w:pPr>
      <w:r>
        <w:rPr>
          <w:b/>
        </w:rPr>
        <w:t xml:space="preserve">(c) Community review. </w:t>
      </w:r>
      <w:r>
        <w:t>Programs shall provide confidential feedback routes and include parents and other caregivers in periodic service design review. Participation shall be accessible and may be compensated for time and necessary expenses.</w:t>
      </w:r>
    </w:p>
    <w:p>
      <w:pPr>
        <w:pStyle w:val="LegalBody"/>
      </w:pPr>
      <w:r>
        <w:rPr>
          <w:b/>
        </w:rPr>
        <w:t xml:space="preserve">(d) Corrective action. </w:t>
      </w:r>
      <w:r>
        <w:t>Where a program consistently fails to provide promised referrals or follow-up, the agency shall require a corrective plan, adjust capacity claims, or reallocate unobligated assistance according to title XXVII. A family shall not bear the penalty for a provider's administrative failure.</w:t>
      </w:r>
    </w:p>
    <w:p>
      <w:pPr>
        <w:pStyle w:val="LegalBody"/>
      </w:pPr>
      <w:r>
        <w:rPr>
          <w:b/>
        </w:rPr>
        <w:t xml:space="preserve">(e) Evaluation and continuation. </w:t>
      </w:r>
      <w:r>
        <w:t>Major demonstrations shall undergo independent evaluation before expansion. The evaluation shall identify differences between service uptake and demonstrated improvement, effects on existing providers, private costs, and unintended surveillance or coercion. Continued funding shall depend on lawful performance criteria and available appropriations, with transition protections for participants already receiving an authorized course of care.</w:t>
      </w:r>
    </w:p>
    <w:p>
      <w:bookmarkStart w:id="58" w:name="TITLE_VI"/>
      <w:pPr>
        <w:pStyle w:val="Heading1"/>
        <w:pageBreakBefore/>
      </w:pPr>
      <w:r>
        <w:t>TITLE VI. CHILDHOOD, ADOLESCENCE, PLAY, AND DEVELOPMENTAL AUTONOMY</w:t>
      </w:r>
      <w:bookmarkEnd w:id="58"/>
    </w:p>
    <w:p>
      <w:bookmarkStart w:id="59" w:name="SEC_601"/>
      <w:pPr>
        <w:pStyle w:val="Heading2"/>
      </w:pPr>
      <w:r>
        <w:t>SEC. 601. CHILD AND ADOLESCENT DEVELOPMENT GRANTS.</w:t>
      </w:r>
      <w:bookmarkEnd w:id="59"/>
    </w:p>
    <w:p>
      <w:pPr>
        <w:pStyle w:val="LegalBody"/>
      </w:pPr>
      <w:r>
        <w:rPr>
          <w:b/>
        </w:rPr>
        <w:t xml:space="preserve">(a) Program. </w:t>
      </w:r>
      <w:r>
        <w:t>The Secretary, in coordination with the Secretary of Education, shall award grants for accessible developmental environments serving children aged 3 through 17 years. Grants may support community facilities, after-school and summer activities, youth services, and coordination among health, education, recreation, and family-support providers.</w:t>
      </w:r>
    </w:p>
    <w:p>
      <w:pPr>
        <w:pStyle w:val="LegalBody"/>
      </w:pPr>
      <w:r>
        <w:rPr>
          <w:b/>
        </w:rPr>
        <w:t xml:space="preserve">(b) Application. </w:t>
      </w:r>
      <w:r>
        <w:t>An applicant shall identify the ages served, unmet needs, evidence for proposed activities, available facilities, supervision arrangements, accessibility, transportation, safeguarding, and youth participation in design. A proposal shall distinguish universal opportunities from services requiring individual clinical assessment.</w:t>
      </w:r>
    </w:p>
    <w:p>
      <w:pPr>
        <w:pStyle w:val="LegalBody"/>
      </w:pPr>
      <w:r>
        <w:rPr>
          <w:b/>
        </w:rPr>
        <w:t xml:space="preserve">(c) Conditions. </w:t>
      </w:r>
      <w:r>
        <w:t>Participation shall be voluntary except where an activity is part of lawful compulsory education administered under other law. A funded extracurricular activity shall not become a condition for an unrelated school benefit, family assistance, or favorable disciplinary treatment.</w:t>
      </w:r>
    </w:p>
    <w:p>
      <w:pPr>
        <w:pStyle w:val="LegalBody"/>
      </w:pPr>
      <w:r>
        <w:rPr>
          <w:b/>
        </w:rPr>
        <w:t xml:space="preserve">(d) Access. </w:t>
      </w:r>
      <w:r>
        <w:t>Recipients shall publish fees, eligibility, schedules, capacity, and accommodation procedures. Assistance may reduce financial barriers, but a recipient shall not advertise universal availability where funded capacity is limited. Waiting lists shall use transparent, nondiscriminatory criteria.</w:t>
      </w:r>
    </w:p>
    <w:p>
      <w:pPr>
        <w:pStyle w:val="LegalBody"/>
      </w:pPr>
      <w:r>
        <w:rPr>
          <w:b/>
        </w:rPr>
        <w:t xml:space="preserve">(e) Funding. </w:t>
      </w:r>
      <w:r>
        <w:t>Activities shall be financed from the childhood and learning account in section 2903. Capital work, workforce costs, transportation, evaluation, and accessibility shall be identified separately. No award under this title authorizes alteration of compulsory attendance law, family law, or a school district's lawful curriculum authority.</w:t>
      </w:r>
    </w:p>
    <w:p>
      <w:bookmarkStart w:id="60" w:name="SEC_602"/>
      <w:pPr>
        <w:pStyle w:val="Heading2"/>
      </w:pPr>
      <w:r>
        <w:t>SEC. 602. PLAY AND EXPLORATION.</w:t>
      </w:r>
      <w:bookmarkEnd w:id="60"/>
    </w:p>
    <w:p>
      <w:pPr>
        <w:pStyle w:val="LegalBody"/>
      </w:pPr>
      <w:r>
        <w:rPr>
          <w:b/>
        </w:rPr>
        <w:t xml:space="preserve">(a) Eligible activities. </w:t>
      </w:r>
      <w:r>
        <w:t>Grants may support developmentally appropriate free play, cooperative games, imaginative activity, making, outdoor exploration, movement, and opportunities for children to initiate activities. A funded plan shall provide a balance between adult-directed instruction and child-directed exploration appropriate to age and setting.</w:t>
      </w:r>
    </w:p>
    <w:p>
      <w:pPr>
        <w:pStyle w:val="LegalBody"/>
      </w:pPr>
      <w:r>
        <w:rPr>
          <w:b/>
        </w:rPr>
        <w:t xml:space="preserve">(b) Access and design. </w:t>
      </w:r>
      <w:r>
        <w:t>Play spaces shall accommodate different mobility, sensory, communication, and cognitive needs. Accessible play shall not be confined to a separate token feature that prevents participation with peers. Equipment and surfaces shall be maintained according to applicable safety standards.</w:t>
      </w:r>
    </w:p>
    <w:p>
      <w:pPr>
        <w:pStyle w:val="LegalBody"/>
      </w:pPr>
      <w:r>
        <w:rPr>
          <w:b/>
        </w:rPr>
        <w:t xml:space="preserve">(c) Reasonable risk. </w:t>
      </w:r>
      <w:r>
        <w:t>A recipient shall distinguish developmental challenge from unreasonable danger. Staff shall use documented risk-benefit assessment, supervision, and emergency preparation rather than eliminating every activity involving manageable uncertainty. This section does not alter tort liability or authorize disregard of a mandatory safety requirement.</w:t>
      </w:r>
    </w:p>
    <w:p>
      <w:pPr>
        <w:pStyle w:val="LegalBody"/>
      </w:pPr>
      <w:r>
        <w:rPr>
          <w:b/>
        </w:rPr>
        <w:t xml:space="preserve">(d) Commercial influence. </w:t>
      </w:r>
      <w:r>
        <w:t>A play activity financed under this Act shall not require purchase of a branded product, exposure to targeted advertising, or collection of behavioral data unrelated to delivery. Sponsorship shall be disclosed, and a sponsor shall not control safety reporting or evaluation.</w:t>
      </w:r>
    </w:p>
    <w:p>
      <w:pPr>
        <w:pStyle w:val="LegalBody"/>
      </w:pPr>
      <w:r>
        <w:rPr>
          <w:b/>
        </w:rPr>
        <w:t xml:space="preserve">(e) Evaluation. </w:t>
      </w:r>
      <w:r>
        <w:t>Programs shall assess access, participation, child experience, inclusion, and usability. They shall not convert every play activity into a graded test or require continuous monitoring of a child's emotional state as evidence of program performance.</w:t>
      </w:r>
    </w:p>
    <w:p>
      <w:bookmarkStart w:id="61" w:name="SEC_603"/>
      <w:pPr>
        <w:pStyle w:val="Heading2"/>
      </w:pPr>
      <w:r>
        <w:t>SEC. 603. ADOLESCENT AGENCY AND AGE-APPROPRIATE PARTICIPATION.</w:t>
      </w:r>
      <w:bookmarkEnd w:id="61"/>
    </w:p>
    <w:p>
      <w:pPr>
        <w:pStyle w:val="LegalBody"/>
      </w:pPr>
      <w:r>
        <w:rPr>
          <w:b/>
        </w:rPr>
        <w:t xml:space="preserve">(a) Developmental participation. </w:t>
      </w:r>
      <w:r>
        <w:t>A funded adolescent program shall provide meaningful opportunities to influence activities, rules, and service design. Participation shall be adapted to age, communication needs, and legal capacity and shall not substitute for consent required from a parent or lawful representative.</w:t>
      </w:r>
    </w:p>
    <w:p>
      <w:pPr>
        <w:pStyle w:val="LegalBody"/>
      </w:pPr>
      <w:r>
        <w:rPr>
          <w:b/>
        </w:rPr>
        <w:t xml:space="preserve">(b) Information. </w:t>
      </w:r>
      <w:r>
        <w:t>Adolescents shall receive direct, understandable explanations of services, confidentiality, mandatory-reporting limits, complaint procedures, and the role of adults. A program shall not promise confidentiality that applicable law does not permit.</w:t>
      </w:r>
    </w:p>
    <w:p>
      <w:pPr>
        <w:pStyle w:val="LegalBody"/>
      </w:pPr>
      <w:r>
        <w:rPr>
          <w:b/>
        </w:rPr>
        <w:t xml:space="preserve">(c) Practical autonomy. </w:t>
      </w:r>
      <w:r>
        <w:t>Eligible activities include travel training, financial literacy, communication, conflict resolution, self-advocacy, media literacy, emergency preparedness, and understanding lawful workplace and service rights. Instruction shall equip participants to make decisions rather than direct them toward a prescribed political or personal identity.</w:t>
      </w:r>
    </w:p>
    <w:p>
      <w:pPr>
        <w:pStyle w:val="LegalBody"/>
      </w:pPr>
      <w:r>
        <w:rPr>
          <w:b/>
        </w:rPr>
        <w:t xml:space="preserve">(d) Support. </w:t>
      </w:r>
      <w:r>
        <w:t>A recipient shall provide access to a trusted adult or qualified professional when a participant requests help, consistent with safeguarding and confidentiality law. A child shall not be required to discuss a private concern before peers or to disclose an identity publicly to obtain support.</w:t>
      </w:r>
    </w:p>
    <w:p>
      <w:pPr>
        <w:pStyle w:val="LegalBody"/>
      </w:pPr>
      <w:r>
        <w:rPr>
          <w:b/>
        </w:rPr>
        <w:t xml:space="preserve">(e) Review. </w:t>
      </w:r>
      <w:r>
        <w:t>Youth recommendations shall receive a documented response explaining action taken or practical limits. Adults retain legally required responsibility for safety and funds, but shall not characterize consultation as meaningful participation where youth input cannot affect any decision.</w:t>
      </w:r>
    </w:p>
    <w:p>
      <w:bookmarkStart w:id="62" w:name="SEC_604"/>
      <w:pPr>
        <w:pStyle w:val="Heading2"/>
      </w:pPr>
      <w:r>
        <w:t>SEC. 604. SAFE PEER RELATIONSHIPS AND PREVENTION OF ABUSE.</w:t>
      </w:r>
      <w:bookmarkEnd w:id="62"/>
    </w:p>
    <w:p>
      <w:pPr>
        <w:pStyle w:val="LegalBody"/>
      </w:pPr>
      <w:r>
        <w:rPr>
          <w:b/>
        </w:rPr>
        <w:t xml:space="preserve">(a) Safeguarding plan. </w:t>
      </w:r>
      <w:r>
        <w:t>Recipients shall maintain policies addressing abuse, harassment, bullying, exploitation, grooming, and violence in funded activities. Policies shall identify prohibited conduct, reporting channels, trained responders, confidentiality limits, interim protections, and fair procedures for persons accused of misconduct.</w:t>
      </w:r>
    </w:p>
    <w:p>
      <w:pPr>
        <w:pStyle w:val="LegalBody"/>
      </w:pPr>
      <w:r>
        <w:rPr>
          <w:b/>
        </w:rPr>
        <w:t xml:space="preserve">(b) Conduct focus. </w:t>
      </w:r>
      <w:r>
        <w:t>A policy shall address threats, targeted harassment, unwanted sexual conduct, coercion, and material interference with participation. It shall not prohibit lawful expression solely because a viewpoint is unpopular or causes disagreement. Age-appropriate conduct rules may preserve the educational or recreational purpose of an activity.</w:t>
      </w:r>
    </w:p>
    <w:p>
      <w:pPr>
        <w:pStyle w:val="LegalBody"/>
      </w:pPr>
      <w:r>
        <w:rPr>
          <w:b/>
        </w:rPr>
        <w:t xml:space="preserve">(c) Response. </w:t>
      </w:r>
      <w:r>
        <w:t>Staff shall assess immediate safety, provide support, preserve relevant records, and refer suspected criminal or reportable conduct through applicable law. Informal mediation shall not be required where coercion, sexual abuse, or a substantial power imbalance makes it unsafe or inappropriate.</w:t>
      </w:r>
    </w:p>
    <w:p>
      <w:pPr>
        <w:pStyle w:val="LegalBody"/>
      </w:pPr>
      <w:r>
        <w:rPr>
          <w:b/>
        </w:rPr>
        <w:t xml:space="preserve">(d) Fairness. </w:t>
      </w:r>
      <w:r>
        <w:t>An accused participant shall receive an age-appropriate explanation and opportunity to respond before a lasting exclusion, except where a temporary safety measure is necessary. The process shall avoid unnecessary public identification and shall consider developmental circumstances without minimizing harm.</w:t>
      </w:r>
    </w:p>
    <w:p>
      <w:pPr>
        <w:pStyle w:val="LegalBody"/>
      </w:pPr>
      <w:r>
        <w:rPr>
          <w:b/>
        </w:rPr>
        <w:t xml:space="preserve">(e) Prevention. </w:t>
      </w:r>
      <w:r>
        <w:t>Training shall include bystander assistance, boundaries, respectful disagreement, consent appropriate to age and context, and safe help-seeking. A recipient shall evaluate actual safety and reporting access rather than treating the absence of complaints as conclusive evidence that abuse does not occur.</w:t>
      </w:r>
    </w:p>
    <w:p>
      <w:bookmarkStart w:id="63" w:name="SEC_605"/>
      <w:pPr>
        <w:pStyle w:val="Heading2"/>
      </w:pPr>
      <w:r>
        <w:t>SEC. 605. CHILDREN'S TIME, REST, AND BALANCED PROGRAMMING.</w:t>
      </w:r>
      <w:bookmarkEnd w:id="63"/>
    </w:p>
    <w:p>
      <w:pPr>
        <w:pStyle w:val="LegalBody"/>
      </w:pPr>
      <w:r>
        <w:rPr>
          <w:b/>
        </w:rPr>
        <w:t xml:space="preserve">(a) Scheduling. </w:t>
      </w:r>
      <w:r>
        <w:t>A funded program shall consider age-appropriate rest, travel time, school obligations, disability-related fatigue, caregiving responsibilities, and opportunities for unstructured activity. Additional services shall not be scheduled on the assumption that every available hour should be occupied.</w:t>
      </w:r>
    </w:p>
    <w:p>
      <w:pPr>
        <w:pStyle w:val="LegalBody"/>
      </w:pPr>
      <w:r>
        <w:rPr>
          <w:b/>
        </w:rPr>
        <w:t xml:space="preserve">(b) Sleep research. </w:t>
      </w:r>
      <w:r>
        <w:t>The Secretary may support evaluated demonstrations concerning school and program schedules, transportation, light exposure, and sleep opportunity. A demonstration shall measure attendance, learning, family logistics, workforce effects, and transportation costs as well as sleep outcomes. This section does not impose a national school starting time.</w:t>
      </w:r>
    </w:p>
    <w:p>
      <w:pPr>
        <w:pStyle w:val="LegalBody"/>
      </w:pPr>
      <w:r>
        <w:rPr>
          <w:b/>
        </w:rPr>
        <w:t xml:space="preserve">(c) Participation load. </w:t>
      </w:r>
      <w:r>
        <w:t>Recipients shall explain expected time commitments and permit reasonable withdrawal or adjustment. A child shall not lose unrelated services because the family cannot sustain an intensive optional schedule.</w:t>
      </w:r>
    </w:p>
    <w:p>
      <w:pPr>
        <w:pStyle w:val="LegalBody"/>
      </w:pPr>
      <w:r>
        <w:rPr>
          <w:b/>
        </w:rPr>
        <w:t xml:space="preserve">(d) Digital assignments. </w:t>
      </w:r>
      <w:r>
        <w:t>Where a grant supports remote activities, the recipient shall assess access, screen-dependent burden, accessible alternatives, and whether the activity displaces necessary sleep or other services. A numerical screen-time limit shall not be imposed without attention to purpose, age, disability, and evidence.</w:t>
      </w:r>
    </w:p>
    <w:p>
      <w:pPr>
        <w:pStyle w:val="LegalBody"/>
      </w:pPr>
      <w:r>
        <w:rPr>
          <w:b/>
        </w:rPr>
        <w:t xml:space="preserve">(e) Evaluation. </w:t>
      </w:r>
      <w:r>
        <w:t>Program reviews shall identify whether benefits depend on a level of parental availability, transport, equipment, or unpaid labor that makes the model impracticable for many households. Such costs shall be reported explicitly and addressed through design rather than attributed to deficient family motivation.</w:t>
      </w:r>
    </w:p>
    <w:p>
      <w:bookmarkStart w:id="64" w:name="SEC_606"/>
      <w:pPr>
        <w:pStyle w:val="Heading2"/>
      </w:pPr>
      <w:r>
        <w:t>SEC. 606. OUTDOOR ACCESS, MOBILITY, AND COMMUNITY EXPLORATION.</w:t>
      </w:r>
      <w:bookmarkEnd w:id="64"/>
    </w:p>
    <w:p>
      <w:pPr>
        <w:pStyle w:val="LegalBody"/>
      </w:pPr>
      <w:r>
        <w:rPr>
          <w:b/>
        </w:rPr>
        <w:t xml:space="preserve">(a) Grants. </w:t>
      </w:r>
      <w:r>
        <w:t>Assistance may support safe routes to activities, accessible outdoor learning, supervised community exploration, transportation partnerships, and use of parks, libraries, museums, and public spaces. Projects shall coordinate with the responsible local authorities and applicable property rules.</w:t>
      </w:r>
    </w:p>
    <w:p>
      <w:pPr>
        <w:pStyle w:val="LegalBody"/>
      </w:pPr>
      <w:r>
        <w:rPr>
          <w:b/>
        </w:rPr>
        <w:t xml:space="preserve">(b) Safety and access. </w:t>
      </w:r>
      <w:r>
        <w:t>Plans shall address traffic, heat, weather, air quality, water hazards, emergency communication, accessible toilets, hydration, mobility aids, and staffing. A plan shall provide alternatives when environmental conditions make the proposed activity unsafe.</w:t>
      </w:r>
    </w:p>
    <w:p>
      <w:pPr>
        <w:pStyle w:val="LegalBody"/>
      </w:pPr>
      <w:r>
        <w:rPr>
          <w:b/>
        </w:rPr>
        <w:t xml:space="preserve">(c) Equity of opportunity. </w:t>
      </w:r>
      <w:r>
        <w:t>A recipient shall not presume access to private vehicles, specialized clothing, paid equipment, or nearby green space. Necessary basic equipment and transportation may be financed where integral to the activity and included in the award budget.</w:t>
      </w:r>
    </w:p>
    <w:p>
      <w:pPr>
        <w:pStyle w:val="LegalBody"/>
      </w:pPr>
      <w:r>
        <w:rPr>
          <w:b/>
        </w:rPr>
        <w:t xml:space="preserve">(d) Stewardship. </w:t>
      </w:r>
      <w:r>
        <w:t>Activities shall respect ecological conditions, cultural sites, wildlife, and lawful land-management restrictions. Children shall not be used as unpaid substitutes for employees performing hazardous maintenance or regulated environmental work.</w:t>
      </w:r>
    </w:p>
    <w:p>
      <w:pPr>
        <w:pStyle w:val="LegalBody"/>
      </w:pPr>
      <w:r>
        <w:rPr>
          <w:b/>
        </w:rPr>
        <w:t xml:space="preserve">(e) Independence. </w:t>
      </w:r>
      <w:r>
        <w:t>Where age and circumstances permit, programs may teach safe independent navigation and practical judgment. Participation shall not create a Federal standard for unsupervised childhood activity or displace applicable child-protection law. Evaluation shall examine confidence, access, mobility, and actual safety rather than assume that all outdoor exposure produces the same benefit for every child.</w:t>
      </w:r>
    </w:p>
    <w:p>
      <w:bookmarkStart w:id="65" w:name="SEC_607"/>
      <w:pPr>
        <w:pStyle w:val="Heading2"/>
      </w:pPr>
      <w:r>
        <w:t>SEC. 607. DIGITAL DEVELOPMENT AND HUMAN SUPPORT.</w:t>
      </w:r>
      <w:bookmarkEnd w:id="65"/>
    </w:p>
    <w:p>
      <w:pPr>
        <w:pStyle w:val="LegalBody"/>
      </w:pPr>
      <w:r>
        <w:rPr>
          <w:b/>
        </w:rPr>
        <w:t xml:space="preserve">(a) Funded technology. </w:t>
      </w:r>
      <w:r>
        <w:t>A recipient using digital tools with children shall identify the educational, clinical, accessibility, or recreational purpose; evidence supporting the use; data collected; adult supervision; and available alternatives. Tools shall not be adopted solely because a vendor offers them without an initial charge.</w:t>
      </w:r>
    </w:p>
    <w:p>
      <w:pPr>
        <w:pStyle w:val="LegalBody"/>
      </w:pPr>
      <w:r>
        <w:rPr>
          <w:b/>
        </w:rPr>
        <w:t xml:space="preserve">(b) Human contact. </w:t>
      </w:r>
      <w:r>
        <w:t>A technology shall not replace legally required supervision or a qualified professional's decision. A child shall have a clear route to a responsible human when the system fails, presents distressing material, or produces an important recommendation the child does not understand.</w:t>
      </w:r>
    </w:p>
    <w:p>
      <w:pPr>
        <w:pStyle w:val="LegalBody"/>
      </w:pPr>
      <w:r>
        <w:rPr>
          <w:b/>
        </w:rPr>
        <w:t xml:space="preserve">(c) Design. </w:t>
      </w:r>
      <w:r>
        <w:t>Funded applications shall avoid commercial targeted advertising, manipulative purchase prompts, unnecessary public profiles, and default disclosure of a child's location. Privacy and safety settings shall be age-appropriate and accessible. Commercial obligations independent of funding are governed by title XVIII.</w:t>
      </w:r>
    </w:p>
    <w:p>
      <w:pPr>
        <w:pStyle w:val="LegalBody"/>
      </w:pPr>
      <w:r>
        <w:rPr>
          <w:b/>
        </w:rPr>
        <w:t xml:space="preserve">(d) Evaluation. </w:t>
      </w:r>
      <w:r>
        <w:t>A pilot shall measure learning or service outcomes, accessibility, displacement of human interaction, workload, error, and adverse effects. Engagement time alone is not a sufficient measure of developmental value.</w:t>
      </w:r>
    </w:p>
    <w:p>
      <w:pPr>
        <w:pStyle w:val="LegalBody"/>
      </w:pPr>
      <w:r>
        <w:rPr>
          <w:b/>
        </w:rPr>
        <w:t xml:space="preserve">(e) Choice and continuity. </w:t>
      </w:r>
      <w:r>
        <w:t>A child who cannot use a device because of disability, lack of connectivity, safety concerns, or a lawful parental choice shall be offered a reasonable alternative for the funded service. Removal of a vendor or termination of a pilot shall not strand records needed for ongoing education or care.</w:t>
      </w:r>
    </w:p>
    <w:p>
      <w:bookmarkStart w:id="66" w:name="SEC_608"/>
      <w:pPr>
        <w:pStyle w:val="Heading2"/>
      </w:pPr>
      <w:r>
        <w:t>SEC. 608. SUPPORT FOR CHILDREN EXPERIENCING ADVERSITY.</w:t>
      </w:r>
      <w:bookmarkEnd w:id="66"/>
    </w:p>
    <w:p>
      <w:pPr>
        <w:pStyle w:val="LegalBody"/>
      </w:pPr>
      <w:r>
        <w:rPr>
          <w:b/>
        </w:rPr>
        <w:t xml:space="preserve">(a) Eligible support. </w:t>
      </w:r>
      <w:r>
        <w:t>Grants may support children affected by homelessness, displacement, bereavement, violence, serious illness, family separation, disaster, or economic insecurity through coordinated services and referral. A recipient shall not require a child to recount traumatic experiences repeatedly to establish eligibility where reliable existing information is sufficient.</w:t>
      </w:r>
    </w:p>
    <w:p>
      <w:pPr>
        <w:pStyle w:val="LegalBody"/>
      </w:pPr>
      <w:r>
        <w:rPr>
          <w:b/>
        </w:rPr>
        <w:t xml:space="preserve">(b) Individualization. </w:t>
      </w:r>
      <w:r>
        <w:t>Services shall be responsive to the child's needs and strengths. Exposure to adversity shall not be treated as a diagnosis, a prediction of future criminality, or a permanent label. A numerical adversity score shall not alone determine placement, discipline, or access to services.</w:t>
      </w:r>
    </w:p>
    <w:p>
      <w:pPr>
        <w:pStyle w:val="LegalBody"/>
      </w:pPr>
      <w:r>
        <w:rPr>
          <w:b/>
        </w:rPr>
        <w:t xml:space="preserve">(c) Stability. </w:t>
      </w:r>
      <w:r>
        <w:t>Plans shall prioritize continuity of education, healthcare, communication supports, trusted relationships, and essential possessions. Assistance may cover practical barriers within the award, including transport, documentation replacement, and temporary access to equipment.</w:t>
      </w:r>
    </w:p>
    <w:p>
      <w:pPr>
        <w:pStyle w:val="LegalBody"/>
      </w:pPr>
      <w:r>
        <w:rPr>
          <w:b/>
        </w:rPr>
        <w:t xml:space="preserve">(d) Confidentiality. </w:t>
      </w:r>
      <w:r>
        <w:t>Sharing among schools, health providers, and community agencies shall use a lawful basis and the minimum necessary information. A general coordination agreement does not override student-record, health-record, or child-welfare confidentiality law.</w:t>
      </w:r>
    </w:p>
    <w:p>
      <w:pPr>
        <w:pStyle w:val="LegalBody"/>
      </w:pPr>
      <w:r>
        <w:rPr>
          <w:b/>
        </w:rPr>
        <w:t xml:space="preserve">(e) Evaluation. </w:t>
      </w:r>
      <w:r>
        <w:t>Programs shall assess timely assistance, continuity, safety, and participant experience without requiring a child to demonstrate rapid emotional recovery. A service shall not be withdrawn merely because a child's response differs from an expected model or because the child declines a particular therapeutic approach.</w:t>
      </w:r>
    </w:p>
    <w:p>
      <w:bookmarkStart w:id="67" w:name="SEC_609"/>
      <w:pPr>
        <w:pStyle w:val="Heading2"/>
      </w:pPr>
      <w:r>
        <w:t>SEC. 609. YOUTH ADVISORY STRUCTURES AND RESEARCH PROTECTION.</w:t>
      </w:r>
      <w:bookmarkEnd w:id="67"/>
    </w:p>
    <w:p>
      <w:pPr>
        <w:pStyle w:val="LegalBody"/>
      </w:pPr>
      <w:r>
        <w:rPr>
          <w:b/>
        </w:rPr>
        <w:t xml:space="preserve">(a) Advisory opportunities. </w:t>
      </w:r>
      <w:r>
        <w:t>Recipients operating substantial youth programs shall establish a proportionate method for obtaining youth input, including accessible discussion, anonymous feedback, or an advisory group. Participation shall not depend on academic achievement, public-speaking ability, or disclosure of a protected characteristic.</w:t>
      </w:r>
    </w:p>
    <w:p>
      <w:pPr>
        <w:pStyle w:val="LegalBody"/>
      </w:pPr>
      <w:r>
        <w:rPr>
          <w:b/>
        </w:rPr>
        <w:t xml:space="preserve">(b) Compensation. </w:t>
      </w:r>
      <w:r>
        <w:t>Reasonable compensation, transportation, interpretation, accessibility support, and caregiver costs may be provided. Compensation shall not require a participant to endorse the program or surrender the right to criticize it.</w:t>
      </w:r>
    </w:p>
    <w:p>
      <w:pPr>
        <w:pStyle w:val="LegalBody"/>
      </w:pPr>
      <w:r>
        <w:rPr>
          <w:b/>
        </w:rPr>
        <w:t xml:space="preserve">(c) Safeguards. </w:t>
      </w:r>
      <w:r>
        <w:t>Public participation shall include consent appropriate to age and law, protection of contact information, preparation for public exposure, and a process for withdrawing from future appearances. A recipient shall not publish a child's personal account merely because the child shared it in a private consultation.</w:t>
      </w:r>
    </w:p>
    <w:p>
      <w:pPr>
        <w:pStyle w:val="LegalBody"/>
      </w:pPr>
      <w:r>
        <w:rPr>
          <w:b/>
        </w:rPr>
        <w:t xml:space="preserve">(d) Research distinction. </w:t>
      </w:r>
      <w:r>
        <w:t>Consultation intended to improve a local service shall be distinguished from systematic research requiring human-subjects review. Reuse of youth testimony for research, commercial training data, or public promotion shall require a separate lawful basis.</w:t>
      </w:r>
    </w:p>
    <w:p>
      <w:pPr>
        <w:pStyle w:val="LegalBody"/>
      </w:pPr>
      <w:r>
        <w:rPr>
          <w:b/>
        </w:rPr>
        <w:t xml:space="preserve">(e) Accountability. </w:t>
      </w:r>
      <w:r>
        <w:t>Agencies shall report how youth input changed program design and where it did not, with reasons. No child shall be represented as speaking for all persons of the same age, race, disability, sex, gender, or community.</w:t>
      </w:r>
    </w:p>
    <w:p>
      <w:bookmarkStart w:id="68" w:name="SEC_610"/>
      <w:pPr>
        <w:pStyle w:val="Heading2"/>
      </w:pPr>
      <w:r>
        <w:t>SEC. 610. DEVELOPMENTAL PROGRAM EVALUATION AND SAFEGUARD REVIEW.</w:t>
      </w:r>
      <w:bookmarkEnd w:id="68"/>
    </w:p>
    <w:p>
      <w:pPr>
        <w:pStyle w:val="LegalBody"/>
      </w:pPr>
      <w:r>
        <w:rPr>
          <w:b/>
        </w:rPr>
        <w:t xml:space="preserve">(a) Evaluation framework. </w:t>
      </w:r>
      <w:r>
        <w:t>The Secretary shall publish an evaluation framework distinguishing access, process quality, developmental outcomes, participant experience, and harms. Measures shall be proportionate to program size and shall avoid unnecessary repeated testing of children.</w:t>
      </w:r>
    </w:p>
    <w:p>
      <w:pPr>
        <w:pStyle w:val="LegalBody"/>
      </w:pPr>
      <w:r>
        <w:rPr>
          <w:b/>
        </w:rPr>
        <w:t xml:space="preserve">(b) Independent review. </w:t>
      </w:r>
      <w:r>
        <w:t>Large demonstrations, defined as awards exceeding $10,000,000 over their term, shall include independent evaluation with a comparison strategy appropriate to the intervention. Where random assignment is inappropriate or infeasible, the evaluator shall explain the alternative and its limits.</w:t>
      </w:r>
    </w:p>
    <w:p>
      <w:pPr>
        <w:pStyle w:val="LegalBody"/>
      </w:pPr>
      <w:r>
        <w:rPr>
          <w:b/>
        </w:rPr>
        <w:t xml:space="preserve">(c) Safeguards review. </w:t>
      </w:r>
      <w:r>
        <w:t>Each recipient shall review consent, supervision, complaints, exclusion, privacy, accessibility, and referral failures at least annually. Serious incidents shall be reported under section 2709 without unnecessary disclosure of a child's identity.</w:t>
      </w:r>
    </w:p>
    <w:p>
      <w:pPr>
        <w:pStyle w:val="LegalBody"/>
      </w:pPr>
      <w:r>
        <w:rPr>
          <w:b/>
        </w:rPr>
        <w:t xml:space="preserve">(d) Continuation. </w:t>
      </w:r>
      <w:r>
        <w:t>Expansion shall require evidence that the program can be delivered safely and affordably in the proposed setting. A positive result in a small, highly supported pilot shall not be presumed to transfer unchanged to a national program.</w:t>
      </w:r>
    </w:p>
    <w:p>
      <w:pPr>
        <w:pStyle w:val="LegalBody"/>
      </w:pPr>
      <w:r>
        <w:rPr>
          <w:b/>
        </w:rPr>
        <w:t xml:space="preserve">(e) Public report. </w:t>
      </w:r>
      <w:r>
        <w:t>Reports shall include unsuccessful approaches, private household costs, staffing requirements, and distributional effects. No report shall rank individual children by human value or publish identifiable developmental profiles. Funding decisions shall consider lawful program objectives and available resources, with orderly transition for participants where an activity ends.</w:t>
      </w:r>
    </w:p>
    <w:p>
      <w:bookmarkStart w:id="69" w:name="TITLE_VII"/>
      <w:pPr>
        <w:pStyle w:val="Heading1"/>
        <w:pageBreakBefore/>
      </w:pPr>
      <w:r>
        <w:t>TITLE VII. EDUCATION, LEARNING, AND HUMAN SKILLS</w:t>
      </w:r>
      <w:bookmarkEnd w:id="69"/>
    </w:p>
    <w:p>
      <w:bookmarkStart w:id="70" w:name="SEC_701"/>
      <w:pPr>
        <w:pStyle w:val="Heading2"/>
      </w:pPr>
      <w:r>
        <w:t>SEC. 701. LEARNING ENVIRONMENTS AND LIFELONG OPPORTUNITY.</w:t>
      </w:r>
      <w:bookmarkEnd w:id="70"/>
    </w:p>
    <w:p>
      <w:pPr>
        <w:pStyle w:val="LegalBody"/>
      </w:pPr>
      <w:r>
        <w:rPr>
          <w:b/>
        </w:rPr>
        <w:t xml:space="preserve">(a) Program. </w:t>
      </w:r>
      <w:r>
        <w:t>The Secretary of Education shall award grants supporting accessible learning environments, evidence-informed instruction, adult learning, and transitions among education, work, and community participation. Eligible recipients include public educational agencies, tribal education authorities, libraries, community colleges, and qualified nonprofit partnerships.</w:t>
      </w:r>
    </w:p>
    <w:p>
      <w:pPr>
        <w:pStyle w:val="LegalBody"/>
      </w:pPr>
      <w:r>
        <w:rPr>
          <w:b/>
        </w:rPr>
        <w:t xml:space="preserve">(b) Purposes. </w:t>
      </w:r>
      <w:r>
        <w:t>Activities may develop literacy, numeracy, scientific reasoning, communication, practical problem solving, creativity, digital understanding, and the capacity to assess evidence. A grant shall identify the learning objective and shall not substitute a general claim of innovation for an instructional plan.</w:t>
      </w:r>
    </w:p>
    <w:p>
      <w:pPr>
        <w:pStyle w:val="LegalBody"/>
      </w:pPr>
      <w:r>
        <w:rPr>
          <w:b/>
        </w:rPr>
        <w:t xml:space="preserve">(c) Authority. </w:t>
      </w:r>
      <w:r>
        <w:t>This title does not authorize Federal control of curriculum, instructional content, academic standards, school governance, or teacher licensing beyond conditions expressly attached to the funded activity. Existing statutory prohibitions on Federal curricular control remain applicable.</w:t>
      </w:r>
    </w:p>
    <w:p>
      <w:pPr>
        <w:pStyle w:val="LegalBody"/>
      </w:pPr>
      <w:r>
        <w:rPr>
          <w:b/>
        </w:rPr>
        <w:t xml:space="preserve">(d) Access. </w:t>
      </w:r>
      <w:r>
        <w:t>Plans shall address disability, language, rural access, interrupted education, cost, transportation, and flexible scheduling. Adults shall not be excluded solely because they lack a traditional prior credential when the program can assess readiness through a reasonable alternative.</w:t>
      </w:r>
    </w:p>
    <w:p>
      <w:pPr>
        <w:pStyle w:val="LegalBody"/>
      </w:pPr>
      <w:r>
        <w:rPr>
          <w:b/>
        </w:rPr>
        <w:t xml:space="preserve">(e) Funding. </w:t>
      </w:r>
      <w:r>
        <w:t>Assistance shall be drawn from the childhood and learning account. Where an activity principally retrains workers, the lead agency shall coordinate with the work and care account without charging the same cost twice. Participation in research or public promotion shall not be a condition of receiving instruction.</w:t>
      </w:r>
    </w:p>
    <w:p>
      <w:bookmarkStart w:id="71" w:name="SEC_702"/>
      <w:pPr>
        <w:pStyle w:val="Heading2"/>
      </w:pPr>
      <w:r>
        <w:t>SEC. 702. EVIDENCE-INFORMED TEACHING AND EDUCATOR CAPACITY.</w:t>
      </w:r>
      <w:bookmarkEnd w:id="71"/>
    </w:p>
    <w:p>
      <w:pPr>
        <w:pStyle w:val="LegalBody"/>
      </w:pPr>
      <w:r>
        <w:rPr>
          <w:b/>
        </w:rPr>
        <w:t xml:space="preserve">(a) Grants. </w:t>
      </w:r>
      <w:r>
        <w:t>Assistance may support paid professional learning, instructional coaching, accessible materials, collaborative planning, and evaluation of teaching approaches. Activities shall be grounded in an identified learning need and appropriate evidence rather than a vendor's proprietary theory unsupported by independent study.</w:t>
      </w:r>
    </w:p>
    <w:p>
      <w:pPr>
        <w:pStyle w:val="LegalBody"/>
      </w:pPr>
      <w:r>
        <w:rPr>
          <w:b/>
        </w:rPr>
        <w:t xml:space="preserve">(b) Professional judgment. </w:t>
      </w:r>
      <w:r>
        <w:t>A funded plan shall allow educators to adapt delivery to student needs within lawful standards. A scripted system shall not prevent an educator from responding to a disability accommodation, safety concern, demonstrated misunderstanding, or error in the material.</w:t>
      </w:r>
    </w:p>
    <w:p>
      <w:pPr>
        <w:pStyle w:val="LegalBody"/>
      </w:pPr>
      <w:r>
        <w:rPr>
          <w:b/>
        </w:rPr>
        <w:t xml:space="preserve">(c) Implementation conditions. </w:t>
      </w:r>
      <w:r>
        <w:t>Evaluations shall record class size, preparation time, training, staffing, materials, and other conditions necessary to reproduce results. An intervention shall not be described as inexpensive while relying on uncounted teacher labor or unusually intensive external support.</w:t>
      </w:r>
    </w:p>
    <w:p>
      <w:pPr>
        <w:pStyle w:val="LegalBody"/>
      </w:pPr>
      <w:r>
        <w:rPr>
          <w:b/>
        </w:rPr>
        <w:t xml:space="preserve">(d) Academic freedom. </w:t>
      </w:r>
      <w:r>
        <w:t>Research and professional discussion may examine competing methods and unfavorable results. An educator shall not be required to affirm a political or philosophical position as a condition of training financed under this Act.</w:t>
      </w:r>
    </w:p>
    <w:p>
      <w:pPr>
        <w:pStyle w:val="LegalBody"/>
      </w:pPr>
      <w:r>
        <w:rPr>
          <w:b/>
        </w:rPr>
        <w:t xml:space="preserve">(e) Assessment. </w:t>
      </w:r>
      <w:r>
        <w:t>Measures shall include learning and access outcomes, not merely attendance at training or completion of modules. Continuation decisions shall distinguish a flawed method from poor implementation and shall consider whether a reasonable adaptation can address the problem before requiring wholesale replacement of a functioning instructional program.</w:t>
      </w:r>
    </w:p>
    <w:p>
      <w:bookmarkStart w:id="72" w:name="SEC_703"/>
      <w:pPr>
        <w:pStyle w:val="Heading2"/>
      </w:pPr>
      <w:r>
        <w:t>SEC. 703. CRITICAL REASONING, SCIENTIFIC LITERACY, AND INFORMATION SKILLS.</w:t>
      </w:r>
      <w:bookmarkEnd w:id="72"/>
    </w:p>
    <w:p>
      <w:pPr>
        <w:pStyle w:val="LegalBody"/>
      </w:pPr>
      <w:r>
        <w:rPr>
          <w:b/>
        </w:rPr>
        <w:t xml:space="preserve">(a) Eligible activities. </w:t>
      </w:r>
      <w:r>
        <w:t>Grants may support instruction in evaluating sources, understanding probability and uncertainty, distinguishing evidence from assertion, identifying conflicts of interest, interpreting graphs, recognizing deceptive commercial claims, and revising beliefs in response to reliable information.</w:t>
      </w:r>
    </w:p>
    <w:p>
      <w:pPr>
        <w:pStyle w:val="LegalBody"/>
      </w:pPr>
      <w:r>
        <w:rPr>
          <w:b/>
        </w:rPr>
        <w:t xml:space="preserve">(b) Viewpoint neutrality. </w:t>
      </w:r>
      <w:r>
        <w:t>Instruction shall teach methods of inquiry rather than require agreement with a governmental conclusion on a contested political, religious, or philosophical question. Materials may accurately describe established scientific evidence and documented historical events without implying that personal belief is a condition of public benefit.</w:t>
      </w:r>
    </w:p>
    <w:p>
      <w:pPr>
        <w:pStyle w:val="LegalBody"/>
      </w:pPr>
      <w:r>
        <w:rPr>
          <w:b/>
        </w:rPr>
        <w:t xml:space="preserve">(c) Practical application. </w:t>
      </w:r>
      <w:r>
        <w:t>Programs may use health information, financial offers, advertising, automated recommendations, and public datasets as examples. Personal sensitive information shall not be required for classroom exercises, and a student shall not be asked to disclose private family circumstances to demonstrate competence.</w:t>
      </w:r>
    </w:p>
    <w:p>
      <w:pPr>
        <w:pStyle w:val="LegalBody"/>
      </w:pPr>
      <w:r>
        <w:rPr>
          <w:b/>
        </w:rPr>
        <w:t xml:space="preserve">(d) Evaluation. </w:t>
      </w:r>
      <w:r>
        <w:t>Assessments shall test reasoning processes and comprehension of evidence, not political affiliation or conformity of opinion. A rubric shall distinguish an unsupported factual assertion from a reasoned value judgment that cannot be resolved by empirical evidence alone.</w:t>
      </w:r>
    </w:p>
    <w:p>
      <w:pPr>
        <w:pStyle w:val="LegalBody"/>
      </w:pPr>
      <w:r>
        <w:rPr>
          <w:b/>
        </w:rPr>
        <w:t xml:space="preserve">(e) Materials. </w:t>
      </w:r>
      <w:r>
        <w:t>Publicly financed resources shall be accessible and reusable to the extent permitted by applicable intellectual-property law. Sources and correction procedures shall be transparent. A material error shall be corrected promptly without deleting the record necessary to understand how the error occurred.</w:t>
      </w:r>
    </w:p>
    <w:p>
      <w:bookmarkStart w:id="73" w:name="SEC_704"/>
      <w:pPr>
        <w:pStyle w:val="Heading2"/>
      </w:pPr>
      <w:r>
        <w:t>SEC. 704. ARTS, MAKING, PRACTICAL SKILLS, AND EMBODIED LEARNING.</w:t>
      </w:r>
      <w:bookmarkEnd w:id="73"/>
    </w:p>
    <w:p>
      <w:pPr>
        <w:pStyle w:val="LegalBody"/>
      </w:pPr>
      <w:r>
        <w:rPr>
          <w:b/>
        </w:rPr>
        <w:t xml:space="preserve">(a) Activities. </w:t>
      </w:r>
      <w:r>
        <w:t>Assistance may integrate music, visual arts, performance, writing, design, craft, gardening, movement, laboratory work, and practical making into learning opportunities where appropriate to the program. Participation shall not depend on purchasing expensive personal equipment.</w:t>
      </w:r>
    </w:p>
    <w:p>
      <w:pPr>
        <w:pStyle w:val="LegalBody"/>
      </w:pPr>
      <w:r>
        <w:rPr>
          <w:b/>
        </w:rPr>
        <w:t xml:space="preserve">(b) Educational purpose. </w:t>
      </w:r>
      <w:r>
        <w:t>An applicant shall explain whether an activity is intended to teach an artistic or practical skill, support another learning objective, or provide access to cultural participation. The activity's value shall not be misrepresented by unsupported claims that it necessarily increases intelligence or cures a health condition.</w:t>
      </w:r>
    </w:p>
    <w:p>
      <w:pPr>
        <w:pStyle w:val="LegalBody"/>
      </w:pPr>
      <w:r>
        <w:rPr>
          <w:b/>
        </w:rPr>
        <w:t xml:space="preserve">(c) Safety. </w:t>
      </w:r>
      <w:r>
        <w:t>Workshops shall comply with applicable safety, accessibility, supervision, equipment, and environmental requirements. Children shall not perform hazardous work prohibited by law. Accessible alternatives shall preserve meaningful participation rather than relegate a student to observing others indefinitely.</w:t>
      </w:r>
    </w:p>
    <w:p>
      <w:pPr>
        <w:pStyle w:val="LegalBody"/>
      </w:pPr>
      <w:r>
        <w:rPr>
          <w:b/>
        </w:rPr>
        <w:t xml:space="preserve">(d) Collaboration. </w:t>
      </w:r>
      <w:r>
        <w:t>Schools may partner with artists, museums, libraries, community organizations, and skilled practitioners. Contracts shall specify qualifications, supervision, safeguarding, payment, intellectual-property rights, and responsibility for materials.</w:t>
      </w:r>
    </w:p>
    <w:p>
      <w:pPr>
        <w:pStyle w:val="LegalBody"/>
      </w:pPr>
      <w:r>
        <w:rPr>
          <w:b/>
        </w:rPr>
        <w:t xml:space="preserve">(e) Assessment. </w:t>
      </w:r>
      <w:r>
        <w:t>Programs shall assess skill development, participation, access, and the student's experience using methods appropriate to the activity. A standardized academic test shall not be the sole measure of an arts program, and a program shall not require students to surrender ownership of their creative work beyond a narrowly defined permission necessary for instruction or a voluntarily chosen exhibition.</w:t>
      </w:r>
    </w:p>
    <w:p>
      <w:bookmarkStart w:id="74" w:name="SEC_705"/>
      <w:pPr>
        <w:pStyle w:val="Heading2"/>
      </w:pPr>
      <w:r>
        <w:t>SEC. 705. ARTIFICIAL INTELLIGENCE AND EDUCATIONAL TECHNOLOGY.</w:t>
      </w:r>
      <w:bookmarkEnd w:id="74"/>
    </w:p>
    <w:p>
      <w:pPr>
        <w:pStyle w:val="LegalBody"/>
      </w:pPr>
      <w:r>
        <w:rPr>
          <w:b/>
        </w:rPr>
        <w:t xml:space="preserve">(a) Procurement assessment. </w:t>
      </w:r>
      <w:r>
        <w:t>Before using assistance under this Act to procure an instructional artificial intelligence system, the recipient shall assess accuracy, accessibility, age suitability, privacy, bias, pedagogical purpose, teacher workload, costs, and evidence of learning benefit. The assessment shall examine the actual product and intended use, not a general model benchmark alone.</w:t>
      </w:r>
    </w:p>
    <w:p>
      <w:pPr>
        <w:pStyle w:val="LegalBody"/>
      </w:pPr>
      <w:r>
        <w:rPr>
          <w:b/>
        </w:rPr>
        <w:t xml:space="preserve">(b) Human responsibility. </w:t>
      </w:r>
      <w:r>
        <w:t>A qualified educator shall retain responsibility for instructional decisions. An automated system shall not alone determine a student's discipline, disability eligibility, high-stakes placement, or access to a diploma. Additional duties for high-impact automated decisions apply under title XIX.</w:t>
      </w:r>
    </w:p>
    <w:p>
      <w:pPr>
        <w:pStyle w:val="LegalBody"/>
      </w:pPr>
      <w:r>
        <w:rPr>
          <w:b/>
        </w:rPr>
        <w:t xml:space="preserve">(c) Disclosure. </w:t>
      </w:r>
      <w:r>
        <w:t>Students and caregivers shall receive understandable notice of significant automated interaction, data use, and the route to a human. A system shall not falsely represent itself as a licensed professional or conceal that an apparent conversational partner is automated.</w:t>
      </w:r>
    </w:p>
    <w:p>
      <w:pPr>
        <w:pStyle w:val="LegalBody"/>
      </w:pPr>
      <w:r>
        <w:rPr>
          <w:b/>
        </w:rPr>
        <w:t xml:space="preserve">(d) Pilots. </w:t>
      </w:r>
      <w:r>
        <w:t>Initial deployment of an unvalidated system shall be limited, evaluated, and reversible. The recipient shall establish stopping criteria for material error, exclusion, privacy breach, or deterioration in learning access. Vendor claims of future improvement do not excuse known present deficiencies.</w:t>
      </w:r>
    </w:p>
    <w:p>
      <w:pPr>
        <w:pStyle w:val="LegalBody"/>
      </w:pPr>
      <w:r>
        <w:rPr>
          <w:b/>
        </w:rPr>
        <w:t xml:space="preserve">(e) Alternatives. </w:t>
      </w:r>
      <w:r>
        <w:t>Essential instruction shall remain reasonably available when a student cannot use the system. Contracts shall provide data portability, deletion, continuity, and access to records necessary to investigate an adverse decision. Student work shall not be used for unrelated commercial model training without a separate lawful basis.</w:t>
      </w:r>
    </w:p>
    <w:p>
      <w:bookmarkStart w:id="75" w:name="SEC_706"/>
      <w:pPr>
        <w:pStyle w:val="Heading2"/>
      </w:pPr>
      <w:r>
        <w:t>SEC. 706. STUDENT RECORDS, ASSESSMENT, AND FREEDOM FROM PROFILING.</w:t>
      </w:r>
      <w:bookmarkEnd w:id="75"/>
    </w:p>
    <w:p>
      <w:pPr>
        <w:pStyle w:val="LegalBody"/>
      </w:pPr>
      <w:r>
        <w:rPr>
          <w:b/>
        </w:rPr>
        <w:t xml:space="preserve">(a) Existing law. </w:t>
      </w:r>
      <w:r>
        <w:t>Activities under this title shall comply with applicable student-record privacy law. A grant agreement shall not be construed as parental consent or as an independent exception permitting disclosure of educational records.</w:t>
      </w:r>
    </w:p>
    <w:p>
      <w:pPr>
        <w:pStyle w:val="LegalBody"/>
      </w:pPr>
      <w:r>
        <w:rPr>
          <w:b/>
        </w:rPr>
        <w:t xml:space="preserve">(b) Data minimization. </w:t>
      </w:r>
      <w:r>
        <w:t>Recipients shall collect only information reasonably necessary for instruction, administration, authorized evaluation, or a specific legal duty. Continuous emotion recognition, neural monitoring, or biometric attention scoring shall not be required for ordinary classroom participation under a funded program.</w:t>
      </w:r>
    </w:p>
    <w:p>
      <w:pPr>
        <w:pStyle w:val="LegalBody"/>
      </w:pPr>
      <w:r>
        <w:rPr>
          <w:b/>
        </w:rPr>
        <w:t xml:space="preserve">(c) Assessments. </w:t>
      </w:r>
      <w:r>
        <w:t>A measure used for an important individual decision shall be valid for its intended purpose and population, accessible, and subject to human review. A measure developed for aggregate research shall not be repurposed for individual placement without independent validation and lawful authority.</w:t>
      </w:r>
    </w:p>
    <w:p>
      <w:pPr>
        <w:pStyle w:val="LegalBody"/>
      </w:pPr>
      <w:r>
        <w:rPr>
          <w:b/>
        </w:rPr>
        <w:t xml:space="preserve">(d) Correction. </w:t>
      </w:r>
      <w:r>
        <w:t>Students or legally authorized representatives shall have an accessible process to identify material factual errors and contest the use of an inappropriate inference. A recipient shall preserve required records while marking disputed information and documenting resolution.</w:t>
      </w:r>
    </w:p>
    <w:p>
      <w:pPr>
        <w:pStyle w:val="LegalBody"/>
      </w:pPr>
      <w:r>
        <w:rPr>
          <w:b/>
        </w:rPr>
        <w:t xml:space="preserve">(e) Vendor restrictions. </w:t>
      </w:r>
      <w:r>
        <w:t>Contracts shall prohibit sale of student data, targeted commercial advertising based on protected educational information, and retention beyond an authorized purpose. A vendor shall not require broad rights to student communications as a condition of supplying an essential educational function. Procurement compliance shall be verified through testing and audit rather than accepted solely on a self-certification.</w:t>
      </w:r>
    </w:p>
    <w:p>
      <w:bookmarkStart w:id="76" w:name="SEC_707"/>
      <w:pPr>
        <w:pStyle w:val="Heading2"/>
      </w:pPr>
      <w:r>
        <w:t>SEC. 707. ADULT LEARNING AND SECOND-CHANCE EDUCATION.</w:t>
      </w:r>
      <w:bookmarkEnd w:id="76"/>
    </w:p>
    <w:p>
      <w:pPr>
        <w:pStyle w:val="LegalBody"/>
      </w:pPr>
      <w:r>
        <w:rPr>
          <w:b/>
        </w:rPr>
        <w:t xml:space="preserve">(a) Program activities. </w:t>
      </w:r>
      <w:r>
        <w:t>Grants may support foundational skills, language learning, digital competence, professional transition, creative practice, and access to recognized educational pathways for adults. Programs shall offer flexible schedules and assistance for persons balancing employment, disability, or caregiving.</w:t>
      </w:r>
    </w:p>
    <w:p>
      <w:pPr>
        <w:pStyle w:val="LegalBody"/>
      </w:pPr>
      <w:r>
        <w:rPr>
          <w:b/>
        </w:rPr>
        <w:t xml:space="preserve">(b) Recognition. </w:t>
      </w:r>
      <w:r>
        <w:t>A recipient may assess prior learning and experience through transparent, validated methods. Recognition shall not imply that an unaccredited certificate is equivalent to a degree or license where it is not. Marketing shall accurately state transferability, recognition, cost, and likely requirements for further qualification.</w:t>
      </w:r>
    </w:p>
    <w:p>
      <w:pPr>
        <w:pStyle w:val="LegalBody"/>
      </w:pPr>
      <w:r>
        <w:rPr>
          <w:b/>
        </w:rPr>
        <w:t xml:space="preserve">(c) Access supports. </w:t>
      </w:r>
      <w:r>
        <w:t>Assistance may finance transportation, necessary equipment, accessible materials, interpretation, and limited childcare or respite connected to attendance. Such supports shall be budgeted rather than assumed to be supplied without cost by the household.</w:t>
      </w:r>
    </w:p>
    <w:p>
      <w:pPr>
        <w:pStyle w:val="LegalBody"/>
      </w:pPr>
      <w:r>
        <w:rPr>
          <w:b/>
        </w:rPr>
        <w:t xml:space="preserve">(d) Learning agreements. </w:t>
      </w:r>
      <w:r>
        <w:t>Participants shall receive a description of expected work, duration, fees, available support, completion standards, and withdrawal procedures. A recipient shall not use enrollment pressure, misleading earnings claims, or a promise of guaranteed employment.</w:t>
      </w:r>
    </w:p>
    <w:p>
      <w:pPr>
        <w:pStyle w:val="LegalBody"/>
      </w:pPr>
      <w:r>
        <w:rPr>
          <w:b/>
        </w:rPr>
        <w:t xml:space="preserve">(e) Outcomes. </w:t>
      </w:r>
      <w:r>
        <w:t>Evaluation shall distinguish course completion, demonstrated learning, credential attainment, employment effects, and personal goals. An adult's decision to learn for cultural, civic, or personal reasons shall not be treated as program failure solely because it does not immediately increase earnings.</w:t>
      </w:r>
    </w:p>
    <w:p>
      <w:bookmarkStart w:id="77" w:name="SEC_708"/>
      <w:pPr>
        <w:pStyle w:val="Heading2"/>
      </w:pPr>
      <w:r>
        <w:t>SEC. 708. LIBRARIES, PUBLIC KNOWLEDGE, AND COMMUNITY LEARNING.</w:t>
      </w:r>
      <w:bookmarkEnd w:id="77"/>
    </w:p>
    <w:p>
      <w:pPr>
        <w:pStyle w:val="LegalBody"/>
      </w:pPr>
      <w:r>
        <w:rPr>
          <w:b/>
        </w:rPr>
        <w:t xml:space="preserve">(a) Grants. </w:t>
      </w:r>
      <w:r>
        <w:t>Public and tribal libraries and qualified community institutions may receive assistance for accessible learning space, equipment, digital access, research assistance, language resources, and intergenerational educational activities. Awards shall respect the institution's lawful governance and professional responsibilities.</w:t>
      </w:r>
    </w:p>
    <w:p>
      <w:pPr>
        <w:pStyle w:val="LegalBody"/>
      </w:pPr>
      <w:r>
        <w:rPr>
          <w:b/>
        </w:rPr>
        <w:t xml:space="preserve">(b) Public access. </w:t>
      </w:r>
      <w:r>
        <w:t>Funded essential access services shall not require purchase, commercial subscription, disclosure of reading history, or consent to targeted advertising. Reasonable conduct and reservation rules may preserve fair use and safety.</w:t>
      </w:r>
    </w:p>
    <w:p>
      <w:pPr>
        <w:pStyle w:val="LegalBody"/>
      </w:pPr>
      <w:r>
        <w:rPr>
          <w:b/>
        </w:rPr>
        <w:t xml:space="preserve">(c) Privacy. </w:t>
      </w:r>
      <w:r>
        <w:t>Records of reading, searching, borrowing, and participation shall be minimized and protected under applicable law. A recipient shall not maintain individualized ideological profiles or disclose a person's lawful interests to another organization for commercial exploitation.</w:t>
      </w:r>
    </w:p>
    <w:p>
      <w:pPr>
        <w:pStyle w:val="LegalBody"/>
      </w:pPr>
      <w:r>
        <w:rPr>
          <w:b/>
        </w:rPr>
        <w:t xml:space="preserve">(d) Human assistance. </w:t>
      </w:r>
      <w:r>
        <w:t>Technology investments shall include staffing and training sufficient to help users understand and operate services. An unattended device shall not be counted as meaningful access where users need assistance that the program fails to provide.</w:t>
      </w:r>
    </w:p>
    <w:p>
      <w:pPr>
        <w:pStyle w:val="LegalBody"/>
      </w:pPr>
      <w:r>
        <w:rPr>
          <w:b/>
        </w:rPr>
        <w:t xml:space="preserve">(e) Evaluation. </w:t>
      </w:r>
      <w:r>
        <w:t>Measures shall address accessibility, usable hours, unmet demand, learning support, and service reliability. Collection diversity and intellectual freedom shall be considered within applicable law, but this Act does not authorize a Federal official to direct the acquisition or removal of a particular expressive work because of agreement or disagreement with its viewpoint.</w:t>
      </w:r>
    </w:p>
    <w:p>
      <w:bookmarkStart w:id="78" w:name="SEC_709"/>
      <w:pPr>
        <w:pStyle w:val="Heading2"/>
      </w:pPr>
      <w:r>
        <w:t>SEC. 709. EDUCATIONAL TRANSITIONS AND PORTABLE SUPPORT.</w:t>
      </w:r>
      <w:bookmarkEnd w:id="78"/>
    </w:p>
    <w:p>
      <w:pPr>
        <w:pStyle w:val="LegalBody"/>
      </w:pPr>
      <w:r>
        <w:rPr>
          <w:b/>
        </w:rPr>
        <w:t xml:space="preserve">(a) Coordination. </w:t>
      </w:r>
      <w:r>
        <w:t>Grants may support transitions from early childhood to school, between schools, from secondary to postsecondary education, from education to work, and back to learning after interruption. Plans shall identify responsibility for records, accommodations, referrals, and time-sensitive applications.</w:t>
      </w:r>
    </w:p>
    <w:p>
      <w:pPr>
        <w:pStyle w:val="LegalBody"/>
      </w:pPr>
      <w:r>
        <w:rPr>
          <w:b/>
        </w:rPr>
        <w:t xml:space="preserve">(b) Student participation. </w:t>
      </w:r>
      <w:r>
        <w:t>A transition plan shall include the student's goals and preferences in an age-appropriate manner. A disability or prior academic difficulty shall not be treated as conclusive evidence that a particular pathway is unavailable where reasonable support could permit participation.</w:t>
      </w:r>
    </w:p>
    <w:p>
      <w:pPr>
        <w:pStyle w:val="LegalBody"/>
      </w:pPr>
      <w:r>
        <w:rPr>
          <w:b/>
        </w:rPr>
        <w:t xml:space="preserve">(c) Records. </w:t>
      </w:r>
      <w:r>
        <w:t>Transfer of records shall comply with privacy law and preserve essential accommodation and service information. A receiving institution shall not require a family to repeat an expensive assessment solely because information is stored in an incompatible system when the existing assessment is valid and legally usable.</w:t>
      </w:r>
    </w:p>
    <w:p>
      <w:pPr>
        <w:pStyle w:val="LegalBody"/>
      </w:pPr>
      <w:r>
        <w:rPr>
          <w:b/>
        </w:rPr>
        <w:t xml:space="preserve">(d) Practical information. </w:t>
      </w:r>
      <w:r>
        <w:t>Programs shall explain actual costs, transport, housing, scheduling, support services, accreditation, and application requirements. Referrals shall disclose financial relationships, and a recipient shall not steer participants toward a provider because of an undisclosed payment.</w:t>
      </w:r>
    </w:p>
    <w:p>
      <w:pPr>
        <w:pStyle w:val="LegalBody"/>
      </w:pPr>
      <w:r>
        <w:rPr>
          <w:b/>
        </w:rPr>
        <w:t xml:space="preserve">(e) Evaluation. </w:t>
      </w:r>
      <w:r>
        <w:t>Outcomes shall include successful continuity, reduced administrative barriers, and access to chosen pathways. A transition shall not be declared successful solely upon referral where the receiving service was unavailable, unaffordable, inaccessible, or unsuitable for the participant's needs.</w:t>
      </w:r>
    </w:p>
    <w:p>
      <w:bookmarkStart w:id="79" w:name="SEC_710"/>
      <w:pPr>
        <w:pStyle w:val="Heading2"/>
      </w:pPr>
      <w:r>
        <w:t>SEC. 710. EDUCATION PROGRAM REVIEW AND LIMITS.</w:t>
      </w:r>
      <w:bookmarkEnd w:id="79"/>
    </w:p>
    <w:p>
      <w:pPr>
        <w:pStyle w:val="LegalBody"/>
      </w:pPr>
      <w:r>
        <w:rPr>
          <w:b/>
        </w:rPr>
        <w:t xml:space="preserve">(a) Review. </w:t>
      </w:r>
      <w:r>
        <w:t>The Secretary of Education shall evaluate the portfolio under this title after 3 program years and contribute findings to the 5-year review. The evaluation shall assess learning, access, educator capacity, administrative burden, technology effects, and costs to institutions and households.</w:t>
      </w:r>
    </w:p>
    <w:p>
      <w:pPr>
        <w:pStyle w:val="LegalBody"/>
      </w:pPr>
      <w:r>
        <w:rPr>
          <w:b/>
        </w:rPr>
        <w:t xml:space="preserve">(b) Research standards. </w:t>
      </w:r>
      <w:r>
        <w:t>Studies shall use comparison methods appropriate to the question and shall disclose selection bias, attrition, implementation differences, and uncertainty. A result from a volunteer group or highly resourced institution shall not be described as universally applicable without supporting evidence.</w:t>
      </w:r>
    </w:p>
    <w:p>
      <w:pPr>
        <w:pStyle w:val="LegalBody"/>
      </w:pPr>
      <w:r>
        <w:rPr>
          <w:b/>
        </w:rPr>
        <w:t xml:space="preserve">(c) Continuation and correction. </w:t>
      </w:r>
      <w:r>
        <w:t>Recipients shall correct material accessibility, privacy, or safety deficiencies promptly. Funding may be modified or terminated under title XXVIII after required process, with a transition plan for students and protection of records.</w:t>
      </w:r>
    </w:p>
    <w:p>
      <w:pPr>
        <w:pStyle w:val="LegalBody"/>
      </w:pPr>
      <w:r>
        <w:rPr>
          <w:b/>
        </w:rPr>
        <w:t xml:space="preserve">(d) No general mandate. </w:t>
      </w:r>
      <w:r>
        <w:t>This title does not require national adoption of a teaching method, a school schedule, an examination, a curriculum, a four-year degree pathway, or an artificial intelligence system. A demonstration's favorable evaluation does not itself make participation mandatory.</w:t>
      </w:r>
    </w:p>
    <w:p>
      <w:pPr>
        <w:pStyle w:val="LegalBody"/>
      </w:pPr>
      <w:r>
        <w:rPr>
          <w:b/>
        </w:rPr>
        <w:t xml:space="preserve">(e) Public accounting. </w:t>
      </w:r>
      <w:r>
        <w:t>Reports shall distinguish appropriated resources, actual obligations, outlays, private contributions, unpaid labor, and claimed benefits. Evidence of increased enrollment or engagement shall not be presented as proof of durable learning or improved earnings. Materials produced with assistance shall clearly identify the program's actual scope and the limits of its findings.</w:t>
      </w:r>
    </w:p>
    <w:p>
      <w:bookmarkStart w:id="80" w:name="TITLE_VIII"/>
      <w:pPr>
        <w:pStyle w:val="Heading1"/>
        <w:pageBreakBefore/>
      </w:pPr>
      <w:r>
        <w:t>TITLE VIII. INTEGRATED HEALTHCARE, PREVENTION, AND FUNCTIONAL ABILITY</w:t>
      </w:r>
      <w:bookmarkEnd w:id="80"/>
    </w:p>
    <w:p>
      <w:bookmarkStart w:id="81" w:name="SEC_801"/>
      <w:pPr>
        <w:pStyle w:val="Heading2"/>
      </w:pPr>
      <w:r>
        <w:t>SEC. 801. HUMAN CAPABILITY HEALTH NETWORKS.</w:t>
      </w:r>
      <w:bookmarkEnd w:id="81"/>
    </w:p>
    <w:p>
      <w:pPr>
        <w:pStyle w:val="LegalBody"/>
      </w:pPr>
      <w:r>
        <w:rPr>
          <w:b/>
        </w:rPr>
        <w:t xml:space="preserve">(a) Establishment. </w:t>
      </w:r>
      <w:r>
        <w:t>The Secretary shall award grants to establish or strengthen coordinated health networks offering primary care, prevention, mental-health integration, rehabilitation referral, and navigation of existing lawful coverage. Eligible recipients include public providers, tribal health organizations, community health centers, and qualified nonprofit or public-private partnerships.</w:t>
      </w:r>
    </w:p>
    <w:p>
      <w:pPr>
        <w:pStyle w:val="LegalBody"/>
      </w:pPr>
      <w:r>
        <w:rPr>
          <w:b/>
        </w:rPr>
        <w:t xml:space="preserve">(b) Plan. </w:t>
      </w:r>
      <w:r>
        <w:t>Each network shall identify its service area, eligible population, existing resources, gaps, staffing, clinical governance, referral agreements, financial sustainability, and capacity limits. A network shall not be required to own every service it coordinates.</w:t>
      </w:r>
    </w:p>
    <w:p>
      <w:pPr>
        <w:pStyle w:val="LegalBody"/>
      </w:pPr>
      <w:r>
        <w:rPr>
          <w:b/>
        </w:rPr>
        <w:t xml:space="preserve">(c) Access. </w:t>
      </w:r>
      <w:r>
        <w:t>Services shall include accessible scheduling, language assistance, reasonable accommodations, and a method for obtaining human assistance. A person shall not be excluded solely because the person cannot use a digital portal or lacks a permanent address where an alternative contact method is feasible.</w:t>
      </w:r>
    </w:p>
    <w:p>
      <w:pPr>
        <w:pStyle w:val="LegalBody"/>
      </w:pPr>
      <w:r>
        <w:rPr>
          <w:b/>
        </w:rPr>
        <w:t xml:space="preserve">(d) Financing. </w:t>
      </w:r>
      <w:r>
        <w:t>Grants shall be drawn from the health and mental-health account. They may finance otherwise uncompensated coordination, capacity, and specified services but shall not pay a cost already reimbursed by another source. Existing coverage and eligibility law remain applicable.</w:t>
      </w:r>
    </w:p>
    <w:p>
      <w:pPr>
        <w:pStyle w:val="LegalBody"/>
      </w:pPr>
      <w:r>
        <w:rPr>
          <w:b/>
        </w:rPr>
        <w:t xml:space="preserve">(e) No insurance replacement. </w:t>
      </w:r>
      <w:r>
        <w:t>This title creates no general Federal insurance entitlement and does not change Medicare, Medicaid, private insurance, or other coverage benefits by implication. A recipient shall explain which services are funded, which require separate coverage, and what charges may apply before a nonemergency service is provided.</w:t>
      </w:r>
    </w:p>
    <w:p>
      <w:bookmarkStart w:id="82" w:name="SEC_802"/>
      <w:pPr>
        <w:pStyle w:val="Heading2"/>
      </w:pPr>
      <w:r>
        <w:t>SEC. 802. PRIMARY CARE, PREVENTION, AND SHARED DECISIONS.</w:t>
      </w:r>
      <w:bookmarkEnd w:id="82"/>
    </w:p>
    <w:p>
      <w:pPr>
        <w:pStyle w:val="LegalBody"/>
      </w:pPr>
      <w:r>
        <w:rPr>
          <w:b/>
        </w:rPr>
        <w:t xml:space="preserve">(a) Eligible services. </w:t>
      </w:r>
      <w:r>
        <w:t>Grants may support access to qualified primary care, preventive services supported by appropriate evidence, chronic-condition management, medication review, and coordination across specialists. Programs shall consider benefits, harms, patient preferences, and the consequences of overdiagnosis and overtreatment.</w:t>
      </w:r>
    </w:p>
    <w:p>
      <w:pPr>
        <w:pStyle w:val="LegalBody"/>
      </w:pPr>
      <w:r>
        <w:rPr>
          <w:b/>
        </w:rPr>
        <w:t xml:space="preserve">(b) Shared decisions. </w:t>
      </w:r>
      <w:r>
        <w:t>A funded provider shall communicate reasonable options, material uncertainty, likely burdens, and the option of declining or deferring an intervention where clinically appropriate. A performance target shall not override informed refusal or require unnecessary testing.</w:t>
      </w:r>
    </w:p>
    <w:p>
      <w:pPr>
        <w:pStyle w:val="LegalBody"/>
      </w:pPr>
      <w:r>
        <w:rPr>
          <w:b/>
        </w:rPr>
        <w:t xml:space="preserve">(c) Prevention plans. </w:t>
      </w:r>
      <w:r>
        <w:t>Plans may address vaccination, tobacco cessation, physical activity, nutrition, sleep, injury prevention, environmental exposure, and other relevant risks. Recommendations shall be individualized and shall distinguish a supported clinical intervention from a general wellness suggestion.</w:t>
      </w:r>
    </w:p>
    <w:p>
      <w:pPr>
        <w:pStyle w:val="LegalBody"/>
      </w:pPr>
      <w:r>
        <w:rPr>
          <w:b/>
        </w:rPr>
        <w:t xml:space="preserve">(d) Follow-up. </w:t>
      </w:r>
      <w:r>
        <w:t>Screening shall be offered with a credible pathway for confirmatory evaluation and treatment where indicated. A program shall not count a screening encounter as successful prevention while leaving an identified need without explanation or referral.</w:t>
      </w:r>
    </w:p>
    <w:p>
      <w:pPr>
        <w:pStyle w:val="LegalBody"/>
      </w:pPr>
      <w:r>
        <w:rPr>
          <w:b/>
        </w:rPr>
        <w:t xml:space="preserve">(e) Evaluation. </w:t>
      </w:r>
      <w:r>
        <w:t>Measures shall include continuity, appropriate use, access, patient experience, and clinically meaningful outcomes. The Secretary shall avoid incentives that encourage selection of healthier patients, unnecessary procedures, or inaccurate coding. This section does not modify State vaccination requirements, professional standards of care, or existing statutory recommendations and coverage rules.</w:t>
      </w:r>
    </w:p>
    <w:p>
      <w:bookmarkStart w:id="83" w:name="SEC_803"/>
      <w:pPr>
        <w:pStyle w:val="Heading2"/>
      </w:pPr>
      <w:r>
        <w:t>SEC. 803. CHRONIC CONDITIONS, MULTIMORBIDITY, AND COORDINATED CARE.</w:t>
      </w:r>
      <w:bookmarkEnd w:id="83"/>
    </w:p>
    <w:p>
      <w:pPr>
        <w:pStyle w:val="LegalBody"/>
      </w:pPr>
      <w:r>
        <w:rPr>
          <w:b/>
        </w:rPr>
        <w:t xml:space="preserve">(a) Care planning. </w:t>
      </w:r>
      <w:r>
        <w:t>A network may finance individualized coordination for persons with multiple or complex conditions. Plans shall identify the person's priorities, responsible clinicians, medication reconciliation, functional needs, available support, and procedures for transitions or deterioration.</w:t>
      </w:r>
    </w:p>
    <w:p>
      <w:pPr>
        <w:pStyle w:val="LegalBody"/>
      </w:pPr>
      <w:r>
        <w:rPr>
          <w:b/>
        </w:rPr>
        <w:t xml:space="preserve">(b) Burden. </w:t>
      </w:r>
      <w:r>
        <w:t>Providers shall consider the cumulative burden of appointments, treatment, transport, cost, and self-management. A person shall not be characterized as noncompliant without assessing whether recommendations are contradictory, inaccessible, unaffordable, or impracticable.</w:t>
      </w:r>
    </w:p>
    <w:p>
      <w:pPr>
        <w:pStyle w:val="LegalBody"/>
      </w:pPr>
      <w:r>
        <w:rPr>
          <w:b/>
        </w:rPr>
        <w:t xml:space="preserve">(c) Communication. </w:t>
      </w:r>
      <w:r>
        <w:t>With a lawful basis, networks shall facilitate timely sharing of relevant information among treating professionals and the patient. A shared record shall distinguish confirmed diagnoses, provisional findings, patient-reported information, and disputed entries.</w:t>
      </w:r>
    </w:p>
    <w:p>
      <w:pPr>
        <w:pStyle w:val="LegalBody"/>
      </w:pPr>
      <w:r>
        <w:rPr>
          <w:b/>
        </w:rPr>
        <w:t xml:space="preserve">(d) Support. </w:t>
      </w:r>
      <w:r>
        <w:t>Grants may finance care coordinators, community health workers, accessible education, and assistance obtaining lawful benefits. Personnel shall work within competence and shall not substitute for a licensed professional where clinical judgment is required.</w:t>
      </w:r>
    </w:p>
    <w:p>
      <w:pPr>
        <w:pStyle w:val="LegalBody"/>
      </w:pPr>
      <w:r>
        <w:rPr>
          <w:b/>
        </w:rPr>
        <w:t xml:space="preserve">(e) Evaluation. </w:t>
      </w:r>
      <w:r>
        <w:t>Outcomes shall include patient-defined goals, avoidable service interruptions, medication discrepancies, functional participation, and appropriate utilization. Reduced hospital use shall not be presumed beneficial where it reflects denied access, and increased use shall not be presumed failure where previously unmet needs are being addressed. Cost analyses shall identify expenditures shifted to families, unpaid caregivers, or another public program.</w:t>
      </w:r>
    </w:p>
    <w:p>
      <w:bookmarkStart w:id="84" w:name="SEC_804"/>
      <w:pPr>
        <w:pStyle w:val="Heading2"/>
      </w:pPr>
      <w:r>
        <w:t>SEC. 804. ORAL, VISION, HEARING, AND COMMUNICATION HEALTH.</w:t>
      </w:r>
      <w:bookmarkEnd w:id="84"/>
    </w:p>
    <w:p>
      <w:pPr>
        <w:pStyle w:val="LegalBody"/>
      </w:pPr>
      <w:r>
        <w:rPr>
          <w:b/>
        </w:rPr>
        <w:t xml:space="preserve">(a) Access initiatives. </w:t>
      </w:r>
      <w:r>
        <w:t>Grants may support screening, referral, preventive care, and navigation for oral, vision, hearing, and communication needs that materially affect daily functioning. Services shall be coordinated with existing coverage and delivered by appropriately qualified professionals.</w:t>
      </w:r>
    </w:p>
    <w:p>
      <w:pPr>
        <w:pStyle w:val="LegalBody"/>
      </w:pPr>
      <w:r>
        <w:rPr>
          <w:b/>
        </w:rPr>
        <w:t xml:space="preserve">(b) Equipment. </w:t>
      </w:r>
      <w:r>
        <w:t>Where assistance finances glasses, hearing devices, communication aids, or related equipment, the award shall include fitting, instruction, maintenance, repair, and a realistic replacement pathway. Device delivery without usability shall not be treated as completion of the service.</w:t>
      </w:r>
    </w:p>
    <w:p>
      <w:pPr>
        <w:pStyle w:val="LegalBody"/>
      </w:pPr>
      <w:r>
        <w:rPr>
          <w:b/>
        </w:rPr>
        <w:t xml:space="preserve">(c) Communication choice. </w:t>
      </w:r>
      <w:r>
        <w:t>A person may choose an appropriate communication method, including sign language or assistive communication. A program shall not require a person to adopt a device or abandon a language community as a condition of receiving unrelated care.</w:t>
      </w:r>
    </w:p>
    <w:p>
      <w:pPr>
        <w:pStyle w:val="LegalBody"/>
      </w:pPr>
      <w:r>
        <w:rPr>
          <w:b/>
        </w:rPr>
        <w:t xml:space="preserve">(d) Access barriers. </w:t>
      </w:r>
      <w:r>
        <w:t>Projects may address mobile services, school and community referrals, accessible dental care, and coordination for persons unable to travel easily. Commercial sponsorship and referral relationships shall be disclosed, and recommendations shall not depend on sales incentives.</w:t>
      </w:r>
    </w:p>
    <w:p>
      <w:pPr>
        <w:pStyle w:val="LegalBody"/>
      </w:pPr>
      <w:r>
        <w:rPr>
          <w:b/>
        </w:rPr>
        <w:t xml:space="preserve">(e) Evaluation. </w:t>
      </w:r>
      <w:r>
        <w:t>Measures shall assess timely treatment after screening, pain or functional need, device usability, communication access, and participant experience. The program shall not describe a cosmetic preference as a medical necessity or use a simplified sensory score to infer intelligence, competence, or entitlement to participate in public life.</w:t>
      </w:r>
    </w:p>
    <w:p>
      <w:bookmarkStart w:id="85" w:name="SEC_805"/>
      <w:pPr>
        <w:pStyle w:val="Heading2"/>
      </w:pPr>
      <w:r>
        <w:t>SEC. 805. REHABILITATION, HABILITATION, PAIN, AND ASSISTIVE TECHNOLOGY.</w:t>
      </w:r>
      <w:bookmarkEnd w:id="85"/>
    </w:p>
    <w:p>
      <w:pPr>
        <w:pStyle w:val="LegalBody"/>
      </w:pPr>
      <w:r>
        <w:rPr>
          <w:b/>
        </w:rPr>
        <w:t xml:space="preserve">(a) Services. </w:t>
      </w:r>
      <w:r>
        <w:t>Networks may support referral and access coordination for rehabilitation, habilitation, physical and occupational therapy, speech-language services, pain care, and assistive technology. Goals shall reflect the individual's priorities and clinical circumstances rather than a requirement to approximate a nondisabled norm.</w:t>
      </w:r>
    </w:p>
    <w:p>
      <w:pPr>
        <w:pStyle w:val="LegalBody"/>
      </w:pPr>
      <w:r>
        <w:rPr>
          <w:b/>
        </w:rPr>
        <w:t xml:space="preserve">(b) Individualization. </w:t>
      </w:r>
      <w:r>
        <w:t>Providers shall explain expected benefits, burdens, alternatives, and uncertainty. A person shall not be denied appropriate symptom relief because a program favors behavioral or technological solutions, nor pressured into an invasive intervention because it is commercially promoted as enhancement.</w:t>
      </w:r>
    </w:p>
    <w:p>
      <w:pPr>
        <w:pStyle w:val="LegalBody"/>
      </w:pPr>
      <w:r>
        <w:rPr>
          <w:b/>
        </w:rPr>
        <w:t xml:space="preserve">(c) Equipment lifecycle. </w:t>
      </w:r>
      <w:r>
        <w:t>Procurement shall consider compatibility, training, consumables, repair, software support, cybersecurity, portability, and ownership or return terms. A proprietary subscription shall not disable an essential funded function without an orderly continuity arrangement.</w:t>
      </w:r>
    </w:p>
    <w:p>
      <w:pPr>
        <w:pStyle w:val="LegalBody"/>
      </w:pPr>
      <w:r>
        <w:rPr>
          <w:b/>
        </w:rPr>
        <w:t xml:space="preserve">(d) Coordination. </w:t>
      </w:r>
      <w:r>
        <w:t>Services shall integrate with home, school, work, and transportation accommodations where appropriate and lawfully permitted. Clinical records shall not be disclosed beyond the information necessary to arrange an accommodation.</w:t>
      </w:r>
    </w:p>
    <w:p>
      <w:pPr>
        <w:pStyle w:val="LegalBody"/>
      </w:pPr>
      <w:r>
        <w:rPr>
          <w:b/>
        </w:rPr>
        <w:t xml:space="preserve">(e) Evaluation. </w:t>
      </w:r>
      <w:r>
        <w:t>Outcomes may include comfort, communication, mobility, independence with support, participation, and avoidance of preventable deterioration. Improvement is not the only legitimate goal; maintaining function or reducing burden may be clinically meaningful. A recipient shall not terminate an otherwise authorized service solely because a person has reached a plateau where continued care remains necessary and funded eligibility is satisfied.</w:t>
      </w:r>
    </w:p>
    <w:p>
      <w:bookmarkStart w:id="86" w:name="SEC_806"/>
      <w:pPr>
        <w:pStyle w:val="Heading2"/>
      </w:pPr>
      <w:r>
        <w:t>SEC. 806. TELEHEALTH, DIGITAL THERAPEUTICS, AND HUMAN ACCESS.</w:t>
      </w:r>
      <w:bookmarkEnd w:id="86"/>
    </w:p>
    <w:p>
      <w:pPr>
        <w:pStyle w:val="LegalBody"/>
      </w:pPr>
      <w:r>
        <w:rPr>
          <w:b/>
        </w:rPr>
        <w:t xml:space="preserve">(a) Appropriate use. </w:t>
      </w:r>
      <w:r>
        <w:t>Grants may support telehealth and validated digital therapeutic tools where they improve access or quality. A provider shall assess whether the service can be delivered safely in the chosen format, whether examination or testing is needed, and whether the patient can communicate privately.</w:t>
      </w:r>
    </w:p>
    <w:p>
      <w:pPr>
        <w:pStyle w:val="LegalBody"/>
      </w:pPr>
      <w:r>
        <w:rPr>
          <w:b/>
        </w:rPr>
        <w:t xml:space="preserve">(b) In-person pathway. </w:t>
      </w:r>
      <w:r>
        <w:t>A network shall maintain a referral route for in-person care where clinically necessary or where digital delivery is inaccessible. This requirement does not compel every site to maintain every specialty but does require an actual arrangement rather than a generic instruction to seek care elsewhere.</w:t>
      </w:r>
    </w:p>
    <w:p>
      <w:pPr>
        <w:pStyle w:val="LegalBody"/>
      </w:pPr>
      <w:r>
        <w:rPr>
          <w:b/>
        </w:rPr>
        <w:t xml:space="preserve">(c) Product claims. </w:t>
      </w:r>
      <w:r>
        <w:t>A tool's regulatory status, intended use, evidence, limitations, and need for professional oversight shall be disclosed. A wellness application shall not be represented as approved treatment merely because it is included in a publicly funded program.</w:t>
      </w:r>
    </w:p>
    <w:p>
      <w:pPr>
        <w:pStyle w:val="LegalBody"/>
      </w:pPr>
      <w:r>
        <w:rPr>
          <w:b/>
        </w:rPr>
        <w:t xml:space="preserve">(d) Data and safety. </w:t>
      </w:r>
      <w:r>
        <w:t>Contracts shall address confidentiality, incident response, model changes, record access, and continuity if the vendor exits. A patient shall not be required to permit unrelated commercial training or advertising to obtain a funded essential service.</w:t>
      </w:r>
    </w:p>
    <w:p>
      <w:pPr>
        <w:pStyle w:val="LegalBody"/>
      </w:pPr>
      <w:r>
        <w:rPr>
          <w:b/>
        </w:rPr>
        <w:t xml:space="preserve">(e) Evaluation. </w:t>
      </w:r>
      <w:r>
        <w:t>Measures shall include clinical outcomes, diagnostic error, accessibility, missed care, patient experience, workforce burden, and total costs. Increased appointment volume or application engagement alone does not establish improved health or justify replacing qualified human care.</w:t>
      </w:r>
    </w:p>
    <w:p>
      <w:bookmarkStart w:id="87" w:name="SEC_807"/>
      <w:pPr>
        <w:pStyle w:val="Heading2"/>
      </w:pPr>
      <w:r>
        <w:t>SEC. 807. CLINICAL WORKFORCE AND COMMUNITY HEALTH CAPACITY.</w:t>
      </w:r>
      <w:bookmarkEnd w:id="87"/>
    </w:p>
    <w:p>
      <w:pPr>
        <w:pStyle w:val="LegalBody"/>
      </w:pPr>
      <w:r>
        <w:rPr>
          <w:b/>
        </w:rPr>
        <w:t xml:space="preserve">(a) Grants. </w:t>
      </w:r>
      <w:r>
        <w:t>Assistance may support training, supervised placements, retention, team-based practice, and community health roles addressing documented shortages. Awards shall coordinate with existing workforce programs and professional licensing authorities.</w:t>
      </w:r>
    </w:p>
    <w:p>
      <w:pPr>
        <w:pStyle w:val="LegalBody"/>
      </w:pPr>
      <w:r>
        <w:rPr>
          <w:b/>
        </w:rPr>
        <w:t xml:space="preserve">(b) Workforce conditions. </w:t>
      </w:r>
      <w:r>
        <w:t>A recipient shall identify workload, supervision, safety, rest, and administrative demands. Expansion shall not rely on unsafe staffing, unpaid required work, or assignment of tasks beyond competence. Technology savings shall be verified before staffing is reduced on the assumption that automation can replace professional judgment.</w:t>
      </w:r>
    </w:p>
    <w:p>
      <w:pPr>
        <w:pStyle w:val="LegalBody"/>
      </w:pPr>
      <w:r>
        <w:rPr>
          <w:b/>
        </w:rPr>
        <w:t xml:space="preserve">(c) Access and inclusion. </w:t>
      </w:r>
      <w:r>
        <w:t>Training pathways shall be accessible to qualified persons with disabilities and shall include language and cultural competence relevant to the population served. No individual shall be excluded from a role based on a generalized assumption about a protected characteristic.</w:t>
      </w:r>
    </w:p>
    <w:p>
      <w:pPr>
        <w:pStyle w:val="LegalBody"/>
      </w:pPr>
      <w:r>
        <w:rPr>
          <w:b/>
        </w:rPr>
        <w:t xml:space="preserve">(d) Community roles. </w:t>
      </w:r>
      <w:r>
        <w:t>Community health workers and peer personnel shall receive clear duties, compensation, supervision, confidentiality training, and escalation pathways. Their community relationships shall not be exploited to collect information that a clinical institution could not lawfully obtain directly.</w:t>
      </w:r>
    </w:p>
    <w:p>
      <w:pPr>
        <w:pStyle w:val="LegalBody"/>
      </w:pPr>
      <w:r>
        <w:rPr>
          <w:b/>
        </w:rPr>
        <w:t xml:space="preserve">(e) Evaluation. </w:t>
      </w:r>
      <w:r>
        <w:t>Programs shall report actual retention, service capacity, supervision quality, and distribution of personnel. Completion of training shall not be presented as increased access unless graduates enter or remain in relevant service. Any service obligation tied to financial assistance shall be disclosed in advance and administered with fair hardship and disability procedures.</w:t>
      </w:r>
    </w:p>
    <w:p>
      <w:bookmarkStart w:id="88" w:name="SEC_808"/>
      <w:pPr>
        <w:pStyle w:val="Heading2"/>
      </w:pPr>
      <w:r>
        <w:t>SEC. 808. HEALTH LITERACY, NAVIGATION, AND COMMERCIAL INDEPENDENCE.</w:t>
      </w:r>
      <w:bookmarkEnd w:id="88"/>
    </w:p>
    <w:p>
      <w:pPr>
        <w:pStyle w:val="LegalBody"/>
      </w:pPr>
      <w:r>
        <w:rPr>
          <w:b/>
        </w:rPr>
        <w:t xml:space="preserve">(a) Navigation. </w:t>
      </w:r>
      <w:r>
        <w:t>Grants may support assistance understanding coverage, appointments, referrals, bills, consent, and available complaints. Navigators shall explain their role and shall not provide legal or clinical advice beyond their qualifications.</w:t>
      </w:r>
    </w:p>
    <w:p>
      <w:pPr>
        <w:pStyle w:val="LegalBody"/>
      </w:pPr>
      <w:r>
        <w:rPr>
          <w:b/>
        </w:rPr>
        <w:t xml:space="preserve">(b) Information quality. </w:t>
      </w:r>
      <w:r>
        <w:t>Materials shall distinguish established treatment, promising research, unsupported claims, and known risks. Absolute risks and practical burdens shall be explained where reasonably available. A recipient shall not use fear, false urgency, or a guarantee of outcome to secure participation.</w:t>
      </w:r>
    </w:p>
    <w:p>
      <w:pPr>
        <w:pStyle w:val="LegalBody"/>
      </w:pPr>
      <w:r>
        <w:rPr>
          <w:b/>
        </w:rPr>
        <w:t xml:space="preserve">(c) Commercial interests. </w:t>
      </w:r>
      <w:r>
        <w:t>Sponsorship, referral fees, ownership interests, and material vendor relationships shall be disclosed. A navigator shall not steer a person toward a product or provider because of an undisclosed financial benefit.</w:t>
      </w:r>
    </w:p>
    <w:p>
      <w:pPr>
        <w:pStyle w:val="LegalBody"/>
      </w:pPr>
      <w:r>
        <w:rPr>
          <w:b/>
        </w:rPr>
        <w:t xml:space="preserve">(d) Accessibility. </w:t>
      </w:r>
      <w:r>
        <w:t>Information shall be available in formats suited to literacy, language, vision, hearing, and cognitive needs. A person may request a chosen supporter, subject to privacy and safety considerations. The provider shall verify understanding without humiliating the person or treating limited literacy as incapacity.</w:t>
      </w:r>
    </w:p>
    <w:p>
      <w:pPr>
        <w:pStyle w:val="LegalBody"/>
      </w:pPr>
      <w:r>
        <w:rPr>
          <w:b/>
        </w:rPr>
        <w:t xml:space="preserve">(e) Evaluation. </w:t>
      </w:r>
      <w:r>
        <w:t>Programs shall assess whether people can act on information, obtain services, and resolve problems. Distribution of brochures or completion of an online module is not sufficient evidence of meaningful navigation. Recurrent confusion about a program's own rules shall prompt simplification of those rules or communications where lawful, rather than additional demands on the patient alone.</w:t>
      </w:r>
    </w:p>
    <w:p>
      <w:bookmarkStart w:id="89" w:name="SEC_809"/>
      <w:pPr>
        <w:pStyle w:val="Heading2"/>
      </w:pPr>
      <w:r>
        <w:t>SEC. 809. QUALITY, PATIENT SAFETY, AND LEARNING SYSTEMS.</w:t>
      </w:r>
      <w:bookmarkEnd w:id="89"/>
    </w:p>
    <w:p>
      <w:pPr>
        <w:pStyle w:val="LegalBody"/>
      </w:pPr>
      <w:r>
        <w:rPr>
          <w:b/>
        </w:rPr>
        <w:t xml:space="preserve">(a) Safety plan. </w:t>
      </w:r>
      <w:r>
        <w:t>Each funded clinical network shall maintain procedures for reporting and reviewing adverse events, near misses, medication errors, diagnostic delays, and service failures. Reporting shall support corrective action while preserving applicable legal rights and confidentiality protections.</w:t>
      </w:r>
    </w:p>
    <w:p>
      <w:pPr>
        <w:pStyle w:val="LegalBody"/>
      </w:pPr>
      <w:r>
        <w:rPr>
          <w:b/>
        </w:rPr>
        <w:t xml:space="preserve">(b) Patient involvement. </w:t>
      </w:r>
      <w:r>
        <w:t>Patients shall receive timely, accurate information about a material error affecting their care, consistent with professional duties and applicable law. A complaint shall not be dismissed solely because it conflicts with an automated record or a provider's initial account.</w:t>
      </w:r>
    </w:p>
    <w:p>
      <w:pPr>
        <w:pStyle w:val="LegalBody"/>
      </w:pPr>
      <w:r>
        <w:rPr>
          <w:b/>
        </w:rPr>
        <w:t xml:space="preserve">(c) Learning activities. </w:t>
      </w:r>
      <w:r>
        <w:t>Quality improvement shall be distinguished from research. A recipient shall obtain required ethics review and consent when an activity meets the applicable research standard, and shall not use a learning-system label to justify uncontrolled experimentation.</w:t>
      </w:r>
    </w:p>
    <w:p>
      <w:pPr>
        <w:pStyle w:val="LegalBody"/>
      </w:pPr>
      <w:r>
        <w:rPr>
          <w:b/>
        </w:rPr>
        <w:t xml:space="preserve">(d) Measures. </w:t>
      </w:r>
      <w:r>
        <w:t>Quality measures shall be clinically relevant, reasonably attributable to the provider, and assessed for incentives to avoid complex patients. Data burden shall be proportionate, and duplicate reporting shall be reduced where legally possible.</w:t>
      </w:r>
    </w:p>
    <w:p>
      <w:pPr>
        <w:pStyle w:val="LegalBody"/>
      </w:pPr>
      <w:r>
        <w:rPr>
          <w:b/>
        </w:rPr>
        <w:t xml:space="preserve">(e) Correction. </w:t>
      </w:r>
      <w:r>
        <w:t>Serious recurring failures may result in corrective conditions, suspension of new enrollment, or other remedies under title XXVIII. Immediate protective action shall be narrowly tailored and accompanied by continuity arrangements for affected patients. A safety intervention shall not be used to suppress accurate reporting of unfavorable outcomes.</w:t>
      </w:r>
    </w:p>
    <w:p>
      <w:bookmarkStart w:id="90" w:name="SEC_810"/>
      <w:pPr>
        <w:pStyle w:val="Heading2"/>
      </w:pPr>
      <w:r>
        <w:t>SEC. 810. HEALTH PROGRAM FINANCIAL AND OUTCOME REVIEW.</w:t>
      </w:r>
      <w:bookmarkEnd w:id="90"/>
    </w:p>
    <w:p>
      <w:pPr>
        <w:pStyle w:val="LegalBody"/>
      </w:pPr>
      <w:r>
        <w:rPr>
          <w:b/>
        </w:rPr>
        <w:t xml:space="preserve">(a) Financial controls. </w:t>
      </w:r>
      <w:r>
        <w:t>Recipients shall identify costs paid by this Act, other Federal programs, insurers, patients, and private contributions. The same service unit shall not be billed twice. Coordination grants may pay distinct unreimbursed functions where documented.</w:t>
      </w:r>
    </w:p>
    <w:p>
      <w:pPr>
        <w:pStyle w:val="LegalBody"/>
      </w:pPr>
      <w:r>
        <w:rPr>
          <w:b/>
        </w:rPr>
        <w:t xml:space="preserve">(b) Evaluation. </w:t>
      </w:r>
      <w:r>
        <w:t>Independent evaluation shall assess access, quality, patient-defined function, health outcomes, workforce, total resource use, and distributional effects. Savings shall be reported by payer and shall not be assumed transferable to the Federal Treasury without evidence.</w:t>
      </w:r>
    </w:p>
    <w:p>
      <w:pPr>
        <w:pStyle w:val="LegalBody"/>
      </w:pPr>
      <w:r>
        <w:rPr>
          <w:b/>
        </w:rPr>
        <w:t xml:space="preserve">(c) Coverage gaps. </w:t>
      </w:r>
      <w:r>
        <w:t>The Secretary shall report needs that remain because this title does not establish comprehensive coverage. A report may identify legislative options but shall not represent an unfunded recommendation as an available benefit.</w:t>
      </w:r>
    </w:p>
    <w:p>
      <w:pPr>
        <w:pStyle w:val="LegalBody"/>
      </w:pPr>
      <w:r>
        <w:rPr>
          <w:b/>
        </w:rPr>
        <w:t xml:space="preserve">(d) Continuation. </w:t>
      </w:r>
      <w:r>
        <w:t>An award shall include plans for completion of authorized treatment courses, transfer of records, maintenance of essential equipment, and referral when the award ends. No agency shall obligate funds beyond lawful availability to preserve a program announcement.</w:t>
      </w:r>
    </w:p>
    <w:p>
      <w:pPr>
        <w:pStyle w:val="LegalBody"/>
      </w:pPr>
      <w:r>
        <w:rPr>
          <w:b/>
        </w:rPr>
        <w:t xml:space="preserve">(e) Review. </w:t>
      </w:r>
      <w:r>
        <w:t>At the 5-year review, the Secretary shall identify which activities have credible evidence of benefit, which require modification, and which should not be expanded without further study. Such findings shall be advisory for future appropriations and shall not themselves terminate an individual's benefit under another statute or change a professional standard of care.</w:t>
      </w:r>
    </w:p>
    <w:p>
      <w:bookmarkStart w:id="91" w:name="TITLE_IX"/>
      <w:pPr>
        <w:pStyle w:val="Heading1"/>
        <w:pageBreakBefore/>
      </w:pPr>
      <w:r>
        <w:t>TITLE IX. MENTAL HEALTH, TRAUMA, ADDICTION, AND PSYCHOLOGICAL SUPPORT</w:t>
      </w:r>
      <w:bookmarkEnd w:id="91"/>
    </w:p>
    <w:p>
      <w:bookmarkStart w:id="92" w:name="SEC_901"/>
      <w:pPr>
        <w:pStyle w:val="Heading2"/>
      </w:pPr>
      <w:r>
        <w:t>SEC. 901. COMMUNITY MENTAL-HEALTH ACCESS PROGRAM.</w:t>
      </w:r>
      <w:bookmarkEnd w:id="92"/>
    </w:p>
    <w:p>
      <w:pPr>
        <w:pStyle w:val="LegalBody"/>
      </w:pPr>
      <w:r>
        <w:rPr>
          <w:b/>
        </w:rPr>
        <w:t xml:space="preserve">(a) Grants. </w:t>
      </w:r>
      <w:r>
        <w:t>The Secretary shall support accessible community mental-health services, integration with primary care, qualified workforce development, and referral networks. Programs shall serve identified needs without treating ordinary disagreement, sadness, grief, solitude, or cultural difference as a disorder solely because it differs from an agency's preferred norm.</w:t>
      </w:r>
    </w:p>
    <w:p>
      <w:pPr>
        <w:pStyle w:val="LegalBody"/>
      </w:pPr>
      <w:r>
        <w:rPr>
          <w:b/>
        </w:rPr>
        <w:t xml:space="preserve">(b) Service plans. </w:t>
      </w:r>
      <w:r>
        <w:t>Applications shall identify clinical scope, eligibility, staffing, supervision, crisis arrangements, evidence, language access, disability accommodations, privacy, and continuity. A provider shall explain limits on capacity and available alternatives rather than maintain an unacknowledged waiting list.</w:t>
      </w:r>
    </w:p>
    <w:p>
      <w:pPr>
        <w:pStyle w:val="LegalBody"/>
      </w:pPr>
      <w:r>
        <w:rPr>
          <w:b/>
        </w:rPr>
        <w:t xml:space="preserve">(c) Choice. </w:t>
      </w:r>
      <w:r>
        <w:t>Participants shall receive information about appropriate therapeutic options, expected burdens, costs, and the role of medication where relevant. A program shall not require one modality for every person or promise cure from a single intervention.</w:t>
      </w:r>
    </w:p>
    <w:p>
      <w:pPr>
        <w:pStyle w:val="LegalBody"/>
      </w:pPr>
      <w:r>
        <w:rPr>
          <w:b/>
        </w:rPr>
        <w:t xml:space="preserve">(d) Integration. </w:t>
      </w:r>
      <w:r>
        <w:t>Services may coordinate with housing, employment, education, and social support where the person agrees or another lawful basis applies. Coordination shall not turn a clinical diagnosis into a general eligibility label shared across unrelated systems.</w:t>
      </w:r>
    </w:p>
    <w:p>
      <w:pPr>
        <w:pStyle w:val="LegalBody"/>
      </w:pPr>
      <w:r>
        <w:rPr>
          <w:b/>
        </w:rPr>
        <w:t xml:space="preserve">(e) Funding. </w:t>
      </w:r>
      <w:r>
        <w:t>Activities shall be financed from the health and mental-health account. Grants supplement existing lawful services and do not create authority for involuntary treatment, confinement, compulsory disclosure, or practice outside professional competence.</w:t>
      </w:r>
    </w:p>
    <w:p>
      <w:bookmarkStart w:id="93" w:name="SEC_902"/>
      <w:pPr>
        <w:pStyle w:val="Heading2"/>
      </w:pPr>
      <w:r>
        <w:t>SEC. 902. VOLUNTARY CRISIS RESPONSE AND CONTINUITY.</w:t>
      </w:r>
      <w:bookmarkEnd w:id="93"/>
    </w:p>
    <w:p>
      <w:pPr>
        <w:pStyle w:val="LegalBody"/>
      </w:pPr>
      <w:r>
        <w:rPr>
          <w:b/>
        </w:rPr>
        <w:t xml:space="preserve">(a) Networks. </w:t>
      </w:r>
      <w:r>
        <w:t>Grants may support crisis lines, mobile clinical response, stabilization, peer assistance, and timely follow-up. Plans shall define dispatch criteria, staff qualifications, medical consultation, safety procedures, and coordination with emergency services.</w:t>
      </w:r>
    </w:p>
    <w:p>
      <w:pPr>
        <w:pStyle w:val="LegalBody"/>
      </w:pPr>
      <w:r>
        <w:rPr>
          <w:b/>
        </w:rPr>
        <w:t xml:space="preserve">(b) Least restrictive response. </w:t>
      </w:r>
      <w:r>
        <w:t>A funded service shall seek a safe, clinically appropriate response that preserves voluntary participation where possible. Law enforcement involvement shall be based on an actual safety or legal need, not the mere presence of a mental-health diagnosis.</w:t>
      </w:r>
    </w:p>
    <w:p>
      <w:pPr>
        <w:pStyle w:val="LegalBody"/>
      </w:pPr>
      <w:r>
        <w:rPr>
          <w:b/>
        </w:rPr>
        <w:t xml:space="preserve">(c) Legal limits. </w:t>
      </w:r>
      <w:r>
        <w:t>This Act does not expand civil commitment, search, detention, or emergency treatment authority. Any involuntary action shall satisfy applicable law, individualized assessment, required notice, and judicial or other review.</w:t>
      </w:r>
    </w:p>
    <w:p>
      <w:pPr>
        <w:pStyle w:val="LegalBody"/>
      </w:pPr>
      <w:r>
        <w:rPr>
          <w:b/>
        </w:rPr>
        <w:t xml:space="preserve">(d) Follow-up. </w:t>
      </w:r>
      <w:r>
        <w:t>A crisis encounter shall include a plan for medication continuity where relevant, transport, a responsible contact, and an actual referral. A person shall not be discharged to an unavailable service without an explanation and reasonable alternative planning.</w:t>
      </w:r>
    </w:p>
    <w:p>
      <w:pPr>
        <w:pStyle w:val="LegalBody"/>
      </w:pPr>
      <w:r>
        <w:rPr>
          <w:b/>
        </w:rPr>
        <w:t xml:space="preserve">(e) Evaluation. </w:t>
      </w:r>
      <w:r>
        <w:t>Measures shall include safety, timeliness, participant experience, repeat crisis, avoidable detention, and continuity. Reduced emergency attendance shall not be treated as success where it results from barriers to seeking help. Programs shall publish aggregate outcomes and complaints while protecting the identities of callers and persons receiving care.</w:t>
      </w:r>
    </w:p>
    <w:p>
      <w:bookmarkStart w:id="94" w:name="SEC_903"/>
      <w:pPr>
        <w:pStyle w:val="Heading2"/>
      </w:pPr>
      <w:r>
        <w:t>SEC. 903. SUICIDE PREVENTION AND RESPONSIBLE SAFETY PRACTICES.</w:t>
      </w:r>
      <w:bookmarkEnd w:id="94"/>
    </w:p>
    <w:p>
      <w:pPr>
        <w:pStyle w:val="LegalBody"/>
      </w:pPr>
      <w:r>
        <w:rPr>
          <w:b/>
        </w:rPr>
        <w:t xml:space="preserve">(a) Activities. </w:t>
      </w:r>
      <w:r>
        <w:t>Assistance may support evidence-informed prevention, gatekeeper training, crisis access, follow-up after acute care, support after a death, and clinically appropriate safety planning. Materials shall be developed with qualified expertise and shall avoid sensationalized or unnecessarily detailed descriptions of methods.</w:t>
      </w:r>
    </w:p>
    <w:p>
      <w:pPr>
        <w:pStyle w:val="LegalBody"/>
      </w:pPr>
      <w:r>
        <w:rPr>
          <w:b/>
        </w:rPr>
        <w:t xml:space="preserve">(b) Assessment. </w:t>
      </w:r>
      <w:r>
        <w:t>A screening tool shall not substitute for qualified evaluation or establish an irrebuttable prediction of an individual's conduct. Providers shall consider context, protective factors, expressed needs, and the limits of predictive models.</w:t>
      </w:r>
    </w:p>
    <w:p>
      <w:pPr>
        <w:pStyle w:val="LegalBody"/>
      </w:pPr>
      <w:r>
        <w:rPr>
          <w:b/>
        </w:rPr>
        <w:t xml:space="preserve">(c) Privacy. </w:t>
      </w:r>
      <w:r>
        <w:t>A recipient shall not conduct indiscriminate monitoring of private communications, location, or neural activity to predict self-harm. Any use of personal information shall have a specific lawful basis, be proportionate, and comply with titles XVIII, XX, and XXV where applicable.</w:t>
      </w:r>
    </w:p>
    <w:p>
      <w:pPr>
        <w:pStyle w:val="LegalBody"/>
      </w:pPr>
      <w:r>
        <w:rPr>
          <w:b/>
        </w:rPr>
        <w:t xml:space="preserve">(d) Response. </w:t>
      </w:r>
      <w:r>
        <w:t>A person seeking help shall receive a clear explanation of confidentiality and emergency limits. Disclosure without consent shall be restricted to circumstances permitted or required by law and to information necessary for the protective purpose.</w:t>
      </w:r>
    </w:p>
    <w:p>
      <w:pPr>
        <w:pStyle w:val="LegalBody"/>
      </w:pPr>
      <w:r>
        <w:rPr>
          <w:b/>
        </w:rPr>
        <w:t xml:space="preserve">(e) Evaluation. </w:t>
      </w:r>
      <w:r>
        <w:t>Programs shall assess timely access, follow-up completion, acceptability, and unintended deterrence from help-seeking. A reduction in disclosures shall not be interpreted automatically as reduced risk. Claims that a technology prevents suicide shall be supported by evidence appropriate to that claim and shall not be based solely on engagement or model accuracy measures.</w:t>
      </w:r>
    </w:p>
    <w:p>
      <w:bookmarkStart w:id="95" w:name="SEC_904"/>
      <w:pPr>
        <w:pStyle w:val="Heading2"/>
      </w:pPr>
      <w:r>
        <w:t>SEC. 904. TRAUMA-INFORMED AND CULTURALLY RESPONSIVE SUPPORT.</w:t>
      </w:r>
      <w:bookmarkEnd w:id="95"/>
    </w:p>
    <w:p>
      <w:pPr>
        <w:pStyle w:val="LegalBody"/>
      </w:pPr>
      <w:r>
        <w:rPr>
          <w:b/>
        </w:rPr>
        <w:t xml:space="preserve">(a) Practice. </w:t>
      </w:r>
      <w:r>
        <w:t>Funded services shall promote safety, clear expectations, respectful communication, choice, and avoidance of unnecessary repetition of traumatic accounts. A trauma-informed designation shall describe actual practices and training rather than serve as an unverified marketing label.</w:t>
      </w:r>
    </w:p>
    <w:p>
      <w:pPr>
        <w:pStyle w:val="LegalBody"/>
      </w:pPr>
      <w:r>
        <w:rPr>
          <w:b/>
        </w:rPr>
        <w:t xml:space="preserve">(b) Individual variation. </w:t>
      </w:r>
      <w:r>
        <w:t>Exposure to a difficult event does not establish that every person will develop the same symptoms or require the same treatment. Providers shall assess current needs and preferences and shall avoid defining an individual permanently by an adversity history.</w:t>
      </w:r>
    </w:p>
    <w:p>
      <w:pPr>
        <w:pStyle w:val="LegalBody"/>
      </w:pPr>
      <w:r>
        <w:rPr>
          <w:b/>
        </w:rPr>
        <w:t xml:space="preserve">(c) Cultural context. </w:t>
      </w:r>
      <w:r>
        <w:t>Services shall offer competent language assistance and consider cultural meanings of distress, healing, family, and community. Cultural responsiveness does not authorize a practice that violates consent, safety, or nondiscrimination requirements.</w:t>
      </w:r>
    </w:p>
    <w:p>
      <w:pPr>
        <w:pStyle w:val="LegalBody"/>
      </w:pPr>
      <w:r>
        <w:rPr>
          <w:b/>
        </w:rPr>
        <w:t xml:space="preserve">(d) Evidence. </w:t>
      </w:r>
      <w:r>
        <w:t>Treatment claims shall be supported by appropriate research. A program may evaluate a promising approach with proper safeguards but shall disclose its experimental status. A historical or traditional origin does not by itself establish clinical effectiveness.</w:t>
      </w:r>
    </w:p>
    <w:p>
      <w:pPr>
        <w:pStyle w:val="LegalBody"/>
      </w:pPr>
      <w:r>
        <w:rPr>
          <w:b/>
        </w:rPr>
        <w:t xml:space="preserve">(e) Boundaries. </w:t>
      </w:r>
      <w:r>
        <w:t>Participation in a group, disclosure of an experience, reconciliation with another person, or acceptance of a spiritual interpretation shall not be required to obtain unrelated services. Providers shall maintain referral options where a participant's needs exceed the program's competence or where the participant reasonably prefers another approach.</w:t>
      </w:r>
    </w:p>
    <w:p>
      <w:bookmarkStart w:id="96" w:name="SEC_905"/>
      <w:pPr>
        <w:pStyle w:val="Heading2"/>
      </w:pPr>
      <w:r>
        <w:t>SEC. 905. SUBSTANCE-USE PREVENTION, TREATMENT, AND RECOVERY.</w:t>
      </w:r>
      <w:bookmarkEnd w:id="96"/>
    </w:p>
    <w:p>
      <w:pPr>
        <w:pStyle w:val="LegalBody"/>
      </w:pPr>
      <w:r>
        <w:rPr>
          <w:b/>
        </w:rPr>
        <w:t xml:space="preserve">(a) Services. </w:t>
      </w:r>
      <w:r>
        <w:t>Grants may support evidence-based prevention, screening with referral, lawful medication treatment, counseling, recovery support, overdose prevention, and treatment of co-occurring conditions. Services shall be delivered within applicable Federal and State law.</w:t>
      </w:r>
    </w:p>
    <w:p>
      <w:pPr>
        <w:pStyle w:val="LegalBody"/>
      </w:pPr>
      <w:r>
        <w:rPr>
          <w:b/>
        </w:rPr>
        <w:t xml:space="preserve">(b) No categorical exclusion. </w:t>
      </w:r>
      <w:r>
        <w:t>A person shall not be excluded from a covered general health or housing support service solely because the person uses a substance, receives prescribed addiction treatment, or has experienced relapse, unless a specific lawful safety or eligibility requirement applies and is individually explained.</w:t>
      </w:r>
    </w:p>
    <w:p>
      <w:pPr>
        <w:pStyle w:val="LegalBody"/>
      </w:pPr>
      <w:r>
        <w:rPr>
          <w:b/>
        </w:rPr>
        <w:t xml:space="preserve">(c) Treatment choice. </w:t>
      </w:r>
      <w:r>
        <w:t>Providers shall explain appropriate options and shall not condition access to a lawful evidence-based medication on participation in an unrelated religious, ideological, or abstinence-only program. A participant may voluntarily choose a lawful faith-based service with a reasonably available nonreligious alternative where required.</w:t>
      </w:r>
    </w:p>
    <w:p>
      <w:pPr>
        <w:pStyle w:val="LegalBody"/>
      </w:pPr>
      <w:r>
        <w:rPr>
          <w:b/>
        </w:rPr>
        <w:t xml:space="preserve">(d) Continuity. </w:t>
      </w:r>
      <w:r>
        <w:t>Plans shall address transitions after hospitalization, confinement, pregnancy-related care, or relocation. Medication interruption shall be avoided where clinically appropriate and legally permissible, with documented referral and prescription coordination.</w:t>
      </w:r>
    </w:p>
    <w:p>
      <w:pPr>
        <w:pStyle w:val="LegalBody"/>
      </w:pPr>
      <w:r>
        <w:rPr>
          <w:b/>
        </w:rPr>
        <w:t xml:space="preserve">(e) Evaluation. </w:t>
      </w:r>
      <w:r>
        <w:t>Outcomes shall include survival, health, function, continuity, and participant goals, not abstinence alone. Harm-reduction activities may be financed only to the extent lawful; this Act does not create an exemption from controlled-substances law or authorize an otherwise prohibited facility or transaction by implication.</w:t>
      </w:r>
    </w:p>
    <w:p>
      <w:bookmarkStart w:id="97" w:name="SEC_906"/>
      <w:pPr>
        <w:pStyle w:val="Heading2"/>
      </w:pPr>
      <w:r>
        <w:t>SEC. 906. PEER SUPPORT, RECOVERY COMMUNITIES, AND PRACTICAL ASSISTANCE.</w:t>
      </w:r>
      <w:bookmarkEnd w:id="97"/>
    </w:p>
    <w:p>
      <w:pPr>
        <w:pStyle w:val="LegalBody"/>
      </w:pPr>
      <w:r>
        <w:rPr>
          <w:b/>
        </w:rPr>
        <w:t xml:space="preserve">(a) Grants. </w:t>
      </w:r>
      <w:r>
        <w:t>Assistance may support trained peer personnel, mutual support, navigation, recovery education, and practical help with lawful benefits, transportation, and service access. Peer services shall complement rather than impersonate licensed clinical practice.</w:t>
      </w:r>
    </w:p>
    <w:p>
      <w:pPr>
        <w:pStyle w:val="LegalBody"/>
      </w:pPr>
      <w:r>
        <w:rPr>
          <w:b/>
        </w:rPr>
        <w:t xml:space="preserve">(b) Workforce safeguards. </w:t>
      </w:r>
      <w:r>
        <w:t>Peer workers shall receive compensation, supervision, role clarity, confidentiality training, and support for their own well-being. Lived experience shall not be used as a reason to assign unsafe duties or require public disclosure of a personal history beyond what the worker voluntarily chooses.</w:t>
      </w:r>
    </w:p>
    <w:p>
      <w:pPr>
        <w:pStyle w:val="LegalBody"/>
      </w:pPr>
      <w:r>
        <w:rPr>
          <w:b/>
        </w:rPr>
        <w:t xml:space="preserve">(c) Participation. </w:t>
      </w:r>
      <w:r>
        <w:t>A participant may choose whether to engage in a group and may leave without losing unrelated care. Programs shall not require confession, disclosure before peers, agreement with a single account of recovery, or sponsorship by another participant.</w:t>
      </w:r>
    </w:p>
    <w:p>
      <w:pPr>
        <w:pStyle w:val="LegalBody"/>
      </w:pPr>
      <w:r>
        <w:rPr>
          <w:b/>
        </w:rPr>
        <w:t xml:space="preserve">(d) Boundaries. </w:t>
      </w:r>
      <w:r>
        <w:t>Recipients shall prevent financial exploitation, sexual misconduct, coercion, and misuse of dependency. Complaint channels shall be independent of the immediate group leader and accessible to persons who fear exclusion.</w:t>
      </w:r>
    </w:p>
    <w:p>
      <w:pPr>
        <w:pStyle w:val="LegalBody"/>
      </w:pPr>
      <w:r>
        <w:rPr>
          <w:b/>
        </w:rPr>
        <w:t xml:space="preserve">(e) Evaluation. </w:t>
      </w:r>
      <w:r>
        <w:t>Measures shall distinguish attendance, social support, navigation outcomes, clinical outcomes, and personal goals. A peer intervention shall not be represented as a substitute for acute care where such care is necessary. Funding shall include referral arrangements and a plan for participants when a group or service closes.</w:t>
      </w:r>
    </w:p>
    <w:p>
      <w:bookmarkStart w:id="98" w:name="SEC_907"/>
      <w:pPr>
        <w:pStyle w:val="Heading2"/>
      </w:pPr>
      <w:r>
        <w:t>SEC. 907. MENTAL-HEALTH TECHNOLOGY AND CONVERSATIONAL SYSTEMS.</w:t>
      </w:r>
      <w:bookmarkEnd w:id="98"/>
    </w:p>
    <w:p>
      <w:pPr>
        <w:pStyle w:val="LegalBody"/>
      </w:pPr>
      <w:r>
        <w:rPr>
          <w:b/>
        </w:rPr>
        <w:t xml:space="preserve">(a) Funded use. </w:t>
      </w:r>
      <w:r>
        <w:t>Before procuring a mental-health application or conversational system, a recipient shall document intended purpose, evidence, regulatory status, limits, privacy, crisis response, accessibility, and qualified human oversight. A general-purpose chatbot shall not be represented as a licensed clinician.</w:t>
      </w:r>
    </w:p>
    <w:p>
      <w:pPr>
        <w:pStyle w:val="LegalBody"/>
      </w:pPr>
      <w:r>
        <w:rPr>
          <w:b/>
        </w:rPr>
        <w:t xml:space="preserve">(b) Disclosure and choice. </w:t>
      </w:r>
      <w:r>
        <w:t>Users shall receive clear notice when interacting with automation and how to reach a human. A system shall not deceptively claim reciprocal personal feelings, confidentiality beyond its actual practices, or professional credentials it lacks.</w:t>
      </w:r>
    </w:p>
    <w:p>
      <w:pPr>
        <w:pStyle w:val="LegalBody"/>
      </w:pPr>
      <w:r>
        <w:rPr>
          <w:b/>
        </w:rPr>
        <w:t xml:space="preserve">(c) Safety. </w:t>
      </w:r>
      <w:r>
        <w:t>Contracts shall require monitoring of material errors, unsafe recommendations, dependency-inducing commercial practices, and failures to route urgent needs appropriately. A vendor shall disclose significant model changes affecting safety and shall support reversible deployment.</w:t>
      </w:r>
    </w:p>
    <w:p>
      <w:pPr>
        <w:pStyle w:val="LegalBody"/>
      </w:pPr>
      <w:r>
        <w:rPr>
          <w:b/>
        </w:rPr>
        <w:t xml:space="preserve">(d) Data. </w:t>
      </w:r>
      <w:r>
        <w:t>Sensitive conversations shall not be sold, used for targeted advertising, or incorporated into unrelated model training without a separate lawful basis meeting the consent requirements of this Act. Essential funded care shall not be conditioned on such secondary use.</w:t>
      </w:r>
    </w:p>
    <w:p>
      <w:pPr>
        <w:pStyle w:val="LegalBody"/>
      </w:pPr>
      <w:r>
        <w:rPr>
          <w:b/>
        </w:rPr>
        <w:t xml:space="preserve">(e) Evaluation. </w:t>
      </w:r>
      <w:r>
        <w:t>Engagement, time spent, or user attachment shall not alone establish therapeutic benefit. Studies shall assess validated outcomes, adverse effects, displacement of human care, and differences among users. No provision requires a person to use automation instead of an available appropriate human service solely to meet a program efficiency target.</w:t>
      </w:r>
    </w:p>
    <w:p>
      <w:bookmarkStart w:id="99" w:name="SEC_908"/>
      <w:pPr>
        <w:pStyle w:val="Heading2"/>
      </w:pPr>
      <w:r>
        <w:t>SEC. 908. PREVENTION OF ABUSE IN MENTAL-HEALTH SERVICES.</w:t>
      </w:r>
      <w:bookmarkEnd w:id="99"/>
    </w:p>
    <w:p>
      <w:pPr>
        <w:pStyle w:val="LegalBody"/>
      </w:pPr>
      <w:r>
        <w:rPr>
          <w:b/>
        </w:rPr>
        <w:t xml:space="preserve">(a) Rights. </w:t>
      </w:r>
      <w:r>
        <w:t>Covered providers shall respect informed consent, communication access, privacy, lawful advance preferences, and the right to complain. A diagnosis shall not eliminate legal capacity or justify disregard of a person's account without individualized reasons.</w:t>
      </w:r>
    </w:p>
    <w:p>
      <w:pPr>
        <w:pStyle w:val="LegalBody"/>
      </w:pPr>
      <w:r>
        <w:rPr>
          <w:b/>
        </w:rPr>
        <w:t xml:space="preserve">(b) Prohibited practices. </w:t>
      </w:r>
      <w:r>
        <w:t>Funds shall not support punishment disguised as treatment, sexual exploitation, coercive identity-change practices, deprivation of basic needs for compliance, or restraint and isolation contrary to section 204 and applicable law.</w:t>
      </w:r>
    </w:p>
    <w:p>
      <w:pPr>
        <w:pStyle w:val="LegalBody"/>
      </w:pPr>
      <w:r>
        <w:rPr>
          <w:b/>
        </w:rPr>
        <w:t xml:space="preserve">(c) Monitoring. </w:t>
      </w:r>
      <w:r>
        <w:t>Recipients shall maintain incident review, independent complaint access, staff training, and oversight of contractors. Individuals in residential settings shall have confidential means to contact an advocate, legal representative, or authorized oversight body.</w:t>
      </w:r>
    </w:p>
    <w:p>
      <w:pPr>
        <w:pStyle w:val="LegalBody"/>
      </w:pPr>
      <w:r>
        <w:rPr>
          <w:b/>
        </w:rPr>
        <w:t xml:space="preserve">(d) Due process. </w:t>
      </w:r>
      <w:r>
        <w:t>Any restriction imposed under an independently lawful authority shall be documented, time-limited to necessity, and subject to required review. A program rule shall not create a new power to detain a person or confiscate communication devices without legal authority.</w:t>
      </w:r>
    </w:p>
    <w:p>
      <w:pPr>
        <w:pStyle w:val="LegalBody"/>
      </w:pPr>
      <w:r>
        <w:rPr>
          <w:b/>
        </w:rPr>
        <w:t xml:space="preserve">(e) Corrective action. </w:t>
      </w:r>
      <w:r>
        <w:t>Serious or repeated violations may result in suspension of new referrals, corrective conditions, recovery of misused funds, or public enforcement under title XXVIII. Agencies shall protect continuity of legitimate care and shall not respond to abuse by abruptly abandoning residents or transferring them without assessment and necessary records.</w:t>
      </w:r>
    </w:p>
    <w:p>
      <w:bookmarkStart w:id="100" w:name="SEC_909"/>
      <w:pPr>
        <w:pStyle w:val="Heading2"/>
      </w:pPr>
      <w:r>
        <w:t>SEC. 909. PSYCHOLOGICAL WELL-BEING WITHOUT COMPULSORY NORMALIZATION.</w:t>
      </w:r>
      <w:bookmarkEnd w:id="100"/>
    </w:p>
    <w:p>
      <w:pPr>
        <w:pStyle w:val="LegalBody"/>
      </w:pPr>
      <w:r>
        <w:rPr>
          <w:b/>
        </w:rPr>
        <w:t xml:space="preserve">(a) Community activities. </w:t>
      </w:r>
      <w:r>
        <w:t>Grants may support stress-management education, grief support, opportunities for creative expression, practical coping skills, and navigation of social resources. Such activities shall be presented as voluntary supports, not as proof that every distressing experience requires clinical treatment.</w:t>
      </w:r>
    </w:p>
    <w:p>
      <w:pPr>
        <w:pStyle w:val="LegalBody"/>
      </w:pPr>
      <w:r>
        <w:rPr>
          <w:b/>
        </w:rPr>
        <w:t xml:space="preserve">(b) Plural experience. </w:t>
      </w:r>
      <w:r>
        <w:t>Programs shall recognize variation in emotional expression, sociability, sensory preference, culture, and coping. A participant shall not be required to display positivity, gratitude, extroversion, or agreement with a program's philosophy to be considered successful.</w:t>
      </w:r>
    </w:p>
    <w:p>
      <w:pPr>
        <w:pStyle w:val="LegalBody"/>
      </w:pPr>
      <w:r>
        <w:rPr>
          <w:b/>
        </w:rPr>
        <w:t xml:space="preserve">(c) Structural conditions. </w:t>
      </w:r>
      <w:r>
        <w:t>Evaluations shall consider whether distress reflects unmet material needs, discrimination, unsafe environments, or excessive demands that a skills class cannot resolve. A recipient shall not substitute a resilience course for correction of its own unlawful or unsafe practices.</w:t>
      </w:r>
    </w:p>
    <w:p>
      <w:pPr>
        <w:pStyle w:val="LegalBody"/>
      </w:pPr>
      <w:r>
        <w:rPr>
          <w:b/>
        </w:rPr>
        <w:t xml:space="preserve">(d) Claims. </w:t>
      </w:r>
      <w:r>
        <w:t>Commercial or program claims concerning mental performance, emotional regulation, or well-being shall be accurately characterized. A validated questionnaire for one population shall not be assumed valid for every language, age, or disability group.</w:t>
      </w:r>
    </w:p>
    <w:p>
      <w:pPr>
        <w:pStyle w:val="LegalBody"/>
      </w:pPr>
      <w:r>
        <w:rPr>
          <w:b/>
        </w:rPr>
        <w:t xml:space="preserve">(e) Feedback. </w:t>
      </w:r>
      <w:r>
        <w:t>Participants may report that an activity is unhelpful or burdensome without retaliation. Program reviews shall include negative experiences and nonparticipation reasons, using voluntary and confidential methods. A population measure shall not be used to impose an individual treatment obligation or to rank a person's worth.</w:t>
      </w:r>
    </w:p>
    <w:p>
      <w:bookmarkStart w:id="101" w:name="SEC_910"/>
      <w:pPr>
        <w:pStyle w:val="Heading2"/>
      </w:pPr>
      <w:r>
        <w:t>SEC. 910. MENTAL-HEALTH RESEARCH AND ACCOUNTABILITY.</w:t>
      </w:r>
      <w:bookmarkEnd w:id="101"/>
    </w:p>
    <w:p>
      <w:pPr>
        <w:pStyle w:val="LegalBody"/>
      </w:pPr>
      <w:r>
        <w:rPr>
          <w:b/>
        </w:rPr>
        <w:t xml:space="preserve">(a) Research priorities. </w:t>
      </w:r>
      <w:r>
        <w:t>The Secretary may support comparative effectiveness, prevention, service delivery, workforce, cultural adaptation, patient-defined outcomes, and long-term safety research. Studies shall include appropriate attention to persons historically excluded from research and to settings with limited specialist capacity.</w:t>
      </w:r>
    </w:p>
    <w:p>
      <w:pPr>
        <w:pStyle w:val="LegalBody"/>
      </w:pPr>
      <w:r>
        <w:rPr>
          <w:b/>
        </w:rPr>
        <w:t xml:space="preserve">(b) Methods. </w:t>
      </w:r>
      <w:r>
        <w:t>Research shall distinguish symptom change, functioning, quality of life, access, and service satisfaction. Trials shall disclose attrition, adverse effects, comparator limitations, and the duration of follow-up. Short-term improvement shall not be presented as permanent recovery without supporting evidence.</w:t>
      </w:r>
    </w:p>
    <w:p>
      <w:pPr>
        <w:pStyle w:val="LegalBody"/>
      </w:pPr>
      <w:r>
        <w:rPr>
          <w:b/>
        </w:rPr>
        <w:t xml:space="preserve">(c) Program evaluation. </w:t>
      </w:r>
      <w:r>
        <w:t>Large demonstrations shall have independent evaluation and a plan for adaptation or discontinuation. A program shall not be continued solely because it is popular with its sponsor or produces favorable engagement metrics.</w:t>
      </w:r>
    </w:p>
    <w:p>
      <w:pPr>
        <w:pStyle w:val="LegalBody"/>
      </w:pPr>
      <w:r>
        <w:rPr>
          <w:b/>
        </w:rPr>
        <w:t xml:space="preserve">(d) Financial reporting. </w:t>
      </w:r>
      <w:r>
        <w:t>Costs shall include supervision, crisis backup, accessibility, training, facilities, technology, and unpaid caregiver burden where measurable. Claimed savings shall identify the payer and the evidence, without automatically offsetting title XXIX appropriations.</w:t>
      </w:r>
    </w:p>
    <w:p>
      <w:pPr>
        <w:pStyle w:val="LegalBody"/>
      </w:pPr>
      <w:r>
        <w:rPr>
          <w:b/>
        </w:rPr>
        <w:t xml:space="preserve">(e) Public accountability. </w:t>
      </w:r>
      <w:r>
        <w:t>Annual reports shall describe access gaps, waiting times, complaints, service continuity, and unmet needs. Reports shall protect identities and avoid stigmatizing communities. Recommendations for broader coverage or legal change shall be labeled as recommendations and shall not be represented as authority already conferred by this Act.</w:t>
      </w:r>
    </w:p>
    <w:p>
      <w:bookmarkStart w:id="102" w:name="TITLE_X"/>
      <w:pPr>
        <w:pStyle w:val="Heading1"/>
        <w:pageBreakBefore/>
      </w:pPr>
      <w:r>
        <w:t>TITLE X. NUTRITION, WATER, AND FOOD ENVIRONMENTS</w:t>
      </w:r>
      <w:bookmarkEnd w:id="102"/>
    </w:p>
    <w:p>
      <w:bookmarkStart w:id="103" w:name="SEC_1001"/>
      <w:pPr>
        <w:pStyle w:val="Heading2"/>
      </w:pPr>
      <w:r>
        <w:t>SEC. 1001. HEALTHY FOOD ACCESS AND CULTURAL SUITABILITY.</w:t>
      </w:r>
      <w:bookmarkEnd w:id="103"/>
    </w:p>
    <w:p>
      <w:pPr>
        <w:pStyle w:val="LegalBody"/>
      </w:pPr>
      <w:r>
        <w:rPr>
          <w:b/>
        </w:rPr>
        <w:t xml:space="preserve">(a) Grants. </w:t>
      </w:r>
      <w:r>
        <w:t>The Secretary, in coordination with the Secretary of Agriculture, may award grants improving access to safe, nutritionally adequate, affordable, and culturally suitable food within covered community and care programs. Activities shall complement existing nutrition assistance and food-safety responsibilities.</w:t>
      </w:r>
    </w:p>
    <w:p>
      <w:pPr>
        <w:pStyle w:val="LegalBody"/>
      </w:pPr>
      <w:r>
        <w:rPr>
          <w:b/>
        </w:rPr>
        <w:t xml:space="preserve">(b) Design. </w:t>
      </w:r>
      <w:r>
        <w:t>A proposal shall assess affordability, transport, storage, cooking facilities, disability, time, local food availability, and dietary needs. Information campaigns shall not be treated as a complete response where the principal barrier is price or physical access.</w:t>
      </w:r>
    </w:p>
    <w:p>
      <w:pPr>
        <w:pStyle w:val="LegalBody"/>
      </w:pPr>
      <w:r>
        <w:rPr>
          <w:b/>
        </w:rPr>
        <w:t xml:space="preserve">(c) Choice. </w:t>
      </w:r>
      <w:r>
        <w:t>Programs shall offer reasonable choices and accommodations for allergy, disability, medical needs, religion, and cultural practice. No single cuisine, ancestral diet, body size, or commercial dietary system shall be prescribed as the standard of human worth or program participation.</w:t>
      </w:r>
    </w:p>
    <w:p>
      <w:pPr>
        <w:pStyle w:val="LegalBody"/>
      </w:pPr>
      <w:r>
        <w:rPr>
          <w:b/>
        </w:rPr>
        <w:t xml:space="preserve">(d) Eligibility and funds. </w:t>
      </w:r>
      <w:r>
        <w:t>Assistance shall be financed from the health and mental-health account, with community infrastructure costs assigned to the community and culture account where appropriate. This title does not expand eligibility or benefit levels under an existing nutrition entitlement without an express amendment.</w:t>
      </w:r>
    </w:p>
    <w:p>
      <w:pPr>
        <w:pStyle w:val="LegalBody"/>
      </w:pPr>
      <w:r>
        <w:rPr>
          <w:b/>
        </w:rPr>
        <w:t xml:space="preserve">(e) Evaluation. </w:t>
      </w:r>
      <w:r>
        <w:t>Measures shall include usable access, affordability, safety, participant experience, and nutritional adequacy where validly assessed. Food distribution volume alone shall not establish success where recipients cannot store, prepare, tolerate, or reasonably use the food supplied.</w:t>
      </w:r>
    </w:p>
    <w:p>
      <w:bookmarkStart w:id="104" w:name="SEC_1002"/>
      <w:pPr>
        <w:pStyle w:val="Heading2"/>
      </w:pPr>
      <w:r>
        <w:t>SEC. 1002. PUBLIC FOOD PROCUREMENT AND INSTITUTIONAL MEALS.</w:t>
      </w:r>
      <w:bookmarkEnd w:id="104"/>
    </w:p>
    <w:p>
      <w:pPr>
        <w:pStyle w:val="LegalBody"/>
      </w:pPr>
      <w:r>
        <w:rPr>
          <w:b/>
        </w:rPr>
        <w:t xml:space="preserve">(a) Procurement plans. </w:t>
      </w:r>
      <w:r>
        <w:t>A recipient using assistance for meals shall adopt standards appropriate to the population, meal function, and current evidence. Standards shall consider adequacy, variety, food safety, allergens, medical needs, cultural suitability, and actual consumption.</w:t>
      </w:r>
    </w:p>
    <w:p>
      <w:pPr>
        <w:pStyle w:val="LegalBody"/>
      </w:pPr>
      <w:r>
        <w:rPr>
          <w:b/>
        </w:rPr>
        <w:t xml:space="preserve">(b) Contracts. </w:t>
      </w:r>
      <w:r>
        <w:t>Contracts shall identify portion and quality specifications, delivery conditions, substitutions, allergen controls, inspection, complaint procedures, and remedies for failure. A supplier shall not substitute a materially different product without required notice and approval.</w:t>
      </w:r>
    </w:p>
    <w:p>
      <w:pPr>
        <w:pStyle w:val="LegalBody"/>
      </w:pPr>
      <w:r>
        <w:rPr>
          <w:b/>
        </w:rPr>
        <w:t xml:space="preserve">(c) Competition. </w:t>
      </w:r>
      <w:r>
        <w:t>Procurement may consider local supply resilience, environmental effects, and small producer participation where lawful and cost-effective. It shall not require a favored brand or exclude a safe product solely because it is technologically produced rather than traditionally produced.</w:t>
      </w:r>
    </w:p>
    <w:p>
      <w:pPr>
        <w:pStyle w:val="LegalBody"/>
      </w:pPr>
      <w:r>
        <w:rPr>
          <w:b/>
        </w:rPr>
        <w:t xml:space="preserve">(d) Dignity. </w:t>
      </w:r>
      <w:r>
        <w:t>Meal programs shall avoid unnecessary public identification of persons receiving subsidized meals. A participant shall not be required to perform humiliating tasks, disclose private finances before peers, or accept unwanted public photography as a condition of receiving food.</w:t>
      </w:r>
    </w:p>
    <w:p>
      <w:pPr>
        <w:pStyle w:val="LegalBody"/>
      </w:pPr>
      <w:r>
        <w:rPr>
          <w:b/>
        </w:rPr>
        <w:t xml:space="preserve">(e) Review. </w:t>
      </w:r>
      <w:r>
        <w:t>Recipients shall monitor acceptability, waste, unmet dietary needs, and supplier performance. A menu that meets a paper standard but is regularly unusable by the population shall be reviewed. Changes shall preserve nutritional adequacy and safety rather than respond to preference alone without considering the service's purpose.</w:t>
      </w:r>
    </w:p>
    <w:p>
      <w:bookmarkStart w:id="105" w:name="SEC_1003"/>
      <w:pPr>
        <w:pStyle w:val="Heading2"/>
      </w:pPr>
      <w:r>
        <w:t>SEC. 1003. NUTRITION LITERACY AND INDEPENDENT COUNSELING.</w:t>
      </w:r>
      <w:bookmarkEnd w:id="105"/>
    </w:p>
    <w:p>
      <w:pPr>
        <w:pStyle w:val="LegalBody"/>
      </w:pPr>
      <w:r>
        <w:rPr>
          <w:b/>
        </w:rPr>
        <w:t xml:space="preserve">(a) Activities. </w:t>
      </w:r>
      <w:r>
        <w:t>Grants may support practical education concerning meal planning, food preparation, label understanding, safe storage, and evidence-based dietary choices. Clinical nutrition counseling shall be delivered by qualified personnel and coordinated with medical care where needed.</w:t>
      </w:r>
    </w:p>
    <w:p>
      <w:pPr>
        <w:pStyle w:val="LegalBody"/>
      </w:pPr>
      <w:r>
        <w:rPr>
          <w:b/>
        </w:rPr>
        <w:t xml:space="preserve">(b) Communication. </w:t>
      </w:r>
      <w:r>
        <w:t>Materials shall distinguish general guidance from treatment for a specific condition. They shall explain uncertainty and shall not promise prevention or cure from a single food, supplement, restriction, or elimination diet without adequate evidence.</w:t>
      </w:r>
    </w:p>
    <w:p>
      <w:pPr>
        <w:pStyle w:val="LegalBody"/>
      </w:pPr>
      <w:r>
        <w:rPr>
          <w:b/>
        </w:rPr>
        <w:t xml:space="preserve">(c) Commercial independence. </w:t>
      </w:r>
      <w:r>
        <w:t>Sponsorship, product donations, referral compensation, and relevant financial interests shall be disclosed. A funded counselor shall not require purchase from an affiliated seller where a reasonable alternative exists.</w:t>
      </w:r>
    </w:p>
    <w:p>
      <w:pPr>
        <w:pStyle w:val="LegalBody"/>
      </w:pPr>
      <w:r>
        <w:rPr>
          <w:b/>
        </w:rPr>
        <w:t xml:space="preserve">(d) Accessibility. </w:t>
      </w:r>
      <w:r>
        <w:t>Instruction shall be adapted to available equipment, finances, time, language, literacy, and physical ability. A person shall not be judged noncompliant for lacking a kitchen, refrigeration, transport, or money necessary to follow the advice.</w:t>
      </w:r>
    </w:p>
    <w:p>
      <w:pPr>
        <w:pStyle w:val="LegalBody"/>
      </w:pPr>
      <w:r>
        <w:rPr>
          <w:b/>
        </w:rPr>
        <w:t xml:space="preserve">(e) Evaluation. </w:t>
      </w:r>
      <w:r>
        <w:t>Programs shall assess practical understanding, ability to act, and access to appropriate food rather than knowledge testing alone. Weight change shall not be the sole measure of success, and a participant shall not be required to disclose weight publicly or submit to stigmatizing treatment. Eating-disorder risks and unintended restriction shall be included in staff preparation and referral procedures.</w:t>
      </w:r>
    </w:p>
    <w:p>
      <w:bookmarkStart w:id="106" w:name="SEC_1004"/>
      <w:pPr>
        <w:pStyle w:val="Heading2"/>
      </w:pPr>
      <w:r>
        <w:t>SEC. 1004. SAFE WATER, HYDRATION, AND SANITATION ACCESS.</w:t>
      </w:r>
      <w:bookmarkEnd w:id="106"/>
    </w:p>
    <w:p>
      <w:pPr>
        <w:pStyle w:val="LegalBody"/>
      </w:pPr>
      <w:r>
        <w:rPr>
          <w:b/>
        </w:rPr>
        <w:t xml:space="preserve">(a) Grants. </w:t>
      </w:r>
      <w:r>
        <w:t>Assistance may support accessible drinking-water stations, testing and remediation in funded facilities, hydration access during programs, and coordination with existing water and sanitation authorities. Capital projects shall comply with applicable drinking-water, plumbing, environmental, and accessibility requirements.</w:t>
      </w:r>
    </w:p>
    <w:p>
      <w:pPr>
        <w:pStyle w:val="LegalBody"/>
      </w:pPr>
      <w:r>
        <w:rPr>
          <w:b/>
        </w:rPr>
        <w:t xml:space="preserve">(b) Responsibility. </w:t>
      </w:r>
      <w:r>
        <w:t>A project shall identify ownership, maintenance, testing intervals, consumables, repair, emergency supply, and the official responsible for responding to a failed test. Installation alone shall not constitute completion where ongoing operation is necessary.</w:t>
      </w:r>
    </w:p>
    <w:p>
      <w:pPr>
        <w:pStyle w:val="LegalBody"/>
      </w:pPr>
      <w:r>
        <w:rPr>
          <w:b/>
        </w:rPr>
        <w:t xml:space="preserve">(c) Information. </w:t>
      </w:r>
      <w:r>
        <w:t>Where a material safety concern is identified, users shall receive timely, understandable notice and an appropriate alternative supply or referral. A recipient shall not conceal a result because remediation is costly or because a facility has already been publicly described as safe.</w:t>
      </w:r>
    </w:p>
    <w:p>
      <w:pPr>
        <w:pStyle w:val="LegalBody"/>
      </w:pPr>
      <w:r>
        <w:rPr>
          <w:b/>
        </w:rPr>
        <w:t xml:space="preserve">(d) Evidence. </w:t>
      </w:r>
      <w:r>
        <w:t>A program shall not endorse unsubstantiated claims that a particular water treatment, additive, or commercial device produces general health enhancement. Treatment shall be selected for a demonstrated contaminant or operational need and evaluated for actual performance.</w:t>
      </w:r>
    </w:p>
    <w:p>
      <w:pPr>
        <w:pStyle w:val="LegalBody"/>
      </w:pPr>
      <w:r>
        <w:rPr>
          <w:b/>
        </w:rPr>
        <w:t xml:space="preserve">(e) Access. </w:t>
      </w:r>
      <w:r>
        <w:t>Drinking water and sanitation provided as essential components of a funded public service shall not require purchase of another product. Facilities shall accommodate mobility, height, sensory, and communication needs and shall protect privacy and dignity in toilet and hygiene access.</w:t>
      </w:r>
    </w:p>
    <w:p>
      <w:bookmarkStart w:id="107" w:name="SEC_1005"/>
      <w:pPr>
        <w:pStyle w:val="Heading2"/>
      </w:pPr>
      <w:r>
        <w:t>SEC. 1005. FOOD SECURITY, EMERGENCY SUPPLY, AND SERVICE COORDINATION.</w:t>
      </w:r>
      <w:bookmarkEnd w:id="107"/>
    </w:p>
    <w:p>
      <w:pPr>
        <w:pStyle w:val="LegalBody"/>
      </w:pPr>
      <w:r>
        <w:rPr>
          <w:b/>
        </w:rPr>
        <w:t xml:space="preserve">(a) Coordination. </w:t>
      </w:r>
      <w:r>
        <w:t>Recipients may connect eligible individuals to existing food assistance, community meals, delivery services, and emergency supplies. Navigation shall identify actual eligibility and availability and shall not imply that a referral guarantees receipt.</w:t>
      </w:r>
    </w:p>
    <w:p>
      <w:pPr>
        <w:pStyle w:val="LegalBody"/>
      </w:pPr>
      <w:r>
        <w:rPr>
          <w:b/>
        </w:rPr>
        <w:t xml:space="preserve">(b) Continuity. </w:t>
      </w:r>
      <w:r>
        <w:t>Plans shall address disruptions caused by disaster, illness, transport failure, supply shortage, or temporary loss of cooking facilities. Emergency food shall account for allergies, infants, disability, cultural needs, and medical diets to the extent practicable.</w:t>
      </w:r>
    </w:p>
    <w:p>
      <w:pPr>
        <w:pStyle w:val="LegalBody"/>
      </w:pPr>
      <w:r>
        <w:rPr>
          <w:b/>
        </w:rPr>
        <w:t xml:space="preserve">(c) Privacy. </w:t>
      </w:r>
      <w:r>
        <w:t>Assistance shall not require disclosure of unrelated health, immigration, or family information. Information needed to administer a lawful eligibility rule shall be limited to that purpose and protected under title XXV.</w:t>
      </w:r>
    </w:p>
    <w:p>
      <w:pPr>
        <w:pStyle w:val="LegalBody"/>
      </w:pPr>
      <w:r>
        <w:rPr>
          <w:b/>
        </w:rPr>
        <w:t xml:space="preserve">(d) Delivery. </w:t>
      </w:r>
      <w:r>
        <w:t>Home delivery and pickup services shall provide accessible scheduling, safe storage instructions, and procedures for missed delivery. A recipient shall not leave perishable food in unsafe conditions and count the transaction as successful service.</w:t>
      </w:r>
    </w:p>
    <w:p>
      <w:pPr>
        <w:pStyle w:val="LegalBody"/>
      </w:pPr>
      <w:r>
        <w:rPr>
          <w:b/>
        </w:rPr>
        <w:t xml:space="preserve">(e) Evaluation. </w:t>
      </w:r>
      <w:r>
        <w:t>Programs shall measure reliable receipt and usability, not merely warehouse throughput. Shortages, unmet requests, spoilage, and exclusions shall be reported. This section does not authorize diversion of restricted food assistance funds, alteration of statutory benefit formulas, or procurement beyond available appropriations. Where demand exceeds resources, allocation rules shall be published and applied fairly.</w:t>
      </w:r>
    </w:p>
    <w:p>
      <w:bookmarkStart w:id="108" w:name="SEC_1006"/>
      <w:pPr>
        <w:pStyle w:val="Heading2"/>
      </w:pPr>
      <w:r>
        <w:t>SEC. 1006. FOOD PRODUCTION, PREPARATION, AND COMMUNITY SKILLS.</w:t>
      </w:r>
      <w:bookmarkEnd w:id="108"/>
    </w:p>
    <w:p>
      <w:pPr>
        <w:pStyle w:val="LegalBody"/>
      </w:pPr>
      <w:r>
        <w:rPr>
          <w:b/>
        </w:rPr>
        <w:t xml:space="preserve">(a) Eligible projects. </w:t>
      </w:r>
      <w:r>
        <w:t>Grants may support community kitchens, accessible gardens, practical food skills, safe preservation education, and partnerships with local producers where these activities serve an authorized community or health purpose.</w:t>
      </w:r>
    </w:p>
    <w:p>
      <w:pPr>
        <w:pStyle w:val="LegalBody"/>
      </w:pPr>
      <w:r>
        <w:rPr>
          <w:b/>
        </w:rPr>
        <w:t xml:space="preserve">(b) Realistic design. </w:t>
      </w:r>
      <w:r>
        <w:t>Applicants shall account for land access, water, soil safety, climate, labor, equipment, disability access, storage, insurance, and maintenance. A garden shall not be represented as a substitute for adequate food assistance without evidence that it can reliably meet the need.</w:t>
      </w:r>
    </w:p>
    <w:p>
      <w:pPr>
        <w:pStyle w:val="LegalBody"/>
      </w:pPr>
      <w:r>
        <w:rPr>
          <w:b/>
        </w:rPr>
        <w:t xml:space="preserve">(c) Safety. </w:t>
      </w:r>
      <w:r>
        <w:t>Projects shall comply with applicable food-safety and environmental requirements. Soil or water contamination shall be assessed where relevant, and participants shall receive instruction suitable to the activity. Food offered to the public shall meet applicable handling requirements.</w:t>
      </w:r>
    </w:p>
    <w:p>
      <w:pPr>
        <w:pStyle w:val="LegalBody"/>
      </w:pPr>
      <w:r>
        <w:rPr>
          <w:b/>
        </w:rPr>
        <w:t xml:space="preserve">(d) Participation. </w:t>
      </w:r>
      <w:r>
        <w:t>Activities shall be voluntary. A person shall not be required to garden, cook, or provide unpaid labor as a condition of receiving otherwise available essential food assistance under this Act.</w:t>
      </w:r>
    </w:p>
    <w:p>
      <w:pPr>
        <w:pStyle w:val="LegalBody"/>
      </w:pPr>
      <w:r>
        <w:rPr>
          <w:b/>
        </w:rPr>
        <w:t xml:space="preserve">(e) Evaluation. </w:t>
      </w:r>
      <w:r>
        <w:t>Measures may include practical skills, access, participation, food produced, and community experience. Claims of therapeutic benefit shall be separately evaluated. Projects shall provide succession and maintenance plans so that a capital investment does not become unusable when a volunteer organizer leaves or a short-term grant ends.</w:t>
      </w:r>
    </w:p>
    <w:p>
      <w:bookmarkStart w:id="109" w:name="SEC_1007"/>
      <w:pPr>
        <w:pStyle w:val="Heading2"/>
      </w:pPr>
      <w:r>
        <w:t>SEC. 1007. COMMERCIAL FOOD CLAIMS AND PROCUREMENT INTEGRITY.</w:t>
      </w:r>
      <w:bookmarkEnd w:id="109"/>
    </w:p>
    <w:p>
      <w:pPr>
        <w:pStyle w:val="LegalBody"/>
      </w:pPr>
      <w:r>
        <w:rPr>
          <w:b/>
        </w:rPr>
        <w:t xml:space="preserve">(a) Funded purchasing. </w:t>
      </w:r>
      <w:r>
        <w:t>A recipient shall not use assistance under this Act to promote a product through a materially false or misleading health, developmental, or cognitive claim. The recipient shall require suppliers to substantiate claims material to procurement.</w:t>
      </w:r>
    </w:p>
    <w:p>
      <w:pPr>
        <w:pStyle w:val="LegalBody"/>
      </w:pPr>
      <w:r>
        <w:rPr>
          <w:b/>
        </w:rPr>
        <w:t xml:space="preserve">(b) Existing authority. </w:t>
      </w:r>
      <w:r>
        <w:t>The Food and Drug Administration, Federal Trade Commission, and Department of Agriculture retain their respective authorities over labeling, advertising, safety, and regulated products. This section does not transfer jurisdiction or create a general new approval system for food.</w:t>
      </w:r>
    </w:p>
    <w:p>
      <w:pPr>
        <w:pStyle w:val="LegalBody"/>
      </w:pPr>
      <w:r>
        <w:rPr>
          <w:b/>
        </w:rPr>
        <w:t xml:space="preserve">(c) Special scrutiny. </w:t>
      </w:r>
      <w:r>
        <w:t>Claims concerning children, pregnancy, disease treatment, cognitive enhancement, immunity, or the microbiome shall be evaluated according to the specific claim and relevant evidence. A mechanistic study, laboratory result, or association shall not be represented as proof of a clinical outcome.</w:t>
      </w:r>
    </w:p>
    <w:p>
      <w:pPr>
        <w:pStyle w:val="LegalBody"/>
      </w:pPr>
      <w:r>
        <w:rPr>
          <w:b/>
        </w:rPr>
        <w:t xml:space="preserve">(d) Disclosure. </w:t>
      </w:r>
      <w:r>
        <w:t>Public materials shall distinguish required labeling, voluntary certification, marketing language, and independent evidence. Terms such as natural, traditional, advanced, or personalized shall not substitute for a description of ingredients, risks, or demonstrated effects.</w:t>
      </w:r>
    </w:p>
    <w:p>
      <w:pPr>
        <w:pStyle w:val="LegalBody"/>
      </w:pPr>
      <w:r>
        <w:rPr>
          <w:b/>
        </w:rPr>
        <w:t xml:space="preserve">(e) Correction. </w:t>
      </w:r>
      <w:r>
        <w:t>A recipient discovering a material unsupported claim shall stop using the claim, notify the funding agency where procurement was affected, and correct public information. Remedies shall address the actual misrepresentation and shall not prohibit truthful expression or lawful sale of a product merely because it is unfamiliar or technologically novel.</w:t>
      </w:r>
    </w:p>
    <w:p>
      <w:bookmarkStart w:id="110" w:name="SEC_1008"/>
      <w:pPr>
        <w:pStyle w:val="Heading2"/>
      </w:pPr>
      <w:r>
        <w:t>SEC. 1008. FOOD WASTE, RECOVERY, AND NUTRITIONAL VALUE.</w:t>
      </w:r>
      <w:bookmarkEnd w:id="110"/>
    </w:p>
    <w:p>
      <w:pPr>
        <w:pStyle w:val="LegalBody"/>
      </w:pPr>
      <w:r>
        <w:rPr>
          <w:b/>
        </w:rPr>
        <w:t xml:space="preserve">(a) Activities. </w:t>
      </w:r>
      <w:r>
        <w:t>Grants may support safe recovery, improved forecasting, storage, distribution, and measurement of avoidable food waste in covered programs. Recovery shall supplement, not justify, procurement of unusable or nutritionally inadequate food.</w:t>
      </w:r>
    </w:p>
    <w:p>
      <w:pPr>
        <w:pStyle w:val="LegalBody"/>
      </w:pPr>
      <w:r>
        <w:rPr>
          <w:b/>
        </w:rPr>
        <w:t xml:space="preserve">(b) Safety. </w:t>
      </w:r>
      <w:r>
        <w:t>A recipient shall assess handling, temperature, contamination, allergens, labeling, and remaining usability. Applicable food-safety law and donation protections remain controlling. A desire to avoid waste shall not override a material safety concern.</w:t>
      </w:r>
    </w:p>
    <w:p>
      <w:pPr>
        <w:pStyle w:val="LegalBody"/>
      </w:pPr>
      <w:r>
        <w:rPr>
          <w:b/>
        </w:rPr>
        <w:t xml:space="preserve">(c) Dignity. </w:t>
      </w:r>
      <w:r>
        <w:t>Recovered food offered through assistance shall be fit for its intended use and accompanied by accurate information. Recipients shall not distribute a product to vulnerable persons that the program would reject for safety or usability in an ordinary meal service.</w:t>
      </w:r>
    </w:p>
    <w:p>
      <w:pPr>
        <w:pStyle w:val="LegalBody"/>
      </w:pPr>
      <w:r>
        <w:rPr>
          <w:b/>
        </w:rPr>
        <w:t xml:space="preserve">(d) Measurement. </w:t>
      </w:r>
      <w:r>
        <w:t>Reports shall distinguish prevention, redistribution for human consumption, other lawful use, and disposal. Weight diverted from waste shall not be represented as meals delivered without a transparent conversion and evidence of actual receipt.</w:t>
      </w:r>
    </w:p>
    <w:p>
      <w:pPr>
        <w:pStyle w:val="LegalBody"/>
      </w:pPr>
      <w:r>
        <w:rPr>
          <w:b/>
        </w:rPr>
        <w:t xml:space="preserve">(e) Planning. </w:t>
      </w:r>
      <w:r>
        <w:t>Contracts shall address collection timing, storage, delivery responsibility, traceability, recalls, and costs. A project shall examine whether reducing overproduction is more effective than expanding recovery logistics. Claimed environmental or fiscal benefits shall be described with methods and uncertainty rather than automatically credited against the appropriations in title XXIX.</w:t>
      </w:r>
    </w:p>
    <w:p>
      <w:bookmarkStart w:id="111" w:name="SEC_1009"/>
      <w:pPr>
        <w:pStyle w:val="Heading2"/>
      </w:pPr>
      <w:r>
        <w:t>SEC. 1009. NUTRITION RESEARCH AND INDIVIDUAL VARIATION.</w:t>
      </w:r>
      <w:bookmarkEnd w:id="111"/>
    </w:p>
    <w:p>
      <w:pPr>
        <w:pStyle w:val="LegalBody"/>
      </w:pPr>
      <w:r>
        <w:rPr>
          <w:b/>
        </w:rPr>
        <w:t xml:space="preserve">(a) Research. </w:t>
      </w:r>
      <w:r>
        <w:t>The Secretary may support research on dietary patterns, food environments, metabolic variation, microbiome interactions, preparation methods, and the effects of food technologies. Studies shall distinguish biological mechanisms from demonstrated clinical or population outcomes.</w:t>
      </w:r>
    </w:p>
    <w:p>
      <w:pPr>
        <w:pStyle w:val="LegalBody"/>
      </w:pPr>
      <w:r>
        <w:rPr>
          <w:b/>
        </w:rPr>
        <w:t xml:space="preserve">(b) Methods. </w:t>
      </w:r>
      <w:r>
        <w:t>Awards shall address measurement error, confounding, adherence, substitution effects, cultural context, duration, and the difference between nutrient, food, and dietary-pattern interventions. A finding concerning one population or endpoint shall not be generalized without justification.</w:t>
      </w:r>
    </w:p>
    <w:p>
      <w:pPr>
        <w:pStyle w:val="LegalBody"/>
      </w:pPr>
      <w:r>
        <w:rPr>
          <w:b/>
        </w:rPr>
        <w:t xml:space="preserve">(c) Personalized tools. </w:t>
      </w:r>
      <w:r>
        <w:t>A research-based dietary recommendation generated from genetic, microbiome, or behavioral data shall be evaluated for validity, practical benefit, privacy, and cost. A proprietary score shall not be treated as a diagnosis or used to deny an essential service.</w:t>
      </w:r>
    </w:p>
    <w:p>
      <w:pPr>
        <w:pStyle w:val="LegalBody"/>
      </w:pPr>
      <w:r>
        <w:rPr>
          <w:b/>
        </w:rPr>
        <w:t xml:space="preserve">(d) Participation. </w:t>
      </w:r>
      <w:r>
        <w:t>Research shall protect persons with eating disorders, medical dietary needs, and economic dependency. Compensation shall not be contingent on achieving a body-size target, and withdrawal shall not affect unrelated care.</w:t>
      </w:r>
    </w:p>
    <w:p>
      <w:pPr>
        <w:pStyle w:val="LegalBody"/>
      </w:pPr>
      <w:r>
        <w:rPr>
          <w:b/>
        </w:rPr>
        <w:t xml:space="preserve">(e) Translation. </w:t>
      </w:r>
      <w:r>
        <w:t>Guidance derived from this research shall identify established findings, promising hypotheses, and unresolved questions. No agency shall infer that a diet is preferable solely because it is historically old, commercially innovative, popular online, or associated with an idealized population. Applicable medical-product and food law remain controlling.</w:t>
      </w:r>
    </w:p>
    <w:p>
      <w:bookmarkStart w:id="112" w:name="SEC_1010"/>
      <w:pPr>
        <w:pStyle w:val="Heading2"/>
      </w:pPr>
      <w:r>
        <w:t>SEC. 1010. FOOD AND WATER PROGRAM ACCOUNTABILITY.</w:t>
      </w:r>
      <w:bookmarkEnd w:id="112"/>
    </w:p>
    <w:p>
      <w:pPr>
        <w:pStyle w:val="LegalBody"/>
      </w:pPr>
      <w:r>
        <w:rPr>
          <w:b/>
        </w:rPr>
        <w:t xml:space="preserve">(a) Plan and costs. </w:t>
      </w:r>
      <w:r>
        <w:t>Each recipient shall identify procurement, staffing, facilities, transport, storage, maintenance, waste management, accessibility, and evaluation costs. A program shall not rely on undisclosed household expenditure or unpaid labor to claim affordability.</w:t>
      </w:r>
    </w:p>
    <w:p>
      <w:pPr>
        <w:pStyle w:val="LegalBody"/>
      </w:pPr>
      <w:r>
        <w:rPr>
          <w:b/>
        </w:rPr>
        <w:t xml:space="preserve">(b) Measures. </w:t>
      </w:r>
      <w:r>
        <w:t>The Secretary shall establish a limited reporting set addressing safety, reliable access, usability, participant choice, dietary accommodation, and actual service completion. Measures shall be adapted to institutional meals, education, infrastructure, and emergency supply rather than impose one score on all activities.</w:t>
      </w:r>
    </w:p>
    <w:p>
      <w:pPr>
        <w:pStyle w:val="LegalBody"/>
      </w:pPr>
      <w:r>
        <w:rPr>
          <w:b/>
        </w:rPr>
        <w:t xml:space="preserve">(c) Complaints. </w:t>
      </w:r>
      <w:r>
        <w:t>Participants shall have accessible routes to report unsafe food, missing meals, discriminatory treatment, misleading information, and inaccessible facilities. A complaint concerning immediate contamination or acute safety shall receive prompt action under applicable law.</w:t>
      </w:r>
    </w:p>
    <w:p>
      <w:pPr>
        <w:pStyle w:val="LegalBody"/>
      </w:pPr>
      <w:r>
        <w:rPr>
          <w:b/>
        </w:rPr>
        <w:t xml:space="preserve">(d) Review. </w:t>
      </w:r>
      <w:r>
        <w:t>Independent evaluations shall distinguish food access from downstream health changes that may require longer observation or different methods. Programs shall report unsuccessful approaches and relevant opportunity costs.</w:t>
      </w:r>
    </w:p>
    <w:p>
      <w:pPr>
        <w:pStyle w:val="LegalBody"/>
      </w:pPr>
      <w:r>
        <w:rPr>
          <w:b/>
        </w:rPr>
        <w:t xml:space="preserve">(e) Continuation. </w:t>
      </w:r>
      <w:r>
        <w:t>Awards shall include plans for maintenance of equipment and facilities, supplier transition, and participant referral when funding ends. A program shall not terminate a lawful existing nutrition entitlement because a demonstration is unavailable, and no anticipated reduction in future disease expenditure shall be booked as a realized Federal saving without verifiable fiscal evidence.</w:t>
      </w:r>
    </w:p>
    <w:p>
      <w:bookmarkStart w:id="113" w:name="TITLE_XI"/>
      <w:pPr>
        <w:pStyle w:val="Heading1"/>
        <w:pageBreakBefore/>
      </w:pPr>
      <w:r>
        <w:t>TITLE XI. MOVEMENT, SLEEP, CIRCADIAN HEALTH, AND SENSORY ENVIRONMENTS</w:t>
      </w:r>
      <w:bookmarkEnd w:id="113"/>
    </w:p>
    <w:p>
      <w:bookmarkStart w:id="114" w:name="SEC_1101"/>
      <w:pPr>
        <w:pStyle w:val="Heading2"/>
      </w:pPr>
      <w:r>
        <w:t>SEC. 1101. EVERYDAY MOVEMENT AND ACCESSIBLE ACTIVITY.</w:t>
      </w:r>
      <w:bookmarkEnd w:id="114"/>
    </w:p>
    <w:p>
      <w:pPr>
        <w:pStyle w:val="LegalBody"/>
      </w:pPr>
      <w:r>
        <w:rPr>
          <w:b/>
        </w:rPr>
        <w:t xml:space="preserve">(a) Program. </w:t>
      </w:r>
      <w:r>
        <w:t>The Secretary may support activities that make safe, enjoyable, and accessible movement available in ordinary daily settings. Grants may finance community instruction, accessible equipment, walking and rolling groups, adapted recreation, and coordination with transportation and public-space projects under title XVI.</w:t>
      </w:r>
    </w:p>
    <w:p>
      <w:pPr>
        <w:pStyle w:val="LegalBody"/>
      </w:pPr>
      <w:r>
        <w:rPr>
          <w:b/>
        </w:rPr>
        <w:t xml:space="preserve">(b) Individualization. </w:t>
      </w:r>
      <w:r>
        <w:t>Activities shall accommodate age, disability, pregnancy, illness, fatigue, pain, and differing preferences. A participant shall not be required to meet a uniform step count, performance standard, or body-size target to receive unrelated services.</w:t>
      </w:r>
    </w:p>
    <w:p>
      <w:pPr>
        <w:pStyle w:val="LegalBody"/>
      </w:pPr>
      <w:r>
        <w:rPr>
          <w:b/>
        </w:rPr>
        <w:t xml:space="preserve">(c) Safety. </w:t>
      </w:r>
      <w:r>
        <w:t>Programs shall use qualified instruction where needed, explain appropriate precautions, and provide referral when a participant requires individualized clinical assessment. A general activity program shall not represent itself as rehabilitation or medical treatment without qualified oversight.</w:t>
      </w:r>
    </w:p>
    <w:p>
      <w:pPr>
        <w:pStyle w:val="LegalBody"/>
      </w:pPr>
      <w:r>
        <w:rPr>
          <w:b/>
        </w:rPr>
        <w:t xml:space="preserve">(d) Practical access. </w:t>
      </w:r>
      <w:r>
        <w:t>Plans shall identify fees, transport, equipment, changing facilities, toilets, weather alternatives, and accessible communication. Low attendance shall prompt examination of these barriers before being attributed to lack of motivation.</w:t>
      </w:r>
    </w:p>
    <w:p>
      <w:pPr>
        <w:pStyle w:val="LegalBody"/>
      </w:pPr>
      <w:r>
        <w:rPr>
          <w:b/>
        </w:rPr>
        <w:t xml:space="preserve">(e) Funding and evaluation. </w:t>
      </w:r>
      <w:r>
        <w:t>Activities shall be financed from the places and mobility account or the health and mental-health account according to purpose. Evaluation shall distinguish opportunity, participation, function, enjoyment, and clinical outcomes. Increased recorded activity is not automatically beneficial where it causes injury, excessive burden, or displacement of necessary rest.</w:t>
      </w:r>
    </w:p>
    <w:p>
      <w:bookmarkStart w:id="115" w:name="SEC_1102"/>
      <w:pPr>
        <w:pStyle w:val="Heading2"/>
      </w:pPr>
      <w:r>
        <w:t>SEC. 1102. SEDENTARY CONDITIONS AND FLEXIBLE DAILY ROUTINES.</w:t>
      </w:r>
      <w:bookmarkEnd w:id="115"/>
    </w:p>
    <w:p>
      <w:pPr>
        <w:pStyle w:val="LegalBody"/>
      </w:pPr>
      <w:r>
        <w:rPr>
          <w:b/>
        </w:rPr>
        <w:t xml:space="preserve">(a) Funded settings. </w:t>
      </w:r>
      <w:r>
        <w:t>Recipients operating prolonged seated or stationary activities shall provide reasonable opportunities for movement, changes of posture, and rest consistent with the activity's purpose and individual needs. Accommodations shall include persons for whom standing or movement is not appropriate.</w:t>
      </w:r>
    </w:p>
    <w:p>
      <w:pPr>
        <w:pStyle w:val="LegalBody"/>
      </w:pPr>
      <w:r>
        <w:rPr>
          <w:b/>
        </w:rPr>
        <w:t xml:space="preserve">(b) Design. </w:t>
      </w:r>
      <w:r>
        <w:t>Assistance may support adjustable furniture, accessible circulation, activity breaks, and redesign of waiting or service processes. Procurement shall consider actual user needs, ergonomics, maintenance, and evidence rather than assume that one device or posture is universally preferable.</w:t>
      </w:r>
    </w:p>
    <w:p>
      <w:pPr>
        <w:pStyle w:val="LegalBody"/>
      </w:pPr>
      <w:r>
        <w:rPr>
          <w:b/>
        </w:rPr>
        <w:t xml:space="preserve">(c) No surveillance. </w:t>
      </w:r>
      <w:r>
        <w:t>A program shall not require continuous body monitoring, public activity rankings, or disclosure of medical information to verify participation. Voluntary tracking may be used for a specified purpose with appropriate privacy safeguards and a nontracking alternative.</w:t>
      </w:r>
    </w:p>
    <w:p>
      <w:pPr>
        <w:pStyle w:val="LegalBody"/>
      </w:pPr>
      <w:r>
        <w:rPr>
          <w:b/>
        </w:rPr>
        <w:t xml:space="preserve">(d) Evaluation. </w:t>
      </w:r>
      <w:r>
        <w:t>Studies shall assess feasibility, comfort, function, injury, concentration, and service quality. Research concerning sedentary time shall distinguish total duration, interruption patterns, activity substitution, and confounding conditions. An unsupported universal threshold shall not be converted into a mandatory standard.</w:t>
      </w:r>
    </w:p>
    <w:p>
      <w:pPr>
        <w:pStyle w:val="LegalBody"/>
      </w:pPr>
      <w:r>
        <w:rPr>
          <w:b/>
        </w:rPr>
        <w:t xml:space="preserve">(e) Workplace relationship. </w:t>
      </w:r>
      <w:r>
        <w:t>Employer obligations independent of funding are governed by title XIV and existing occupational law. This section does not authorize a recipient to deny disability accommodation, impose unpaid work breaks contrary to wage law, or discipline a participant solely because the participant declines optional movement.</w:t>
      </w:r>
    </w:p>
    <w:p>
      <w:bookmarkStart w:id="116" w:name="SEC_1103"/>
      <w:pPr>
        <w:pStyle w:val="Heading2"/>
      </w:pPr>
      <w:r>
        <w:t>SEC. 1103. SLEEP OPPORTUNITY AND SLEEP-HEALTH SERVICES.</w:t>
      </w:r>
      <w:bookmarkEnd w:id="116"/>
    </w:p>
    <w:p>
      <w:pPr>
        <w:pStyle w:val="LegalBody"/>
      </w:pPr>
      <w:r>
        <w:rPr>
          <w:b/>
        </w:rPr>
        <w:t xml:space="preserve">(a) Activities. </w:t>
      </w:r>
      <w:r>
        <w:t>Grants may support sleep-health education, appropriate screening and referral, practical sleep environments, and evaluation of institutional schedules. Programs shall distinguish sleep opportunity, sleep disorders, personal preference, and constraints arising from work, care, housing, or illness.</w:t>
      </w:r>
    </w:p>
    <w:p>
      <w:pPr>
        <w:pStyle w:val="LegalBody"/>
      </w:pPr>
      <w:r>
        <w:rPr>
          <w:b/>
        </w:rPr>
        <w:t xml:space="preserve">(b) Clinical limits. </w:t>
      </w:r>
      <w:r>
        <w:t>A screening result or consumer wearable estimate shall not be treated as a definitive diagnosis. Persons with clinically significant symptoms shall be directed to qualified care rather than instructed solely to improve habits.</w:t>
      </w:r>
    </w:p>
    <w:p>
      <w:pPr>
        <w:pStyle w:val="LegalBody"/>
      </w:pPr>
      <w:r>
        <w:rPr>
          <w:b/>
        </w:rPr>
        <w:t xml:space="preserve">(c) Practical support. </w:t>
      </w:r>
      <w:r>
        <w:t>Programs may address noise, light, temperature, bedding, safety, and caregiving arrangements within authorized services. Advice shall account for shift work, disability, shared housing, and economic conditions that limit control over the environment.</w:t>
      </w:r>
    </w:p>
    <w:p>
      <w:pPr>
        <w:pStyle w:val="LegalBody"/>
      </w:pPr>
      <w:r>
        <w:rPr>
          <w:b/>
        </w:rPr>
        <w:t xml:space="preserve">(d) Autonomy. </w:t>
      </w:r>
      <w:r>
        <w:t>A recipient shall not prescribe a compulsory bedtime for competent adults in noncustodial community services or require disclosure of private sleep data as a condition of an unrelated benefit. Necessary clinical monitoring shall follow consent and privacy requirements.</w:t>
      </w:r>
    </w:p>
    <w:p>
      <w:pPr>
        <w:pStyle w:val="LegalBody"/>
      </w:pPr>
      <w:r>
        <w:rPr>
          <w:b/>
        </w:rPr>
        <w:t xml:space="preserve">(e) Evaluation. </w:t>
      </w:r>
      <w:r>
        <w:t>Measures shall consider sleep quality, duration where appropriately measured, daytime functioning, safety, and participant experience. A program shall not assume that a single target applies to every age and medical circumstance. Improvement claims shall identify whether data are self-reported, clinically measured, or inferred by a consumer device.</w:t>
      </w:r>
    </w:p>
    <w:p>
      <w:bookmarkStart w:id="117" w:name="SEC_1104"/>
      <w:pPr>
        <w:pStyle w:val="Heading2"/>
      </w:pPr>
      <w:r>
        <w:t>SEC. 1104. CIRCADIAN LIGHTING AND BUILT ENVIRONMENTS.</w:t>
      </w:r>
      <w:bookmarkEnd w:id="117"/>
    </w:p>
    <w:p>
      <w:pPr>
        <w:pStyle w:val="LegalBody"/>
      </w:pPr>
      <w:r>
        <w:rPr>
          <w:b/>
        </w:rPr>
        <w:t xml:space="preserve">(a) Demonstrations. </w:t>
      </w:r>
      <w:r>
        <w:t>The Secretary, with technical assistance from relevant standards bodies, may support evaluated lighting interventions in funded healthcare, education, care, and workplace settings. Projects shall identify the population, timing, intensity, spectral characteristics, visual needs, energy use, and expected outcomes.</w:t>
      </w:r>
    </w:p>
    <w:p>
      <w:pPr>
        <w:pStyle w:val="LegalBody"/>
      </w:pPr>
      <w:r>
        <w:rPr>
          <w:b/>
        </w:rPr>
        <w:t xml:space="preserve">(b) Safety and access. </w:t>
      </w:r>
      <w:r>
        <w:t>Lighting shall support navigation, task performance, visual comfort, and disability accommodation. A circadian objective shall not override immediate safety, security, or a person's clinical needs. Individuals sensitive to particular lighting conditions shall have a reasonable accommodation process.</w:t>
      </w:r>
    </w:p>
    <w:p>
      <w:pPr>
        <w:pStyle w:val="LegalBody"/>
      </w:pPr>
      <w:r>
        <w:rPr>
          <w:b/>
        </w:rPr>
        <w:t xml:space="preserve">(c) Evidence. </w:t>
      </w:r>
      <w:r>
        <w:t>A project shall distinguish established biological mechanisms from evidence that the proposed installed system improves meaningful outcomes. Vendor claims shall be independently assessed where material to procurement.</w:t>
      </w:r>
    </w:p>
    <w:p>
      <w:pPr>
        <w:pStyle w:val="LegalBody"/>
      </w:pPr>
      <w:r>
        <w:rPr>
          <w:b/>
        </w:rPr>
        <w:t xml:space="preserve">(d) Operation. </w:t>
      </w:r>
      <w:r>
        <w:t>Contracts shall include commissioning, controls, staff training, maintenance, and measurement of actual exposure where necessary and privacy-preserving. A system shall not require collection of identifiable behavioral data merely to operate ordinary lighting.</w:t>
      </w:r>
    </w:p>
    <w:p>
      <w:pPr>
        <w:pStyle w:val="LegalBody"/>
      </w:pPr>
      <w:r>
        <w:rPr>
          <w:b/>
        </w:rPr>
        <w:t xml:space="preserve">(e) Evaluation. </w:t>
      </w:r>
      <w:r>
        <w:t>Demonstrations shall assess sleep, comfort, functioning, safety, cost, and unintended effects. Results shall not be generalized from a controlled laboratory to all buildings without accounting for occupancy, daylight, schedules, and user control. This section does not create a national building-code requirement or authorize an agency to regulate private residential lighting outside an express statutory power.</w:t>
      </w:r>
    </w:p>
    <w:p>
      <w:bookmarkStart w:id="118" w:name="SEC_1105"/>
      <w:pPr>
        <w:pStyle w:val="Heading2"/>
      </w:pPr>
      <w:r>
        <w:t>SEC. 1105. NOISE, SOUND, AND HEARING-FRIENDLY PROGRAMS.</w:t>
      </w:r>
      <w:bookmarkEnd w:id="118"/>
    </w:p>
    <w:p>
      <w:pPr>
        <w:pStyle w:val="LegalBody"/>
      </w:pPr>
      <w:r>
        <w:rPr>
          <w:b/>
        </w:rPr>
        <w:t xml:space="preserve">(a) Assessment. </w:t>
      </w:r>
      <w:r>
        <w:t>Recipients operating noisy funded activities shall assess exposure, communication needs, hearing protection, quiet alternatives, and applicable occupational or environmental standards. The assessment shall consider children, older persons, hearing-aid users, and persons with sensory sensitivities.</w:t>
      </w:r>
    </w:p>
    <w:p>
      <w:pPr>
        <w:pStyle w:val="LegalBody"/>
      </w:pPr>
      <w:r>
        <w:rPr>
          <w:b/>
        </w:rPr>
        <w:t xml:space="preserve">(b) Controls. </w:t>
      </w:r>
      <w:r>
        <w:t>Assistance may support source reduction, acoustic treatment, maintenance, scheduling, accessible announcements, and appropriate protective equipment. Personal protection shall not substitute for feasible controls where another law requires those controls.</w:t>
      </w:r>
    </w:p>
    <w:p>
      <w:pPr>
        <w:pStyle w:val="LegalBody"/>
      </w:pPr>
      <w:r>
        <w:rPr>
          <w:b/>
        </w:rPr>
        <w:t xml:space="preserve">(c) Choice. </w:t>
      </w:r>
      <w:r>
        <w:t>Recreational and cultural programs may include amplified sound, but shall provide accurate information about conditions and reasonable options for participation. A quiet area shall be meaningfully accessible and shall not function as exclusion from the principal service.</w:t>
      </w:r>
    </w:p>
    <w:p>
      <w:pPr>
        <w:pStyle w:val="LegalBody"/>
      </w:pPr>
      <w:r>
        <w:rPr>
          <w:b/>
        </w:rPr>
        <w:t xml:space="preserve">(d) Expression. </w:t>
      </w:r>
      <w:r>
        <w:t>Noise controls under this Act shall concern measurable exposure, safety, and access rather than the viewpoint or genre of expressive activity. This section does not authorize suppression of lawful speech merely because it is unwelcome.</w:t>
      </w:r>
    </w:p>
    <w:p>
      <w:pPr>
        <w:pStyle w:val="LegalBody"/>
      </w:pPr>
      <w:r>
        <w:rPr>
          <w:b/>
        </w:rPr>
        <w:t xml:space="preserve">(e) Evaluation. </w:t>
      </w:r>
      <w:r>
        <w:t>Projects shall report measured conditions, user experience, maintenance, and effects on communication and participation. A reduction in one sound source shall not be credited as overall improvement where another exposure increases or the intervention prevents necessary alarms and instructions from being understood.</w:t>
      </w:r>
    </w:p>
    <w:p>
      <w:bookmarkStart w:id="119" w:name="SEC_1106"/>
      <w:pPr>
        <w:pStyle w:val="Heading2"/>
      </w:pPr>
      <w:r>
        <w:t>SEC. 1106. SENSORY ACCESS AND NEURODIVERSE PARTICIPATION.</w:t>
      </w:r>
      <w:bookmarkEnd w:id="119"/>
    </w:p>
    <w:p>
      <w:pPr>
        <w:pStyle w:val="LegalBody"/>
      </w:pPr>
      <w:r>
        <w:rPr>
          <w:b/>
        </w:rPr>
        <w:t xml:space="preserve">(a) Design. </w:t>
      </w:r>
      <w:r>
        <w:t>Covered programs shall consider sensory load, predictability, navigation, communication, waiting, crowding, and opportunities for breaks. Appropriate measures may include advance information, clear signage, quiet appointment options, adjustable stimulation, and staff able to explain procedures.</w:t>
      </w:r>
    </w:p>
    <w:p>
      <w:pPr>
        <w:pStyle w:val="LegalBody"/>
      </w:pPr>
      <w:r>
        <w:rPr>
          <w:b/>
        </w:rPr>
        <w:t xml:space="preserve">(b) Individual preference. </w:t>
      </w:r>
      <w:r>
        <w:t>A diagnosis shall not be used to assume that every individual has the same sensory needs. A participant may request an accommodation without being required to suppress harmless self-regulatory behavior or demonstrate distress publicly.</w:t>
      </w:r>
    </w:p>
    <w:p>
      <w:pPr>
        <w:pStyle w:val="LegalBody"/>
      </w:pPr>
      <w:r>
        <w:rPr>
          <w:b/>
        </w:rPr>
        <w:t xml:space="preserve">(c) Participation. </w:t>
      </w:r>
      <w:r>
        <w:t>An accommodation shall seek meaningful access to the activity rather than automatic segregation. Separate or quieter participation may be offered when chosen by the individual or necessary for a specific lawful safety reason, with equivalent service where feasible.</w:t>
      </w:r>
    </w:p>
    <w:p>
      <w:pPr>
        <w:pStyle w:val="LegalBody"/>
      </w:pPr>
      <w:r>
        <w:rPr>
          <w:b/>
        </w:rPr>
        <w:t xml:space="preserve">(d) Evidence and claims. </w:t>
      </w:r>
      <w:r>
        <w:t>A sensory intervention shall be described according to its demonstrated purpose. A comfortable environment shall not be promoted as a cure for a developmental condition without adequate clinical evidence.</w:t>
      </w:r>
    </w:p>
    <w:p>
      <w:pPr>
        <w:pStyle w:val="LegalBody"/>
      </w:pPr>
      <w:r>
        <w:rPr>
          <w:b/>
        </w:rPr>
        <w:t xml:space="preserve">(e) Evaluation. </w:t>
      </w:r>
      <w:r>
        <w:t>Recipients shall obtain accessible feedback from affected users and review whether procedures themselves create avoidable distress. Measures shall include access, comfort, communication, and service completion. Staff convenience alone is not sufficient reason to deny a reasonable modification within the recipient's obligations and resources.</w:t>
      </w:r>
    </w:p>
    <w:p>
      <w:bookmarkStart w:id="120" w:name="SEC_1107"/>
      <w:pPr>
        <w:pStyle w:val="Heading2"/>
      </w:pPr>
      <w:r>
        <w:t>SEC. 1107. SPORT, RECREATION, AND SAFE SKILL DEVELOPMENT.</w:t>
      </w:r>
      <w:bookmarkEnd w:id="120"/>
    </w:p>
    <w:p>
      <w:pPr>
        <w:pStyle w:val="LegalBody"/>
      </w:pPr>
      <w:r>
        <w:rPr>
          <w:b/>
        </w:rPr>
        <w:t xml:space="preserve">(a) Grants. </w:t>
      </w:r>
      <w:r>
        <w:t>Assistance may support recreational sport, adapted physical activity, outdoor skills, and inclusive community instruction. Programs shall specify whether their purpose is recreation, competition, rehabilitation, or education and apply appropriate qualifications and safety practices.</w:t>
      </w:r>
    </w:p>
    <w:p>
      <w:pPr>
        <w:pStyle w:val="LegalBody"/>
      </w:pPr>
      <w:r>
        <w:rPr>
          <w:b/>
        </w:rPr>
        <w:t xml:space="preserve">(b) Safeguarding. </w:t>
      </w:r>
      <w:r>
        <w:t>Recipients shall maintain injury response, concussion referral where relevant, heat and weather procedures, equipment checks, safeguarding against abuse, and fair complaint processes. A participant shall not be pressured to continue through a material injury or threatened with loss of unrelated benefits for reporting symptoms.</w:t>
      </w:r>
    </w:p>
    <w:p>
      <w:pPr>
        <w:pStyle w:val="LegalBody"/>
      </w:pPr>
      <w:r>
        <w:rPr>
          <w:b/>
        </w:rPr>
        <w:t xml:space="preserve">(c) Access. </w:t>
      </w:r>
      <w:r>
        <w:t>Programs shall publish selection criteria, fees, equipment needs, and accommodations. Competitive selection may be used where integral to the activity and lawful, but shall not be represented as universal access. Recreational alternatives shall be considered within the award.</w:t>
      </w:r>
    </w:p>
    <w:p>
      <w:pPr>
        <w:pStyle w:val="LegalBody"/>
      </w:pPr>
      <w:r>
        <w:rPr>
          <w:b/>
        </w:rPr>
        <w:t xml:space="preserve">(d) Integrity. </w:t>
      </w:r>
      <w:r>
        <w:t>Funds shall not support coercive enhancement, unapproved medical interventions, or misleading performance claims. Appropriate clinical care remains subject to consent and professional law.</w:t>
      </w:r>
    </w:p>
    <w:p>
      <w:pPr>
        <w:pStyle w:val="LegalBody"/>
      </w:pPr>
      <w:r>
        <w:rPr>
          <w:b/>
        </w:rPr>
        <w:t xml:space="preserve">(e) Evaluation. </w:t>
      </w:r>
      <w:r>
        <w:t>Measures shall include participation, retention, safety, skill, accessibility, and experience. Elite performance shall not be the sole measure of a community program, and a participant's value shall not be tied to competitive success. Rules governing organized sport under other law are not amended by implication.</w:t>
      </w:r>
    </w:p>
    <w:p>
      <w:bookmarkStart w:id="121" w:name="SEC_1108"/>
      <w:pPr>
        <w:pStyle w:val="Heading2"/>
      </w:pPr>
      <w:r>
        <w:t>SEC. 1108. FATIGUE, SHIFT PATTERNS, AND SAFETY-CRITICAL RESEARCH.</w:t>
      </w:r>
      <w:bookmarkEnd w:id="121"/>
    </w:p>
    <w:p>
      <w:pPr>
        <w:pStyle w:val="LegalBody"/>
      </w:pPr>
      <w:r>
        <w:rPr>
          <w:b/>
        </w:rPr>
        <w:t xml:space="preserve">(a) Research. </w:t>
      </w:r>
      <w:r>
        <w:t>The Secretary and Secretary of Labor may support research concerning fatigue, rotating schedules, night work, commuting, recovery, and safety-critical performance. Studies shall include relevant sectors and shall not generalize from a single occupation without justification.</w:t>
      </w:r>
    </w:p>
    <w:p>
      <w:pPr>
        <w:pStyle w:val="LegalBody"/>
      </w:pPr>
      <w:r>
        <w:rPr>
          <w:b/>
        </w:rPr>
        <w:t xml:space="preserve">(b) Demonstrations. </w:t>
      </w:r>
      <w:r>
        <w:t>Participating employers may test scheduling, staffing, rest facilities, transport support, and handover practices. A demonstration shall preserve existing wage, hour, collective-bargaining, and safety rights and shall not expose workers to a risk exceeding otherwise lawful practice without required review and consent.</w:t>
      </w:r>
    </w:p>
    <w:p>
      <w:pPr>
        <w:pStyle w:val="LegalBody"/>
      </w:pPr>
      <w:r>
        <w:rPr>
          <w:b/>
        </w:rPr>
        <w:t xml:space="preserve">(c) Measurement. </w:t>
      </w:r>
      <w:r>
        <w:t>Evaluations shall consider actual hours, predictability, sleep opportunity, injuries, errors, staffing, worker preferences, service continuity, and private costs. Self-reported fatigue and objective performance measures shall be distinguished.</w:t>
      </w:r>
    </w:p>
    <w:p>
      <w:pPr>
        <w:pStyle w:val="LegalBody"/>
      </w:pPr>
      <w:r>
        <w:rPr>
          <w:b/>
        </w:rPr>
        <w:t xml:space="preserve">(d) Worker protection. </w:t>
      </w:r>
      <w:r>
        <w:t>Individual research data shall not be supplied to supervisors for discipline or productivity scoring. Necessary safety action shall rely on a separately lawful and fair process, with minimum disclosure.</w:t>
      </w:r>
    </w:p>
    <w:p>
      <w:pPr>
        <w:pStyle w:val="LegalBody"/>
      </w:pPr>
      <w:r>
        <w:rPr>
          <w:b/>
        </w:rPr>
        <w:t xml:space="preserve">(e) Translation. </w:t>
      </w:r>
      <w:r>
        <w:t>Findings may inform guidance and legislative recommendations. This section does not independently alter transport hours-of-service rules, medical staffing standards, or other sectoral requirements. A promising schedule shall not become mandatory through nonbinding guidance, and an agency shall consider the risk that shorter scheduled hours could increase intensity or unpaid work.</w:t>
      </w:r>
    </w:p>
    <w:p>
      <w:bookmarkStart w:id="122" w:name="SEC_1109"/>
      <w:pPr>
        <w:pStyle w:val="Heading2"/>
      </w:pPr>
      <w:r>
        <w:t>SEC. 1109. MEASUREMENT WITHOUT COMPULSORY BIOMETRICS.</w:t>
      </w:r>
      <w:bookmarkEnd w:id="122"/>
    </w:p>
    <w:p>
      <w:pPr>
        <w:pStyle w:val="LegalBody"/>
      </w:pPr>
      <w:r>
        <w:rPr>
          <w:b/>
        </w:rPr>
        <w:t xml:space="preserve">(a) General rule. </w:t>
      </w:r>
      <w:r>
        <w:t>A recipient shall use the least intrusive method reasonably capable of answering an evaluation question concerning movement, sleep, or sensory conditions. Aggregate observation, voluntary surveys, and environmental measurement shall be considered before continuous personal tracking.</w:t>
      </w:r>
    </w:p>
    <w:p>
      <w:pPr>
        <w:pStyle w:val="LegalBody"/>
      </w:pPr>
      <w:r>
        <w:rPr>
          <w:b/>
        </w:rPr>
        <w:t xml:space="preserve">(b) Devices. </w:t>
      </w:r>
      <w:r>
        <w:t>Where wearable or other personal devices are scientifically necessary, participation shall be voluntary, consent shall identify collection and use, and the person shall receive clear instructions for pausing or ending collection. A nondevice service alternative shall remain available where feasible.</w:t>
      </w:r>
    </w:p>
    <w:p>
      <w:pPr>
        <w:pStyle w:val="LegalBody"/>
      </w:pPr>
      <w:r>
        <w:rPr>
          <w:b/>
        </w:rPr>
        <w:t xml:space="preserve">(c) Limits. </w:t>
      </w:r>
      <w:r>
        <w:t>Data shall not be used to set an individual's insurance price, employment discipline, eligibility for unrelated assistance, or social standing. Any use in a clinical decision shall meet applicable clinical validity and consent requirements.</w:t>
      </w:r>
    </w:p>
    <w:p>
      <w:pPr>
        <w:pStyle w:val="LegalBody"/>
      </w:pPr>
      <w:r>
        <w:rPr>
          <w:b/>
        </w:rPr>
        <w:t xml:space="preserve">(d) Accuracy. </w:t>
      </w:r>
      <w:r>
        <w:t>Reports shall state measurement error, missing data, population validation, and differences between device estimates and clinical measures. Proprietary algorithms shall be sufficiently documented for the funded evaluation or an alternative method shall be selected.</w:t>
      </w:r>
    </w:p>
    <w:p>
      <w:pPr>
        <w:pStyle w:val="LegalBody"/>
      </w:pPr>
      <w:r>
        <w:rPr>
          <w:b/>
        </w:rPr>
        <w:t xml:space="preserve">(e) Retention. </w:t>
      </w:r>
      <w:r>
        <w:t>Raw sensitive data shall be retained only as necessary for the approved purpose, required audit, or lawful research reproducibility plan. Deidentified release shall require assessment of reidentification risk, particularly where time-series data reveal routines or location. A data-sharing agreement shall prohibit attempts to identify participants.</w:t>
      </w:r>
    </w:p>
    <w:p>
      <w:bookmarkStart w:id="123" w:name="SEC_1110"/>
      <w:pPr>
        <w:pStyle w:val="Heading2"/>
      </w:pPr>
      <w:r>
        <w:t>SEC. 1110. MOVEMENT AND REST PROGRAM REVIEW.</w:t>
      </w:r>
      <w:bookmarkEnd w:id="123"/>
    </w:p>
    <w:p>
      <w:pPr>
        <w:pStyle w:val="LegalBody"/>
      </w:pPr>
      <w:r>
        <w:rPr>
          <w:b/>
        </w:rPr>
        <w:t xml:space="preserve">(a) Review. </w:t>
      </w:r>
      <w:r>
        <w:t>The Secretary shall assess the portfolio under this title after 3 program years and at the 5-year review. The assessment shall distinguish clinical evidence, environmental opportunity, behavior change, accessibility, and actual implementation costs.</w:t>
      </w:r>
    </w:p>
    <w:p>
      <w:pPr>
        <w:pStyle w:val="LegalBody"/>
      </w:pPr>
      <w:r>
        <w:rPr>
          <w:b/>
        </w:rPr>
        <w:t xml:space="preserve">(b) Standards. </w:t>
      </w:r>
      <w:r>
        <w:t>Any binding standard issued under an express authority shall identify the covered setting, measurable requirement, evidence, accommodation process, effective date, and enforcement route. A generalized recommendation to be active or sleep well is not an enforceable standard.</w:t>
      </w:r>
    </w:p>
    <w:p>
      <w:pPr>
        <w:pStyle w:val="LegalBody"/>
      </w:pPr>
      <w:r>
        <w:rPr>
          <w:b/>
        </w:rPr>
        <w:t xml:space="preserve">(c) Avoiding substitution. </w:t>
      </w:r>
      <w:r>
        <w:t>Recipients shall not use an activity class or sleep seminar to excuse unsafe staffing, inaccessible buildings, unlawful work practices, or failure to provide an authorized accommodation. Individual education and institutional correction may both be necessary.</w:t>
      </w:r>
    </w:p>
    <w:p>
      <w:pPr>
        <w:pStyle w:val="LegalBody"/>
      </w:pPr>
      <w:r>
        <w:rPr>
          <w:b/>
        </w:rPr>
        <w:t xml:space="preserve">(d) Continuation. </w:t>
      </w:r>
      <w:r>
        <w:t>Equipment and environmental projects shall have maintenance, repair, ownership, and closure plans. A temporary demonstration shall not leave participants dependent on unsupported devices or facilities without notice and a reasonable transition.</w:t>
      </w:r>
    </w:p>
    <w:p>
      <w:pPr>
        <w:pStyle w:val="LegalBody"/>
      </w:pPr>
      <w:r>
        <w:rPr>
          <w:b/>
        </w:rPr>
        <w:t xml:space="preserve">(e) Public reporting. </w:t>
      </w:r>
      <w:r>
        <w:t>Reports shall include adverse events, nonparticipation, differential effects, and failed approaches. A positive average effect shall not conceal a material burden on a subgroup. Funding decisions shall respect available resources, lawful program goals, and the distinction between an individual's chosen activity and a government's duty to provide an accessible opportunity.</w:t>
      </w:r>
    </w:p>
    <w:p>
      <w:bookmarkStart w:id="124" w:name="TITLE_XII"/>
      <w:pPr>
        <w:pStyle w:val="Heading1"/>
        <w:pageBreakBefore/>
      </w:pPr>
      <w:r>
        <w:t>TITLE XII. SOCIAL CONNECTION, RELATIONSHIPS, AND COMMUNITY LIFE</w:t>
      </w:r>
      <w:bookmarkEnd w:id="124"/>
    </w:p>
    <w:p>
      <w:bookmarkStart w:id="125" w:name="SEC_1201"/>
      <w:pPr>
        <w:pStyle w:val="Heading2"/>
      </w:pPr>
      <w:r>
        <w:t>SEC. 1201. VOLUNTARY SOCIAL-CONNECTION INFRASTRUCTURE.</w:t>
      </w:r>
      <w:bookmarkEnd w:id="125"/>
    </w:p>
    <w:p>
      <w:pPr>
        <w:pStyle w:val="LegalBody"/>
      </w:pPr>
      <w:r>
        <w:rPr>
          <w:b/>
        </w:rPr>
        <w:t xml:space="preserve">(a) Program. </w:t>
      </w:r>
      <w:r>
        <w:t>The Secretary may award grants supporting accessible places and services that create opportunities for voluntary human interaction. Eligible activities include community centers, shared activities, outreach, intergenerational programs, neighborhood gathering space, and coordination with libraries, parks, arts, transport, and care services.</w:t>
      </w:r>
    </w:p>
    <w:p>
      <w:pPr>
        <w:pStyle w:val="LegalBody"/>
      </w:pPr>
      <w:r>
        <w:rPr>
          <w:b/>
        </w:rPr>
        <w:t xml:space="preserve">(b) Purpose. </w:t>
      </w:r>
      <w:r>
        <w:t>A program shall distinguish social isolation, loneliness, relationship quality, practical support, and chosen solitude. These concepts shall not be treated as interchangeable or reduced to a required number of contacts.</w:t>
      </w:r>
    </w:p>
    <w:p>
      <w:pPr>
        <w:pStyle w:val="LegalBody"/>
      </w:pPr>
      <w:r>
        <w:rPr>
          <w:b/>
        </w:rPr>
        <w:t xml:space="preserve">(c) Access. </w:t>
      </w:r>
      <w:r>
        <w:t>Plans shall address cost, hours, transportation, disability, language, safety, and barriers faced by persons new to a community. Participation shall not require purchasing goods, joining a religion, sharing a political view, or publicly disclosing loneliness.</w:t>
      </w:r>
    </w:p>
    <w:p>
      <w:pPr>
        <w:pStyle w:val="LegalBody"/>
      </w:pPr>
      <w:r>
        <w:rPr>
          <w:b/>
        </w:rPr>
        <w:t xml:space="preserve">(d) Funding. </w:t>
      </w:r>
      <w:r>
        <w:t>Assistance shall be drawn from the community and culture account. Capital projects shall include operating and maintenance costs and shall comply with title XXVII. A building without sustainable staffing or usable hours shall not be presented as a complete social-connection intervention.</w:t>
      </w:r>
    </w:p>
    <w:p>
      <w:pPr>
        <w:pStyle w:val="LegalBody"/>
      </w:pPr>
      <w:r>
        <w:rPr>
          <w:b/>
        </w:rPr>
        <w:t xml:space="preserve">(e) Autonomy. </w:t>
      </w:r>
      <w:r>
        <w:t>No person shall be compelled to socialize, assigned a friend, required to accept contact, or penalized for preferring solitude. The objective is to expand practical opportunities and support, not to regulate private relationships or establish a governmental standard of sociability.</w:t>
      </w:r>
    </w:p>
    <w:p>
      <w:bookmarkStart w:id="126" w:name="SEC_1202"/>
      <w:pPr>
        <w:pStyle w:val="Heading2"/>
      </w:pPr>
      <w:r>
        <w:t>SEC. 1202. COMMUNITY CENTERS AND NONCOMMERCIAL GATHERING SPACE.</w:t>
      </w:r>
      <w:bookmarkEnd w:id="126"/>
    </w:p>
    <w:p>
      <w:pPr>
        <w:pStyle w:val="LegalBody"/>
      </w:pPr>
      <w:r>
        <w:rPr>
          <w:b/>
        </w:rPr>
        <w:t xml:space="preserve">(a) Eligible projects. </w:t>
      </w:r>
      <w:r>
        <w:t>Grants may support multipurpose public or nonprofit spaces offering accessible seating, toilets, shelter, meeting areas, activities, and human assistance. Projects may adapt existing facilities where this is more practical than new construction.</w:t>
      </w:r>
    </w:p>
    <w:p>
      <w:pPr>
        <w:pStyle w:val="LegalBody"/>
      </w:pPr>
      <w:r>
        <w:rPr>
          <w:b/>
        </w:rPr>
        <w:t xml:space="preserve">(b) Operating plan. </w:t>
      </w:r>
      <w:r>
        <w:t>An applicant shall identify ownership, hours, staffing, security, maintenance, insurance, accessibility, reservation rules, transport links, and financial continuity. A capital award shall not be made without a credible operating plan for at least 5 years after opening.</w:t>
      </w:r>
    </w:p>
    <w:p>
      <w:pPr>
        <w:pStyle w:val="LegalBody"/>
      </w:pPr>
      <w:r>
        <w:rPr>
          <w:b/>
        </w:rPr>
        <w:t xml:space="preserve">(c) Access rules. </w:t>
      </w:r>
      <w:r>
        <w:t>Rules shall be transparent, reasonable, and related to safety, capacity, and the facility's purposes. A recipient shall not exclude a person solely because of homelessness, disability, inability to purchase, or an unpopular lawful viewpoint.</w:t>
      </w:r>
    </w:p>
    <w:p>
      <w:pPr>
        <w:pStyle w:val="LegalBody"/>
      </w:pPr>
      <w:r>
        <w:rPr>
          <w:b/>
        </w:rPr>
        <w:t xml:space="preserve">(d) Safety. </w:t>
      </w:r>
      <w:r>
        <w:t>Staff shall receive training in de-escalation, safeguarding, emergency response, and referral. A space need not tolerate threats, violence, or material interference with others' use, but exclusions shall be individualized, proportionate, and reviewable.</w:t>
      </w:r>
    </w:p>
    <w:p>
      <w:pPr>
        <w:pStyle w:val="LegalBody"/>
      </w:pPr>
      <w:r>
        <w:rPr>
          <w:b/>
        </w:rPr>
        <w:t xml:space="preserve">(e) Evaluation. </w:t>
      </w:r>
      <w:r>
        <w:t>Measures shall include usable hours, accessibility, repeat and first-time participation, unmet demand, participant experience, and operational reliability. Foot traffic alone shall not establish improved relationships, and identifiable attendance records shall not be maintained where aggregate counting is sufficient.</w:t>
      </w:r>
    </w:p>
    <w:p>
      <w:bookmarkStart w:id="127" w:name="SEC_1203"/>
      <w:pPr>
        <w:pStyle w:val="Heading2"/>
      </w:pPr>
      <w:r>
        <w:t>SEC. 1203. INTERGENERATIONAL AND NEIGHBORHOOD SUPPORT.</w:t>
      </w:r>
      <w:bookmarkEnd w:id="127"/>
    </w:p>
    <w:p>
      <w:pPr>
        <w:pStyle w:val="LegalBody"/>
      </w:pPr>
      <w:r>
        <w:rPr>
          <w:b/>
        </w:rPr>
        <w:t xml:space="preserve">(a) Activities. </w:t>
      </w:r>
      <w:r>
        <w:t>Grants may support voluntary mentoring, shared learning, practical assistance, community meals, and intergenerational cultural or recreational activity. Programs shall identify the needs and interests of each participating group rather than presume that age alone creates compatibility.</w:t>
      </w:r>
    </w:p>
    <w:p>
      <w:pPr>
        <w:pStyle w:val="LegalBody"/>
      </w:pPr>
      <w:r>
        <w:rPr>
          <w:b/>
        </w:rPr>
        <w:t xml:space="preserve">(b) Safeguards. </w:t>
      </w:r>
      <w:r>
        <w:t>Activities involving children or dependent adults shall comply with applicable screening, supervision, consent, and reporting requirements. A volunteer shall not be assigned unsupervised clinical, legal, financial, or personal-care duties beyond competence and lawful authority.</w:t>
      </w:r>
    </w:p>
    <w:p>
      <w:pPr>
        <w:pStyle w:val="LegalBody"/>
      </w:pPr>
      <w:r>
        <w:rPr>
          <w:b/>
        </w:rPr>
        <w:t xml:space="preserve">(c) Reciprocity. </w:t>
      </w:r>
      <w:r>
        <w:t>A program may encourage mutual contribution but shall not condition essential assistance on a person's ability to provide an equivalent service. Disability, illness, limited time, or age shall not make a person less entitled to respectful participation.</w:t>
      </w:r>
    </w:p>
    <w:p>
      <w:pPr>
        <w:pStyle w:val="LegalBody"/>
      </w:pPr>
      <w:r>
        <w:rPr>
          <w:b/>
        </w:rPr>
        <w:t xml:space="preserve">(d) Boundaries. </w:t>
      </w:r>
      <w:r>
        <w:t>Participants shall receive clear expectations concerning contact, gifts, money, confidentiality, and ending a relationship. A person may decline further contact without providing a private explanation. Programs shall respond promptly to concerns about exploitation or harassment.</w:t>
      </w:r>
    </w:p>
    <w:p>
      <w:pPr>
        <w:pStyle w:val="LegalBody"/>
      </w:pPr>
      <w:r>
        <w:rPr>
          <w:b/>
        </w:rPr>
        <w:t xml:space="preserve">(e) Evaluation. </w:t>
      </w:r>
      <w:r>
        <w:t>Measures shall consider support quality, safety, continuity, participant preference, and burdens on volunteers. A match shall not be counted as a successful relationship solely because names were exchanged. Funding shall include coordination and supervision rather than assume that voluntary labor requires no organizational resources.</w:t>
      </w:r>
    </w:p>
    <w:p>
      <w:bookmarkStart w:id="128" w:name="SEC_1204"/>
      <w:pPr>
        <w:pStyle w:val="Heading2"/>
      </w:pPr>
      <w:r>
        <w:t>SEC. 1204. FAMILY, CHOSEN FAMILY, AND RELATIONSHIP SUPPORT.</w:t>
      </w:r>
      <w:bookmarkEnd w:id="128"/>
    </w:p>
    <w:p>
      <w:pPr>
        <w:pStyle w:val="LegalBody"/>
      </w:pPr>
      <w:r>
        <w:rPr>
          <w:b/>
        </w:rPr>
        <w:t xml:space="preserve">(a) Services. </w:t>
      </w:r>
      <w:r>
        <w:t>Assistance may support lawful counseling referral, caregiving coordination, practical family education, and community support for varied household and relationship structures. Services shall respect individual choice and applicable family law.</w:t>
      </w:r>
    </w:p>
    <w:p>
      <w:pPr>
        <w:pStyle w:val="LegalBody"/>
      </w:pPr>
      <w:r>
        <w:rPr>
          <w:b/>
        </w:rPr>
        <w:t xml:space="preserve">(b) Inclusion. </w:t>
      </w:r>
      <w:r>
        <w:t>A program shall recognize a person's chosen supporters for participation in services where the person authorizes their involvement and law permits. Such recognition does not create marriage, custody, inheritance, immigration, or medical decision-making status beyond existing law.</w:t>
      </w:r>
    </w:p>
    <w:p>
      <w:pPr>
        <w:pStyle w:val="LegalBody"/>
      </w:pPr>
      <w:r>
        <w:rPr>
          <w:b/>
        </w:rPr>
        <w:t xml:space="preserve">(c) Safety. </w:t>
      </w:r>
      <w:r>
        <w:t>A recipient shall not require joint participation, reconciliation, or disclosure to a family member where the person reasonably fears abuse, coercion, or retaliation. Staff shall be prepared to offer confidential referral and safety resources.</w:t>
      </w:r>
    </w:p>
    <w:p>
      <w:pPr>
        <w:pStyle w:val="LegalBody"/>
      </w:pPr>
      <w:r>
        <w:rPr>
          <w:b/>
        </w:rPr>
        <w:t xml:space="preserve">(d) Neutrality. </w:t>
      </w:r>
      <w:r>
        <w:t>Services shall not condition benefits on marriage, parenthood, divorce avoidance, a particular gender role, or acceptance of a prescribed family ideal. A voluntary specialized program may address a defined relationship need while maintaining equal access consistent with section 201.</w:t>
      </w:r>
    </w:p>
    <w:p>
      <w:pPr>
        <w:pStyle w:val="LegalBody"/>
      </w:pPr>
      <w:r>
        <w:rPr>
          <w:b/>
        </w:rPr>
        <w:t xml:space="preserve">(e) Evaluation. </w:t>
      </w:r>
      <w:r>
        <w:t>Outcomes shall focus on the service's stated purpose, participant safety, communication, practical support, and informed choice. A program shall not define success solely as continuation of a relationship; separation may be a lawful and appropriate individual decision. Personal relationship data shall not be repurposed for employment, insurance, or commercial targeting.</w:t>
      </w:r>
    </w:p>
    <w:p>
      <w:bookmarkStart w:id="129" w:name="SEC_1205"/>
      <w:pPr>
        <w:pStyle w:val="Heading2"/>
      </w:pPr>
      <w:r>
        <w:t>SEC. 1205. SEXUAL HEALTH, INTIMACY, AND ADULT AUTONOMY.</w:t>
      </w:r>
      <w:bookmarkEnd w:id="129"/>
    </w:p>
    <w:p>
      <w:pPr>
        <w:pStyle w:val="LegalBody"/>
      </w:pPr>
      <w:r>
        <w:rPr>
          <w:b/>
        </w:rPr>
        <w:t xml:space="preserve">(a) Adult services. </w:t>
      </w:r>
      <w:r>
        <w:t>Grants may support lawful, evidence-based adult sexual-health education, clinical referral, communication skills, consent education, and support concerning changes associated with disability, illness, aging, or treatment. Services shall be provided by qualified personnel within applicable law.</w:t>
      </w:r>
    </w:p>
    <w:p>
      <w:pPr>
        <w:pStyle w:val="LegalBody"/>
      </w:pPr>
      <w:r>
        <w:rPr>
          <w:b/>
        </w:rPr>
        <w:t xml:space="preserve">(b) Scope. </w:t>
      </w:r>
      <w:r>
        <w:t>Information shall distinguish sexual health, relationship preference, identity, fertility, and clinical conditions. A person shall not be presumed to desire sexual activity or a relationship, and abstention shall not be treated as dysfunction without an individually identified clinical concern.</w:t>
      </w:r>
    </w:p>
    <w:p>
      <w:pPr>
        <w:pStyle w:val="LegalBody"/>
      </w:pPr>
      <w:r>
        <w:rPr>
          <w:b/>
        </w:rPr>
        <w:t xml:space="preserve">(c) Consent and privacy. </w:t>
      </w:r>
      <w:r>
        <w:t>Participation shall be voluntary and confidential. A recipient shall not collect intimate details beyond the service's reasonable need or require disclosure in a group. Supporters may participate only with the individual's authorization or another lawful basis.</w:t>
      </w:r>
    </w:p>
    <w:p>
      <w:pPr>
        <w:pStyle w:val="LegalBody"/>
      </w:pPr>
      <w:r>
        <w:rPr>
          <w:b/>
        </w:rPr>
        <w:t xml:space="preserve">(d) Nondiscrimination. </w:t>
      </w:r>
      <w:r>
        <w:t>Services shall not attempt to eliminate a lawful identity or orientation, deny access because of a consensual adult relationship structure, or impose a religious or moral belief as a condition of care. Applicable professional and safety requirements remain controlling.</w:t>
      </w:r>
    </w:p>
    <w:p>
      <w:pPr>
        <w:pStyle w:val="LegalBody"/>
      </w:pPr>
      <w:r>
        <w:rPr>
          <w:b/>
        </w:rPr>
        <w:t xml:space="preserve">(e) Limits. </w:t>
      </w:r>
      <w:r>
        <w:t>This section does not change criminal consent law, age-of-consent rules, marriage law, or restrictions on Federal funding of particular procedures. Services for minors remain governed by applicable law and the age-appropriate safeguards of titles V and VI. Evaluation shall protect privacy and avoid compulsory measures of sexual activity or satisfaction.</w:t>
      </w:r>
    </w:p>
    <w:p>
      <w:bookmarkStart w:id="130" w:name="SEC_1206"/>
      <w:pPr>
        <w:pStyle w:val="Heading2"/>
      </w:pPr>
      <w:r>
        <w:t>SEC. 1206. LONELINESS, OUTREACH, AND SOCIAL SUPPORT REFERRAL.</w:t>
      </w:r>
      <w:bookmarkEnd w:id="130"/>
    </w:p>
    <w:p>
      <w:pPr>
        <w:pStyle w:val="LegalBody"/>
      </w:pPr>
      <w:r>
        <w:rPr>
          <w:b/>
        </w:rPr>
        <w:t xml:space="preserve">(a) Activities. </w:t>
      </w:r>
      <w:r>
        <w:t>Grants may support voluntary outreach, confidential assessment, navigation, and referral to activities or practical assistance chosen by the person. A clinical referral for social support shall identify an available service and shall not replace necessary treatment.</w:t>
      </w:r>
    </w:p>
    <w:p>
      <w:pPr>
        <w:pStyle w:val="LegalBody"/>
      </w:pPr>
      <w:r>
        <w:rPr>
          <w:b/>
        </w:rPr>
        <w:t xml:space="preserve">(b) No diagnostic presumption. </w:t>
      </w:r>
      <w:r>
        <w:t>Loneliness is a subjective experience and shall not automatically be treated as a mental disorder. A person with frequent contact may still seek support, and a person with little contact may prefer solitude.</w:t>
      </w:r>
    </w:p>
    <w:p>
      <w:pPr>
        <w:pStyle w:val="LegalBody"/>
      </w:pPr>
      <w:r>
        <w:rPr>
          <w:b/>
        </w:rPr>
        <w:t xml:space="preserve">(c) Outreach limits. </w:t>
      </w:r>
      <w:r>
        <w:t>A recipient shall not obtain commercial surveillance profiles to identify presumed lonely individuals. Outreach may use lawful service relationships, public information about available programs, and voluntary referrals without disclosing sensitive assumptions to others.</w:t>
      </w:r>
    </w:p>
    <w:p>
      <w:pPr>
        <w:pStyle w:val="LegalBody"/>
      </w:pPr>
      <w:r>
        <w:rPr>
          <w:b/>
        </w:rPr>
        <w:t xml:space="preserve">(d) Practical barriers. </w:t>
      </w:r>
      <w:r>
        <w:t>Assessment shall consider transport, disability, language, care responsibilities, cost, safety, discrimination, and bereavement. A recommendation to attend an activity shall include assistance addressing a known barrier where authorized resources permit.</w:t>
      </w:r>
    </w:p>
    <w:p>
      <w:pPr>
        <w:pStyle w:val="LegalBody"/>
      </w:pPr>
      <w:r>
        <w:rPr>
          <w:b/>
        </w:rPr>
        <w:t xml:space="preserve">(e) Evaluation. </w:t>
      </w:r>
      <w:r>
        <w:t>Measures shall distinguish referral, actual access, relationship quality, perceived support, and adverse experience. A decline in loneliness among participants shall be interpreted in light of selection and attrition. Programs shall not promise that a particular number of meetings or a prescribed type of relationship will resolve every person's experience.</w:t>
      </w:r>
    </w:p>
    <w:p>
      <w:bookmarkStart w:id="131" w:name="SEC_1207"/>
      <w:pPr>
        <w:pStyle w:val="Heading2"/>
      </w:pPr>
      <w:r>
        <w:t>SEC. 1207. VOLUNTEERING, CIVIC PARTICIPATION, AND MUTUAL AID.</w:t>
      </w:r>
      <w:bookmarkEnd w:id="131"/>
    </w:p>
    <w:p>
      <w:pPr>
        <w:pStyle w:val="LegalBody"/>
      </w:pPr>
      <w:r>
        <w:rPr>
          <w:b/>
        </w:rPr>
        <w:t xml:space="preserve">(a) Grants. </w:t>
      </w:r>
      <w:r>
        <w:t>Assistance may support voluntary service, neighborhood problem solving, public-interest skills, and coordination of lawful mutual aid. Activities shall be nonpartisan where financed as public services and shall not require support for a candidate, party, or political position.</w:t>
      </w:r>
    </w:p>
    <w:p>
      <w:pPr>
        <w:pStyle w:val="LegalBody"/>
      </w:pPr>
      <w:r>
        <w:rPr>
          <w:b/>
        </w:rPr>
        <w:t xml:space="preserve">(b) Labor protections. </w:t>
      </w:r>
      <w:r>
        <w:t>A recipient shall distinguish bona fide volunteering from employment under applicable law. Volunteers shall not displace employees in violation of law or be required to perform hazardous or specialized duties without qualifications and safeguards.</w:t>
      </w:r>
    </w:p>
    <w:p>
      <w:pPr>
        <w:pStyle w:val="LegalBody"/>
      </w:pPr>
      <w:r>
        <w:rPr>
          <w:b/>
        </w:rPr>
        <w:t xml:space="preserve">(c) Access. </w:t>
      </w:r>
      <w:r>
        <w:t>Participation shall accommodate disability, limited time, language, caregiving, and transport. Reimbursement of reasonable expenses is permitted. Essential benefits shall not depend on volunteering unless a separate statute expressly imposes such a condition.</w:t>
      </w:r>
    </w:p>
    <w:p>
      <w:pPr>
        <w:pStyle w:val="LegalBody"/>
      </w:pPr>
      <w:r>
        <w:rPr>
          <w:b/>
        </w:rPr>
        <w:t xml:space="preserve">(d) Governance. </w:t>
      </w:r>
      <w:r>
        <w:t>Programs shall disclose leadership, finances, responsibilities, conflict procedures, and handling of donations. Mutual aid shall not be used as a vehicle for undisclosed commercial sales, coercive recruitment, or exploitation of persons seeking help.</w:t>
      </w:r>
    </w:p>
    <w:p>
      <w:pPr>
        <w:pStyle w:val="LegalBody"/>
      </w:pPr>
      <w:r>
        <w:rPr>
          <w:b/>
        </w:rPr>
        <w:t xml:space="preserve">(e) Evaluation. </w:t>
      </w:r>
      <w:r>
        <w:t>Reports shall describe services delivered, participant experience, community benefit, and organizational costs. Volunteer hours shall not be valued as cash savings without an explicit method and explanation. This section does not regulate elections, establish voting procedures, or authorize public funds to be used for partisan electoral activity.</w:t>
      </w:r>
    </w:p>
    <w:p>
      <w:bookmarkStart w:id="132" w:name="SEC_1208"/>
      <w:pPr>
        <w:pStyle w:val="Heading2"/>
      </w:pPr>
      <w:r>
        <w:t>SEC. 1208. BEREAVEMENT, TRANSITION, AND BELONGING.</w:t>
      </w:r>
      <w:bookmarkEnd w:id="132"/>
    </w:p>
    <w:p>
      <w:pPr>
        <w:pStyle w:val="LegalBody"/>
      </w:pPr>
      <w:r>
        <w:rPr>
          <w:b/>
        </w:rPr>
        <w:t xml:space="preserve">(a) Support. </w:t>
      </w:r>
      <w:r>
        <w:t>Grants may provide voluntary bereavement groups, practical navigation, cultural and secular remembrance opportunities, and referral for persons experiencing loss, relocation, retirement, separation, or other major transition.</w:t>
      </w:r>
    </w:p>
    <w:p>
      <w:pPr>
        <w:pStyle w:val="LegalBody"/>
      </w:pPr>
      <w:r>
        <w:rPr>
          <w:b/>
        </w:rPr>
        <w:t xml:space="preserve">(b) Individual variation. </w:t>
      </w:r>
      <w:r>
        <w:t>Programs shall not prescribe a universal timetable for grief or require emotional disclosure. A person may choose clinical, community, religious, or nonreligious support where lawfully available, and shall not lose access because the person declines a particular interpretation of loss.</w:t>
      </w:r>
    </w:p>
    <w:p>
      <w:pPr>
        <w:pStyle w:val="LegalBody"/>
      </w:pPr>
      <w:r>
        <w:rPr>
          <w:b/>
        </w:rPr>
        <w:t xml:space="preserve">(c) Practical assistance. </w:t>
      </w:r>
      <w:r>
        <w:t>Services may help individuals understand available benefits, documents, caregiving changes, housing needs, and community resources. Personnel shall distinguish general navigation from legal, financial, or clinical advice requiring qualifications.</w:t>
      </w:r>
    </w:p>
    <w:p>
      <w:pPr>
        <w:pStyle w:val="LegalBody"/>
      </w:pPr>
      <w:r>
        <w:rPr>
          <w:b/>
        </w:rPr>
        <w:t xml:space="preserve">(d) Privacy and dignity. </w:t>
      </w:r>
      <w:r>
        <w:t>Public use of a participant's story, photograph, or memorial information requires separate permission. A program shall not exploit grief for fundraising, commercial targeting, or recruitment.</w:t>
      </w:r>
    </w:p>
    <w:p>
      <w:pPr>
        <w:pStyle w:val="LegalBody"/>
      </w:pPr>
      <w:r>
        <w:rPr>
          <w:b/>
        </w:rPr>
        <w:t xml:space="preserve">(e) Evaluation. </w:t>
      </w:r>
      <w:r>
        <w:t>Measures shall focus on access, practical support, safety, participant experience, and identified goals. Rapid reduction of reported sadness shall not be the sole definition of success. Where distress suggests a need for qualified clinical care, the program shall offer referral without assuming that every grief response is pathological.</w:t>
      </w:r>
    </w:p>
    <w:p>
      <w:bookmarkStart w:id="133" w:name="SEC_1209"/>
      <w:pPr>
        <w:pStyle w:val="Heading2"/>
      </w:pPr>
      <w:r>
        <w:t>SEC. 1209. TECHNOLOGY-MEDIATED CONNECTION AND COMPANIONSHIP.</w:t>
      </w:r>
      <w:bookmarkEnd w:id="133"/>
    </w:p>
    <w:p>
      <w:pPr>
        <w:pStyle w:val="LegalBody"/>
      </w:pPr>
      <w:r>
        <w:rPr>
          <w:b/>
        </w:rPr>
        <w:t xml:space="preserve">(a) Access. </w:t>
      </w:r>
      <w:r>
        <w:t>Grants may support accessible communication technology connecting people across distance, language, disability, or care settings. Digital connection shall be evaluated as a potential complement to, and not automatically a substitute for, desired in-person contact.</w:t>
      </w:r>
    </w:p>
    <w:p>
      <w:pPr>
        <w:pStyle w:val="LegalBody"/>
      </w:pPr>
      <w:r>
        <w:rPr>
          <w:b/>
        </w:rPr>
        <w:t xml:space="preserve">(b) Automated companions. </w:t>
      </w:r>
      <w:r>
        <w:t>A funded automated companionship system shall clearly disclose its artificial nature, actual data practices, limitations, and commercial interests. It shall not falsely claim human identity or exploit a user's distress to secure purchases or prevent disengagement.</w:t>
      </w:r>
    </w:p>
    <w:p>
      <w:pPr>
        <w:pStyle w:val="LegalBody"/>
      </w:pPr>
      <w:r>
        <w:rPr>
          <w:b/>
        </w:rPr>
        <w:t xml:space="preserve">(c) Choice. </w:t>
      </w:r>
      <w:r>
        <w:t>A person receiving essential care shall not be required to accept an automated companion in place of authorized human contact solely because the automated option is cheaper. Appropriate assistive uses chosen by the person are permitted.</w:t>
      </w:r>
    </w:p>
    <w:p>
      <w:pPr>
        <w:pStyle w:val="LegalBody"/>
      </w:pPr>
      <w:r>
        <w:rPr>
          <w:b/>
        </w:rPr>
        <w:t xml:space="preserve">(d) Evaluation. </w:t>
      </w:r>
      <w:r>
        <w:t>Studies shall assess accessibility, perceived support, dependency, displacement of relationships, privacy, and effects when the system changes or ends. Engagement time and attachment shall not alone establish benefit.</w:t>
      </w:r>
    </w:p>
    <w:p>
      <w:pPr>
        <w:pStyle w:val="LegalBody"/>
      </w:pPr>
      <w:r>
        <w:rPr>
          <w:b/>
        </w:rPr>
        <w:t xml:space="preserve">(e) Continuity. </w:t>
      </w:r>
      <w:r>
        <w:t>Contracts shall address export of user-controlled materials, deletion, notice of termination, and support where abrupt withdrawal could create material distress. Nothing in this section determines the legal personhood of a machine or grants a government authority to decide which lawful private relationships an adult may form.</w:t>
      </w:r>
    </w:p>
    <w:p>
      <w:bookmarkStart w:id="134" w:name="SEC_1210"/>
      <w:pPr>
        <w:pStyle w:val="Heading2"/>
      </w:pPr>
      <w:r>
        <w:t>SEC. 1210. COMMUNITY PROGRAM PERFORMANCE AND AUTONOMY AUDIT.</w:t>
      </w:r>
      <w:bookmarkEnd w:id="134"/>
    </w:p>
    <w:p>
      <w:pPr>
        <w:pStyle w:val="LegalBody"/>
      </w:pPr>
      <w:r>
        <w:rPr>
          <w:b/>
        </w:rPr>
        <w:t xml:space="preserve">(a) Review. </w:t>
      </w:r>
      <w:r>
        <w:t>Recipients shall review access, safety, consent, privacy, exclusion, operating reliability, and participant feedback at least annually. Programs shall identify whether services reach persons facing practical barriers rather than only those already well connected.</w:t>
      </w:r>
    </w:p>
    <w:p>
      <w:pPr>
        <w:pStyle w:val="LegalBody"/>
      </w:pPr>
      <w:r>
        <w:rPr>
          <w:b/>
        </w:rPr>
        <w:t xml:space="preserve">(b) Evidence. </w:t>
      </w:r>
      <w:r>
        <w:t>Evaluations shall distinguish association between connection and health from the causal effect of a specific funded intervention. Health benefits shall not be assumed merely because an activity is social.</w:t>
      </w:r>
    </w:p>
    <w:p>
      <w:pPr>
        <w:pStyle w:val="LegalBody"/>
      </w:pPr>
      <w:r>
        <w:rPr>
          <w:b/>
        </w:rPr>
        <w:t xml:space="preserve">(c) No individual ranking. </w:t>
      </w:r>
      <w:r>
        <w:t>Attendance, contact frequency, relationship status, and loneliness measures shall not be combined into an individual human-value or citizenship score. Voluntary evaluation responses shall not determine access to unrelated assistance.</w:t>
      </w:r>
    </w:p>
    <w:p>
      <w:pPr>
        <w:pStyle w:val="LegalBody"/>
      </w:pPr>
      <w:r>
        <w:rPr>
          <w:b/>
        </w:rPr>
        <w:t xml:space="preserve">(d) Sustainability. </w:t>
      </w:r>
      <w:r>
        <w:t>Awards shall include operating costs, staffing, maintenance, accessibility, insurance, and orderly closure. A recipient shall communicate material reductions in hours or services and identify alternatives where feasible.</w:t>
      </w:r>
    </w:p>
    <w:p>
      <w:pPr>
        <w:pStyle w:val="LegalBody"/>
      </w:pPr>
      <w:r>
        <w:rPr>
          <w:b/>
        </w:rPr>
        <w:t xml:space="preserve">(e) Public reporting. </w:t>
      </w:r>
      <w:r>
        <w:t>Reports shall describe participation, quality, costs, unsuccessful approaches, and relevant limitations. Personal stories shall be used only with consent and shall not substitute for evidence. Decisions concerning continuation or expansion shall be made under the lawful criteria of titles XXVII and XXIX, preserving an individual's freedom to participate, decline, change relationships, or choose solitude.</w:t>
      </w:r>
    </w:p>
    <w:p>
      <w:bookmarkStart w:id="135" w:name="TITLE_XIII"/>
      <w:pPr>
        <w:pStyle w:val="Heading1"/>
        <w:pageBreakBefore/>
      </w:pPr>
      <w:r>
        <w:t>TITLE XIII. CULTURE, ARTS, LANGUAGE, AND CREATIVE EXPRESSION</w:t>
      </w:r>
      <w:bookmarkEnd w:id="135"/>
    </w:p>
    <w:p>
      <w:bookmarkStart w:id="136" w:name="SEC_1301"/>
      <w:pPr>
        <w:pStyle w:val="Heading2"/>
      </w:pPr>
      <w:r>
        <w:t>SEC. 1301. CULTURAL PARTICIPATION AND CREATIVE OPPORTUNITY.</w:t>
      </w:r>
      <w:bookmarkEnd w:id="136"/>
    </w:p>
    <w:p>
      <w:pPr>
        <w:pStyle w:val="LegalBody"/>
      </w:pPr>
      <w:r>
        <w:rPr>
          <w:b/>
        </w:rPr>
        <w:t xml:space="preserve">(a) Program. </w:t>
      </w:r>
      <w:r>
        <w:t>The National Endowment for the Arts and National Endowment for the Humanities shall, within their respective authorities, administer grants for accessible cultural participation, creative learning, public programming, and preservation and interpretation of human knowledge and expression.</w:t>
      </w:r>
    </w:p>
    <w:p>
      <w:pPr>
        <w:pStyle w:val="LegalBody"/>
      </w:pPr>
      <w:r>
        <w:rPr>
          <w:b/>
        </w:rPr>
        <w:t xml:space="preserve">(b) Eligible activities. </w:t>
      </w:r>
      <w:r>
        <w:t>Assistance may support music, literature, performance, visual art, film, craft, design, oral history, museums, archives, language projects, and community cultural spaces. A project shall identify its audience, purpose, access barriers, professional responsibilities, and expected costs.</w:t>
      </w:r>
    </w:p>
    <w:p>
      <w:pPr>
        <w:pStyle w:val="LegalBody"/>
      </w:pPr>
      <w:r>
        <w:rPr>
          <w:b/>
        </w:rPr>
        <w:t xml:space="preserve">(c) Independent value. </w:t>
      </w:r>
      <w:r>
        <w:t>Cultural participation may be supported for its artistic, educational, historical, or expressive value. An applicant need not claim that an activity is medical treatment, increases productivity, or produces a measurable clinical benefit to establish an authorized purpose.</w:t>
      </w:r>
    </w:p>
    <w:p>
      <w:pPr>
        <w:pStyle w:val="LegalBody"/>
      </w:pPr>
      <w:r>
        <w:rPr>
          <w:b/>
        </w:rPr>
        <w:t xml:space="preserve">(d) Funding. </w:t>
      </w:r>
      <w:r>
        <w:t>Grants shall be drawn from the community and culture account and administered under title XXVII. The agencies shall coordinate with education, health, and community programs while preserving distinct professional standards.</w:t>
      </w:r>
    </w:p>
    <w:p>
      <w:pPr>
        <w:pStyle w:val="LegalBody"/>
      </w:pPr>
      <w:r>
        <w:rPr>
          <w:b/>
        </w:rPr>
        <w:t xml:space="preserve">(e) Freedom. </w:t>
      </w:r>
      <w:r>
        <w:t>This title does not authorize censorship of lawful expression, compulsory participation in art or ritual, or a governmental determination that one culture is more human than another. Selection shall use published criteria appropriate to the program and comply with constitutional requirements and the agencies' governing statutes.</w:t>
      </w:r>
    </w:p>
    <w:p>
      <w:bookmarkStart w:id="137" w:name="SEC_1302"/>
      <w:pPr>
        <w:pStyle w:val="Heading2"/>
      </w:pPr>
      <w:r>
        <w:t>SEC. 1302. ACCESSIBLE CULTURAL FACILITIES AND PUBLIC PROGRAMMING.</w:t>
      </w:r>
      <w:bookmarkEnd w:id="137"/>
    </w:p>
    <w:p>
      <w:pPr>
        <w:pStyle w:val="LegalBody"/>
      </w:pPr>
      <w:r>
        <w:rPr>
          <w:b/>
        </w:rPr>
        <w:t xml:space="preserve">(a) Grants. </w:t>
      </w:r>
      <w:r>
        <w:t>Assistance may improve physical and digital access, interpretation, captioning, audio description, sensory accommodations, affordable admission, transport coordination, and usable hours in eligible cultural institutions.</w:t>
      </w:r>
    </w:p>
    <w:p>
      <w:pPr>
        <w:pStyle w:val="LegalBody"/>
      </w:pPr>
      <w:r>
        <w:rPr>
          <w:b/>
        </w:rPr>
        <w:t xml:space="preserve">(b) Planning. </w:t>
      </w:r>
      <w:r>
        <w:t>Projects shall consult persons with relevant access needs before design and shall test actual visitor routes, ticketing, toilets, seating, communication, and emergency procedures. A nominally accessible entrance is insufficient where the funded activity remains inaccessible.</w:t>
      </w:r>
    </w:p>
    <w:p>
      <w:pPr>
        <w:pStyle w:val="LegalBody"/>
      </w:pPr>
      <w:r>
        <w:rPr>
          <w:b/>
        </w:rPr>
        <w:t xml:space="preserve">(c) Public information. </w:t>
      </w:r>
      <w:r>
        <w:t>Institutions shall provide accurate information about cost, duration, sensory conditions, access features, restrictions, and assistance. A person shall not be required to disclose a diagnosis publicly to obtain an accommodation.</w:t>
      </w:r>
    </w:p>
    <w:p>
      <w:pPr>
        <w:pStyle w:val="LegalBody"/>
      </w:pPr>
      <w:r>
        <w:rPr>
          <w:b/>
        </w:rPr>
        <w:t xml:space="preserve">(d) Staffing. </w:t>
      </w:r>
      <w:r>
        <w:t>Grants may support trained human assistance and accessible interpretation. Technology shall not replace necessary staff without evidence that the service remains usable and safe.</w:t>
      </w:r>
    </w:p>
    <w:p>
      <w:pPr>
        <w:pStyle w:val="LegalBody"/>
      </w:pPr>
      <w:r>
        <w:rPr>
          <w:b/>
        </w:rPr>
        <w:t xml:space="preserve">(e) Evaluation. </w:t>
      </w:r>
      <w:r>
        <w:t>Measures shall include actual participation, user experience, unmet demand, and reliability of access features. Capital completion shall not be treated as sustained access without maintenance and operational support. Awards shall specify responsibility for repair and continued availability of funded access improvements over their expected useful life, subject to lawful disposition rules.</w:t>
      </w:r>
    </w:p>
    <w:p>
      <w:bookmarkStart w:id="138" w:name="SEC_1303"/>
      <w:pPr>
        <w:pStyle w:val="Heading2"/>
      </w:pPr>
      <w:r>
        <w:t>SEC. 1303. ARTISTS, CULTURAL WORKERS, AND FAIR PROJECT CONDITIONS.</w:t>
      </w:r>
      <w:bookmarkEnd w:id="138"/>
    </w:p>
    <w:p>
      <w:pPr>
        <w:pStyle w:val="LegalBody"/>
      </w:pPr>
      <w:r>
        <w:rPr>
          <w:b/>
        </w:rPr>
        <w:t xml:space="preserve">(a) Compensation. </w:t>
      </w:r>
      <w:r>
        <w:t>Budgets shall include reasonable compensation for artistic, technical, educational, and administrative work. An institution shall not present required professional labor as voluntary solely because the project has a public or cultural purpose.</w:t>
      </w:r>
    </w:p>
    <w:p>
      <w:pPr>
        <w:pStyle w:val="LegalBody"/>
      </w:pPr>
      <w:r>
        <w:rPr>
          <w:b/>
        </w:rPr>
        <w:t xml:space="preserve">(b) Contracts. </w:t>
      </w:r>
      <w:r>
        <w:t>Written agreements shall identify scope, schedule, payment, expenses, credit, cancellation, intellectual-property terms, safety, accessibility, and dispute procedures. Material changes shall be documented rather than imposed through informal expectations.</w:t>
      </w:r>
    </w:p>
    <w:p>
      <w:pPr>
        <w:pStyle w:val="LegalBody"/>
      </w:pPr>
      <w:r>
        <w:rPr>
          <w:b/>
        </w:rPr>
        <w:t xml:space="preserve">(c) Rights. </w:t>
      </w:r>
      <w:r>
        <w:t>A funded artist shall not be required to surrender all future rights in unrelated work or agree never to criticize the recipient. Permissions necessary to exhibit, preserve, distribute, or evaluate the funded work shall be specific and proportionate.</w:t>
      </w:r>
    </w:p>
    <w:p>
      <w:pPr>
        <w:pStyle w:val="LegalBody"/>
      </w:pPr>
      <w:r>
        <w:rPr>
          <w:b/>
        </w:rPr>
        <w:t xml:space="preserve">(d) Safety. </w:t>
      </w:r>
      <w:r>
        <w:t>Recipients shall address hazardous materials, equipment, working hours, harassment, child performers, and public interaction according to applicable law. Artistic discretion does not excuse abuse or unsafe employment practices.</w:t>
      </w:r>
    </w:p>
    <w:p>
      <w:pPr>
        <w:pStyle w:val="LegalBody"/>
      </w:pPr>
      <w:r>
        <w:rPr>
          <w:b/>
        </w:rPr>
        <w:t xml:space="preserve">(e) Evaluation. </w:t>
      </w:r>
      <w:r>
        <w:t>Agencies shall assess whether resources reach workers, whether contracts are honored, and whether small or independent practitioners can participate. Public attention and ticket revenue may be relevant to a project's purpose but shall not be the sole measures of cultural value or grounds to disregard lawful selection criteria.</w:t>
      </w:r>
    </w:p>
    <w:p>
      <w:bookmarkStart w:id="139" w:name="SEC_1304"/>
      <w:pPr>
        <w:pStyle w:val="Heading2"/>
      </w:pPr>
      <w:r>
        <w:t>SEC. 1304. LANGUAGES, ORAL TRADITIONS, AND COMMUNITY KNOWLEDGE.</w:t>
      </w:r>
      <w:bookmarkEnd w:id="139"/>
    </w:p>
    <w:p>
      <w:pPr>
        <w:pStyle w:val="LegalBody"/>
      </w:pPr>
      <w:r>
        <w:rPr>
          <w:b/>
        </w:rPr>
        <w:t xml:space="preserve">(a) Grants. </w:t>
      </w:r>
      <w:r>
        <w:t>Assistance may support language teaching, documentation, translation, accessible publication, oral history, and intergenerational transmission requested or led by relevant communities. Projects shall distinguish preservation from attempts to freeze a living language or culture in a prescribed historical form.</w:t>
      </w:r>
    </w:p>
    <w:p>
      <w:pPr>
        <w:pStyle w:val="LegalBody"/>
      </w:pPr>
      <w:r>
        <w:rPr>
          <w:b/>
        </w:rPr>
        <w:t xml:space="preserve">(b) Authority and consent. </w:t>
      </w:r>
      <w:r>
        <w:t>Agreements shall identify who may authorize recording, public access, translation, commercial use, and disclosure of restricted knowledge. A person's consent to an interview does not automatically authorize unrelated reuse of community-sensitive material.</w:t>
      </w:r>
    </w:p>
    <w:p>
      <w:pPr>
        <w:pStyle w:val="LegalBody"/>
      </w:pPr>
      <w:r>
        <w:rPr>
          <w:b/>
        </w:rPr>
        <w:t xml:space="preserve">(c) Participation. </w:t>
      </w:r>
      <w:r>
        <w:t>Community contributors shall receive appropriate credit and compensation. A project shall provide usable copies and locally appropriate access rather than extract knowledge solely for a distant repository.</w:t>
      </w:r>
    </w:p>
    <w:p>
      <w:pPr>
        <w:pStyle w:val="LegalBody"/>
      </w:pPr>
      <w:r>
        <w:rPr>
          <w:b/>
        </w:rPr>
        <w:t xml:space="preserve">(d) Scientific and expressive freedom. </w:t>
      </w:r>
      <w:r>
        <w:t>Restrictions shall protect lawful confidentiality, intellectual property, and cultural permissions without creating a general power to suppress independent research or criticism. Disputes shall be addressed through documented agreements and applicable law.</w:t>
      </w:r>
    </w:p>
    <w:p>
      <w:pPr>
        <w:pStyle w:val="LegalBody"/>
      </w:pPr>
      <w:r>
        <w:rPr>
          <w:b/>
        </w:rPr>
        <w:t xml:space="preserve">(e) Evaluation. </w:t>
      </w:r>
      <w:r>
        <w:t>Measures shall reflect the project's purpose, including teaching capacity, usable resources, participation, and community-defined access. Speaker counts or archive volume alone shall not establish vitality. Projects shall plan for format migration, training, and continued stewardship after the award ends.</w:t>
      </w:r>
    </w:p>
    <w:p>
      <w:bookmarkStart w:id="140" w:name="SEC_1305"/>
      <w:pPr>
        <w:pStyle w:val="Heading2"/>
      </w:pPr>
      <w:r>
        <w:t>SEC. 1305. HERITAGE, MUSEUMS, AND HISTORICAL INTERPRETATION.</w:t>
      </w:r>
      <w:bookmarkEnd w:id="140"/>
    </w:p>
    <w:p>
      <w:pPr>
        <w:pStyle w:val="LegalBody"/>
      </w:pPr>
      <w:r>
        <w:rPr>
          <w:b/>
        </w:rPr>
        <w:t xml:space="preserve">(a) Activities. </w:t>
      </w:r>
      <w:r>
        <w:t>Grants may support conservation, lawful collection stewardship, accessible interpretation, digitization, and public understanding of human history. Projects shall identify provenance, ownership, preservation needs, and applicable repatriation or export restrictions.</w:t>
      </w:r>
    </w:p>
    <w:p>
      <w:pPr>
        <w:pStyle w:val="LegalBody"/>
      </w:pPr>
      <w:r>
        <w:rPr>
          <w:b/>
        </w:rPr>
        <w:t xml:space="preserve">(b) Interpretation. </w:t>
      </w:r>
      <w:r>
        <w:t>Public materials shall distinguish documented fact, scholarly interpretation, uncertainty, and contested accounts. A recipient shall not fabricate certainty, conceal a material provenance dispute, or present a reconstructed object as an original without disclosure.</w:t>
      </w:r>
    </w:p>
    <w:p>
      <w:pPr>
        <w:pStyle w:val="LegalBody"/>
      </w:pPr>
      <w:r>
        <w:rPr>
          <w:b/>
        </w:rPr>
        <w:t xml:space="preserve">(c) Community engagement. </w:t>
      </w:r>
      <w:r>
        <w:t>Institutions shall consult affected communities where appropriate to the collection or interpretation and shall comply with legally required consultation and consent. Consultation shall not be used merely to endorse a decision already irrevocably made.</w:t>
      </w:r>
    </w:p>
    <w:p>
      <w:pPr>
        <w:pStyle w:val="LegalBody"/>
      </w:pPr>
      <w:r>
        <w:rPr>
          <w:b/>
        </w:rPr>
        <w:t xml:space="preserve">(d) Human remains. </w:t>
      </w:r>
      <w:r>
        <w:t>Research and display involving human remains or protected cultural items shall comply with section 406 and applicable law. Digitization shall not be treated as an exception to a legal restriction on access or use.</w:t>
      </w:r>
    </w:p>
    <w:p>
      <w:pPr>
        <w:pStyle w:val="LegalBody"/>
      </w:pPr>
      <w:r>
        <w:rPr>
          <w:b/>
        </w:rPr>
        <w:t xml:space="preserve">(e) Access and safety. </w:t>
      </w:r>
      <w:r>
        <w:t>Digital release shall consider privacy, sacred or restricted knowledge, site security, and the risk of facilitating theft or destruction. A lawful restriction shall be explained where possible. Preservation funds shall not support acquisition of material known to have been unlawfully removed or trafficked.</w:t>
      </w:r>
    </w:p>
    <w:p>
      <w:bookmarkStart w:id="141" w:name="SEC_1306"/>
      <w:pPr>
        <w:pStyle w:val="Heading2"/>
      </w:pPr>
      <w:r>
        <w:t>SEC. 1306. ARTS IN HEALTH AND CARE SETTINGS.</w:t>
      </w:r>
      <w:bookmarkEnd w:id="141"/>
    </w:p>
    <w:p>
      <w:pPr>
        <w:pStyle w:val="LegalBody"/>
      </w:pPr>
      <w:r>
        <w:rPr>
          <w:b/>
        </w:rPr>
        <w:t xml:space="preserve">(a) Activities. </w:t>
      </w:r>
      <w:r>
        <w:t>Grants may support voluntary arts participation in healthcare, rehabilitation, aging, disability, and community support settings. Projects shall specify whether they provide cultural access, general well-being activity, or a clinical arts therapy requiring qualified practice.</w:t>
      </w:r>
    </w:p>
    <w:p>
      <w:pPr>
        <w:pStyle w:val="LegalBody"/>
      </w:pPr>
      <w:r>
        <w:rPr>
          <w:b/>
        </w:rPr>
        <w:t xml:space="preserve">(b) Evidence and claims. </w:t>
      </w:r>
      <w:r>
        <w:t>A recipient shall not present all arts activity as proven treatment. Clinical claims shall identify the intervention, population, outcome, and evidence. Cultural and expressive benefits may be described without converting them into unsupported medical assertions.</w:t>
      </w:r>
    </w:p>
    <w:p>
      <w:pPr>
        <w:pStyle w:val="LegalBody"/>
      </w:pPr>
      <w:r>
        <w:rPr>
          <w:b/>
        </w:rPr>
        <w:t xml:space="preserve">(c) Consent. </w:t>
      </w:r>
      <w:r>
        <w:t>Patients and residents may decline participation without losing unrelated care. A person's creative work, image, voice, or personal narrative shall not be used publicly without separate permission appropriate to capacity and law.</w:t>
      </w:r>
    </w:p>
    <w:p>
      <w:pPr>
        <w:pStyle w:val="LegalBody"/>
      </w:pPr>
      <w:r>
        <w:rPr>
          <w:b/>
        </w:rPr>
        <w:t xml:space="preserve">(d) Professional coordination. </w:t>
      </w:r>
      <w:r>
        <w:t>Artists shall receive training concerning boundaries, confidentiality, safety, and the setting's needs. Clinical staff shall not delegate treatment responsibility to an unqualified artist, and artists shall not be required to perform clinical duties outside competence.</w:t>
      </w:r>
    </w:p>
    <w:p>
      <w:pPr>
        <w:pStyle w:val="LegalBody"/>
      </w:pPr>
      <w:r>
        <w:rPr>
          <w:b/>
        </w:rPr>
        <w:t xml:space="preserve">(e) Evaluation. </w:t>
      </w:r>
      <w:r>
        <w:t>Programs shall assess access, enjoyment, expression, participation, and any specifically claimed clinical outcome using suitable methods. Adverse experiences and cultural mismatch shall be considered. An activity shall not substitute for necessary staffing, treatment, or correction of an unsafe environment.</w:t>
      </w:r>
    </w:p>
    <w:p>
      <w:bookmarkStart w:id="142" w:name="SEC_1307"/>
      <w:pPr>
        <w:pStyle w:val="Heading2"/>
      </w:pPr>
      <w:r>
        <w:t>SEC. 1307. DIGITAL CULTURE, CREATIVE TOOLS, AND HUMAN AUTHORSHIP.</w:t>
      </w:r>
      <w:bookmarkEnd w:id="142"/>
    </w:p>
    <w:p>
      <w:pPr>
        <w:pStyle w:val="LegalBody"/>
      </w:pPr>
      <w:r>
        <w:rPr>
          <w:b/>
        </w:rPr>
        <w:t xml:space="preserve">(a) Access. </w:t>
      </w:r>
      <w:r>
        <w:t>Grants may support accessible digital production, preservation, distribution, and creative tools, including responsible use of artificial intelligence where consistent with the project's purpose and applicable intellectual-property law.</w:t>
      </w:r>
    </w:p>
    <w:p>
      <w:pPr>
        <w:pStyle w:val="LegalBody"/>
      </w:pPr>
      <w:r>
        <w:rPr>
          <w:b/>
        </w:rPr>
        <w:t xml:space="preserve">(b) Transparency. </w:t>
      </w:r>
      <w:r>
        <w:t>A recipient shall describe material automated generation or manipulation where necessary to avoid misleading audiences about authenticity, authorship, evidence, or the nature of a historical record. This requirement shall not compel disclosure of every ordinary editing tool or restrict clearly fictional expression.</w:t>
      </w:r>
    </w:p>
    <w:p>
      <w:pPr>
        <w:pStyle w:val="LegalBody"/>
      </w:pPr>
      <w:r>
        <w:rPr>
          <w:b/>
        </w:rPr>
        <w:t xml:space="preserve">(c) Rights. </w:t>
      </w:r>
      <w:r>
        <w:t>Procurement and project agreements shall address licenses, training-data permissions, attribution, performer consent, synthetic replication, and portability. This title does not create a copyright interest in material that is not protected under applicable law or authorize use of protected work without a lawful basis.</w:t>
      </w:r>
    </w:p>
    <w:p>
      <w:pPr>
        <w:pStyle w:val="LegalBody"/>
      </w:pPr>
      <w:r>
        <w:rPr>
          <w:b/>
        </w:rPr>
        <w:t xml:space="preserve">(d) Human opportunity. </w:t>
      </w:r>
      <w:r>
        <w:t>Evaluation may examine whether technology expands access, supports creative skill, or changes compensation and participation. A tool shall not be presumed beneficial solely because it reduces labor costs, nor prohibited solely because it is automated.</w:t>
      </w:r>
    </w:p>
    <w:p>
      <w:pPr>
        <w:pStyle w:val="LegalBody"/>
      </w:pPr>
      <w:r>
        <w:rPr>
          <w:b/>
        </w:rPr>
        <w:t xml:space="preserve">(e) Preservation. </w:t>
      </w:r>
      <w:r>
        <w:t>Digital projects shall maintain usable formats, metadata, provenance, and migration plans. A public archive shall not depend entirely on a private platform that can remove access without notice or export. Contracts shall provide continuity proportionate to the cultural and public value of the materials.</w:t>
      </w:r>
    </w:p>
    <w:p>
      <w:bookmarkStart w:id="143" w:name="SEC_1308"/>
      <w:pPr>
        <w:pStyle w:val="Heading2"/>
      </w:pPr>
      <w:r>
        <w:t>SEC. 1308. PUBLIC SPACE, FESTIVALS, AND COMMUNITY EXPRESSION.</w:t>
      </w:r>
      <w:bookmarkEnd w:id="143"/>
    </w:p>
    <w:p>
      <w:pPr>
        <w:pStyle w:val="LegalBody"/>
      </w:pPr>
      <w:r>
        <w:rPr>
          <w:b/>
        </w:rPr>
        <w:t xml:space="preserve">(a) Grants. </w:t>
      </w:r>
      <w:r>
        <w:t>Assistance may support accessible festivals, performances, exhibitions, public art, and community storytelling where the project has a defined cultural purpose and lawful permission to use the space.</w:t>
      </w:r>
    </w:p>
    <w:p>
      <w:pPr>
        <w:pStyle w:val="LegalBody"/>
      </w:pPr>
      <w:r>
        <w:rPr>
          <w:b/>
        </w:rPr>
        <w:t xml:space="preserve">(b) Planning. </w:t>
      </w:r>
      <w:r>
        <w:t>Budgets shall include permits, insurance, sanitation, accessibility, transport, crowd management, noise compliance, worker compensation, and restoration of the site. A project shall not rely on uncounted public services without coordination with the responsible authority.</w:t>
      </w:r>
    </w:p>
    <w:p>
      <w:pPr>
        <w:pStyle w:val="LegalBody"/>
      </w:pPr>
      <w:r>
        <w:rPr>
          <w:b/>
        </w:rPr>
        <w:t xml:space="preserve">(c) Selection. </w:t>
      </w:r>
      <w:r>
        <w:t>Publicly funded selection processes shall publish criteria, conflicts rules, and decision procedures. A recipient shall not require agreement with a political position as a condition of participation. Content restrictions necessary for a specifically defined program shall comply with constitutional and statutory requirements.</w:t>
      </w:r>
    </w:p>
    <w:p>
      <w:pPr>
        <w:pStyle w:val="LegalBody"/>
      </w:pPr>
      <w:r>
        <w:rPr>
          <w:b/>
        </w:rPr>
        <w:t xml:space="preserve">(d) Safety. </w:t>
      </w:r>
      <w:r>
        <w:t>Rules shall address actual conduct, capacity, and safety rather than suppress an unpopular lawful viewpoint. Persons excluded for misconduct shall receive an explanation and a proportionate review route where feasible.</w:t>
      </w:r>
    </w:p>
    <w:p>
      <w:pPr>
        <w:pStyle w:val="LegalBody"/>
      </w:pPr>
      <w:r>
        <w:rPr>
          <w:b/>
        </w:rPr>
        <w:t xml:space="preserve">(e) Evaluation. </w:t>
      </w:r>
      <w:r>
        <w:t>Reports shall include attendance, accessibility, local participation, costs, complaints, and environmental effects. A festival shall not be declared a community benefit solely on gross spending where displacement, unpaid labor, or public costs are material. Personal images and stories used in promotion shall comply with applicable consent and privacy requirements.</w:t>
      </w:r>
    </w:p>
    <w:p>
      <w:bookmarkStart w:id="144" w:name="SEC_1309"/>
      <w:pPr>
        <w:pStyle w:val="Heading2"/>
      </w:pPr>
      <w:r>
        <w:t>SEC. 1309. CULTURAL RESEARCH AND INTERNATIONAL EXCHANGE.</w:t>
      </w:r>
      <w:bookmarkEnd w:id="144"/>
    </w:p>
    <w:p>
      <w:pPr>
        <w:pStyle w:val="LegalBody"/>
      </w:pPr>
      <w:r>
        <w:rPr>
          <w:b/>
        </w:rPr>
        <w:t xml:space="preserve">(a) Research. </w:t>
      </w:r>
      <w:r>
        <w:t>Agencies may support research concerning cultural participation, creativity, language, artistic practice, and their relationship to learning, social connection, and health. Studies shall use methods appropriate to the question and shall distinguish interpretation from causal claims.</w:t>
      </w:r>
    </w:p>
    <w:p>
      <w:pPr>
        <w:pStyle w:val="LegalBody"/>
      </w:pPr>
      <w:r>
        <w:rPr>
          <w:b/>
        </w:rPr>
        <w:t xml:space="preserve">(b) Exchange. </w:t>
      </w:r>
      <w:r>
        <w:t>In coordination with the Secretary of State, grants may support lawful reciprocal exchanges, translation, collaborative exhibitions, and shared preservation methods. Projects shall provide fair credit, compensation, and access to participating institutions outside the United States.</w:t>
      </w:r>
    </w:p>
    <w:p>
      <w:pPr>
        <w:pStyle w:val="LegalBody"/>
      </w:pPr>
      <w:r>
        <w:rPr>
          <w:b/>
        </w:rPr>
        <w:t xml:space="preserve">(c) Transferability. </w:t>
      </w:r>
      <w:r>
        <w:t>An approach developed in one cultural setting shall not be assumed to transfer unchanged to another. Research and exchange shall examine context, language, institutions, participant preferences, and power imbalances.</w:t>
      </w:r>
    </w:p>
    <w:p>
      <w:pPr>
        <w:pStyle w:val="LegalBody"/>
      </w:pPr>
      <w:r>
        <w:rPr>
          <w:b/>
        </w:rPr>
        <w:t xml:space="preserve">(d) Intellectual freedom. </w:t>
      </w:r>
      <w:r>
        <w:t>Participation shall not require endorsement of a government's political position. Applicable sanctions, export, visa, and security laws remain controlling, but restrictions shall not be invented through an informal program preference.</w:t>
      </w:r>
    </w:p>
    <w:p>
      <w:pPr>
        <w:pStyle w:val="LegalBody"/>
      </w:pPr>
      <w:r>
        <w:rPr>
          <w:b/>
        </w:rPr>
        <w:t xml:space="preserve">(e) Evaluation. </w:t>
      </w:r>
      <w:r>
        <w:t>Reports shall identify scholarly and cultural outputs, reciprocal benefits, access, and unmet commitments. Public diplomacy goals shall be distinguished from scientific findings. An exchange shall not be described as evidence that an entire society endorses a particular policy or that one culture is superior to another.</w:t>
      </w:r>
    </w:p>
    <w:p>
      <w:bookmarkStart w:id="145" w:name="SEC_1310"/>
      <w:pPr>
        <w:pStyle w:val="Heading2"/>
      </w:pPr>
      <w:r>
        <w:t>SEC. 1310. CULTURAL PROGRAM GOVERNANCE AND REVIEW.</w:t>
      </w:r>
      <w:bookmarkEnd w:id="145"/>
    </w:p>
    <w:p>
      <w:pPr>
        <w:pStyle w:val="LegalBody"/>
      </w:pPr>
      <w:r>
        <w:rPr>
          <w:b/>
        </w:rPr>
        <w:t xml:space="preserve">(a) Governance. </w:t>
      </w:r>
      <w:r>
        <w:t>The administering agencies shall use peer review and professional expertise appropriate to each program, with conflict disclosure, accessible application routes, and published selection criteria. Small organizations shall receive proportionate technical assistance without exemption from core safeguards.</w:t>
      </w:r>
    </w:p>
    <w:p>
      <w:pPr>
        <w:pStyle w:val="LegalBody"/>
      </w:pPr>
      <w:r>
        <w:rPr>
          <w:b/>
        </w:rPr>
        <w:t xml:space="preserve">(b) Reporting. </w:t>
      </w:r>
      <w:r>
        <w:t>Recipients shall report expenditures, delivery, access, worker compensation, rights permissions, and material changes. Reporting shall not require artists to explain private beliefs or quantify every expressive outcome in medical or economic terms.</w:t>
      </w:r>
    </w:p>
    <w:p>
      <w:pPr>
        <w:pStyle w:val="LegalBody"/>
      </w:pPr>
      <w:r>
        <w:rPr>
          <w:b/>
        </w:rPr>
        <w:t xml:space="preserve">(c) Review. </w:t>
      </w:r>
      <w:r>
        <w:t>The 5-year evaluation shall assess access, diversity of practice and geography, stewardship, fair conditions, administrative burden, and the reliability of any claimed health or learning effects. It shall not produce an official hierarchy of cultures or artistic viewpoints.</w:t>
      </w:r>
    </w:p>
    <w:p>
      <w:pPr>
        <w:pStyle w:val="LegalBody"/>
      </w:pPr>
      <w:r>
        <w:rPr>
          <w:b/>
        </w:rPr>
        <w:t xml:space="preserve">(d) Corrective action. </w:t>
      </w:r>
      <w:r>
        <w:t>Failures involving funds, access, safety, consent, or contractual duties may be addressed under title XXVIII. Disagreement with a lawful artistic viewpoint is not by itself a program violation.</w:t>
      </w:r>
    </w:p>
    <w:p>
      <w:pPr>
        <w:pStyle w:val="LegalBody"/>
      </w:pPr>
      <w:r>
        <w:rPr>
          <w:b/>
        </w:rPr>
        <w:t xml:space="preserve">(e) Continuity. </w:t>
      </w:r>
      <w:r>
        <w:t>Awards involving facilities, archives, or long-lived work shall specify maintenance, ownership, access, transfer, and closure. The expiration of funding shall not automatically transfer an artist's unrelated rights to the government. Cultural assistance remains subject to the appropriations and ceilings in title XXIX and does not create a permanent entitlement to renewal.</w:t>
      </w:r>
    </w:p>
    <w:p>
      <w:bookmarkStart w:id="146" w:name="TITLE_XIV"/>
      <w:pPr>
        <w:pStyle w:val="Heading1"/>
        <w:pageBreakBefore/>
      </w:pPr>
      <w:r>
        <w:t>TITLE XIV. WORK, REST, CAREGIVING TIME, AND ECONOMIC TRANSITION</w:t>
      </w:r>
      <w:bookmarkEnd w:id="146"/>
    </w:p>
    <w:p>
      <w:bookmarkStart w:id="147" w:name="SEC_1401"/>
      <w:pPr>
        <w:pStyle w:val="Heading2"/>
      </w:pPr>
      <w:r>
        <w:t>SEC. 1401. COVERED EMPLOYMENT AND LABOR ADMINISTRATION.</w:t>
      </w:r>
      <w:bookmarkEnd w:id="147"/>
    </w:p>
    <w:p>
      <w:pPr>
        <w:pStyle w:val="LegalBody"/>
      </w:pPr>
      <w:r>
        <w:rPr>
          <w:b/>
        </w:rPr>
        <w:t xml:space="preserve">(a) Covered employer. </w:t>
      </w:r>
      <w:r>
        <w:t>For purposes of this title, a covered employer means a private employer engaged in an industry affecting interstate or foreign commerce that employs at least 15 employees for each working day in at least 20 calendar weeks in the current or preceding calendar year. Controlled entities shall be aggregated where they constitute an integrated enterprise under standards prescribed by the Secretary of Labor. An employer shall not divide an enterprise for the purpose of evading this title.</w:t>
      </w:r>
    </w:p>
    <w:p>
      <w:pPr>
        <w:pStyle w:val="LegalBody"/>
      </w:pPr>
      <w:r>
        <w:rPr>
          <w:b/>
        </w:rPr>
        <w:t xml:space="preserve">(b) Employee. </w:t>
      </w:r>
      <w:r>
        <w:t>Employee status shall be determined using the employment relationship standards applicable under the Fair Labor Standards Act of 1938, rather than the label selected by the parties. A genuine independent contractor is not made an employee solely by this Act. A worker performing services physically outside United States jurisdiction is excluded unless another express provision of Federal law applies.</w:t>
      </w:r>
    </w:p>
    <w:p>
      <w:pPr>
        <w:pStyle w:val="LegalBody"/>
      </w:pPr>
      <w:r>
        <w:rPr>
          <w:b/>
        </w:rPr>
        <w:t xml:space="preserve">(c) Federal employment. </w:t>
      </w:r>
      <w:r>
        <w:t>Federal agencies shall provide protections at least equivalent to sections 1402, 1403, and 1405, administered by the Office of Personnel Management within applicable personnel systems. A State, local, or tribal government is subject under this title only to conditions expressly accepted for its funded activity under section 1410; other labor laws remain applicable independently.</w:t>
      </w:r>
    </w:p>
    <w:p>
      <w:pPr>
        <w:pStyle w:val="LegalBody"/>
      </w:pPr>
      <w:r>
        <w:rPr>
          <w:b/>
        </w:rPr>
        <w:t xml:space="preserve">(d) Administration. </w:t>
      </w:r>
      <w:r>
        <w:t>The Secretary of Labor shall administer this title and issue implementing rules under section 3002. Private-employer duties take effect 730 days after enactment. Technical assistance shall begin before that date, and no monetary penalty shall apply retroactively.</w:t>
      </w:r>
    </w:p>
    <w:p>
      <w:pPr>
        <w:pStyle w:val="LegalBody"/>
      </w:pPr>
      <w:r>
        <w:rPr>
          <w:b/>
        </w:rPr>
        <w:t xml:space="preserve">(e) Minimum protections. </w:t>
      </w:r>
      <w:r>
        <w:t>This title establishes minimum protections and does not reduce a greater contractual, collective-bargaining, Federal, State, or local right. A collective agreement may provide an equivalent or more protective method of administration but may not waive the minimum substantive protection.</w:t>
      </w:r>
    </w:p>
    <w:p>
      <w:bookmarkStart w:id="148" w:name="SEC_1402"/>
      <w:pPr>
        <w:pStyle w:val="Heading2"/>
      </w:pPr>
      <w:r>
        <w:t>SEC. 1402. PAID HEALTH AND CAREGIVING TIME.</w:t>
      </w:r>
      <w:bookmarkEnd w:id="148"/>
    </w:p>
    <w:p>
      <w:pPr>
        <w:pStyle w:val="LegalBody"/>
      </w:pPr>
      <w:r>
        <w:rPr>
          <w:b/>
        </w:rPr>
        <w:t xml:space="preserve">(a) Accrual. </w:t>
      </w:r>
      <w:r>
        <w:t>A covered employee shall accrue at least 1 hour of paid health and caregiving time for every 30 hours worked, up to 56 hours in a 12-month period designated and disclosed by the employer. An employee exempt from Federal overtime requirements shall be presumed to work 40 hours weekly for accrual unless the employee's normal workweek is shorter.</w:t>
      </w:r>
    </w:p>
    <w:p>
      <w:pPr>
        <w:pStyle w:val="LegalBody"/>
      </w:pPr>
      <w:r>
        <w:rPr>
          <w:b/>
        </w:rPr>
        <w:t xml:space="preserve">(b) Use. </w:t>
      </w:r>
      <w:r>
        <w:t>Accrued time may be used for the employee's illness, injury, preventive or mental-health care; care for a family member or a person whose close association is equivalent to a family relationship; necessary steps concerning domestic violence or sexual assault; or closure of a workplace or a dependent's care setting by a lawful public-health order. An employer shall not require disclosure of a diagnosis or intimate details beyond information reasonably necessary to establish a qualifying use.</w:t>
      </w:r>
    </w:p>
    <w:p>
      <w:pPr>
        <w:pStyle w:val="LegalBody"/>
      </w:pPr>
      <w:r>
        <w:rPr>
          <w:b/>
        </w:rPr>
        <w:t xml:space="preserve">(c) Availability and carryover. </w:t>
      </w:r>
      <w:r>
        <w:t>Use may begin after 90 calendar days of employment. Up to 56 unused hours shall carry over, but an employer need not permit more than 56 hours of use in a designated year under this section. An employer may instead provide at least 56 hours at the beginning of the year. Equivalent existing paid leave satisfies this section if usable for all qualifying purposes on terms no less protective.</w:t>
      </w:r>
    </w:p>
    <w:p>
      <w:pPr>
        <w:pStyle w:val="LegalBody"/>
      </w:pPr>
      <w:r>
        <w:rPr>
          <w:b/>
        </w:rPr>
        <w:t xml:space="preserve">(d) Pay and notice. </w:t>
      </w:r>
      <w:r>
        <w:t>Time shall be paid at the employee's ordinary rate for the scheduled hours, excluding overtime premiums. Reasonable advance notice may be required where foreseeable. Documentation may be requested for more than 3 consecutive scheduled workdays, with reasonable alternatives where obtaining documentation would impose an undue burden.</w:t>
      </w:r>
    </w:p>
    <w:p>
      <w:pPr>
        <w:pStyle w:val="LegalBody"/>
      </w:pPr>
      <w:r>
        <w:rPr>
          <w:b/>
        </w:rPr>
        <w:t xml:space="preserve">(e) Protection. </w:t>
      </w:r>
      <w:r>
        <w:t>The employee shall not be required to find a replacement. Retaliation and attendance penalties for lawful use are prohibited. No payout at separation is required, but unused protected time shall be restored upon rehire within 12 months. Payroll records shall be retained for 3 years, with health information stored separately and confidentially.</w:t>
      </w:r>
    </w:p>
    <w:p>
      <w:bookmarkStart w:id="149" w:name="SEC_1403"/>
      <w:pPr>
        <w:pStyle w:val="Heading2"/>
      </w:pPr>
      <w:r>
        <w:t>SEC. 1403. REST BETWEEN SHIFTS AND WEEKLY RECOVERY.</w:t>
      </w:r>
      <w:bookmarkEnd w:id="149"/>
    </w:p>
    <w:p>
      <w:pPr>
        <w:pStyle w:val="LegalBody"/>
      </w:pPr>
      <w:r>
        <w:rPr>
          <w:b/>
        </w:rPr>
        <w:t xml:space="preserve">(a) Daily interval. </w:t>
      </w:r>
      <w:r>
        <w:t>A covered employer shall not require an employee who is not exempt from Federal overtime requirements to begin a scheduled work period fewer than 11 consecutive hours after the end of the preceding work period. An interval during which the employee is required to perform work or remain at a prescribed worksite is not rest.</w:t>
      </w:r>
    </w:p>
    <w:p>
      <w:pPr>
        <w:pStyle w:val="LegalBody"/>
      </w:pPr>
      <w:r>
        <w:rPr>
          <w:b/>
        </w:rPr>
        <w:t xml:space="preserve">(b) Limited voluntary variation. </w:t>
      </w:r>
      <w:r>
        <w:t>An employee may request or voluntarily agree in a separate writing to a shorter interval for a particular occasion. Consent shall not be a condition of hiring, continued employment, or preferred scheduling and shall not be solicited through a blanket advance waiver. An employer may rely on this exception for no more than 3 intervals in any rolling 14-day period and shall provide the full interval after the next work period.</w:t>
      </w:r>
    </w:p>
    <w:p>
      <w:pPr>
        <w:pStyle w:val="LegalBody"/>
      </w:pPr>
      <w:r>
        <w:rPr>
          <w:b/>
        </w:rPr>
        <w:t xml:space="preserve">(c) Weekly recovery. </w:t>
      </w:r>
      <w:r>
        <w:t>An employer shall provide at least 24 consecutive hours free from required work in each 7-day period, in addition to the daily interval adjoining that period, unless a more protective applicable rule governs. A collective agreement may average this requirement over 14 days if the employee receives at least two equivalent recovery periods and the arrangement does not violate a safety rule.</w:t>
      </w:r>
    </w:p>
    <w:p>
      <w:pPr>
        <w:pStyle w:val="LegalBody"/>
      </w:pPr>
      <w:r>
        <w:rPr>
          <w:b/>
        </w:rPr>
        <w:t xml:space="preserve">(d) Emergency. </w:t>
      </w:r>
      <w:r>
        <w:t>Temporary deviation is permitted to address an unforeseeable imminent threat to life, serious physical safety, or continuity of an essential emergency service where reasonable staffing alternatives are unavailable. Predictable seasonal demand, ordinary understaffing, and avoidance of overtime cost are not emergencies. The employer shall document the circumstances and provide compensatory recovery as soon as practicable, ordinarily within 72 hours.</w:t>
      </w:r>
    </w:p>
    <w:p>
      <w:pPr>
        <w:pStyle w:val="LegalBody"/>
      </w:pPr>
      <w:r>
        <w:rPr>
          <w:b/>
        </w:rPr>
        <w:t xml:space="preserve">(e) Relationship to other law. </w:t>
      </w:r>
      <w:r>
        <w:t>This section does not authorize hours exceeding a sector-specific limit or reduce required pay. The Secretary of Labor shall coordinate implementation with transportation, emergency-service, and healthcare authorities without issuing a categorical exemption unsupported by the statutory standard.</w:t>
      </w:r>
    </w:p>
    <w:p>
      <w:bookmarkStart w:id="150" w:name="SEC_1404"/>
      <w:pPr>
        <w:pStyle w:val="Heading2"/>
      </w:pPr>
      <w:r>
        <w:t>SEC. 1404. PREDICTABLE SCHEDULING FOR LARGE HOURLY WORKFORCES.</w:t>
      </w:r>
      <w:bookmarkEnd w:id="150"/>
    </w:p>
    <w:p>
      <w:pPr>
        <w:pStyle w:val="LegalBody"/>
      </w:pPr>
      <w:r>
        <w:rPr>
          <w:b/>
        </w:rPr>
        <w:t xml:space="preserve">(a) Coverage. </w:t>
      </w:r>
      <w:r>
        <w:t>This section applies to covered employers with at least 100 employees and to employees whose schedules determine compensable hourly work and who are not exempt from Federal overtime requirements. The employer shall provide a written work schedule at least 14 calendar days before the scheduled period begins.</w:t>
      </w:r>
    </w:p>
    <w:p>
      <w:pPr>
        <w:pStyle w:val="LegalBody"/>
      </w:pPr>
      <w:r>
        <w:rPr>
          <w:b/>
        </w:rPr>
        <w:t xml:space="preserve">(b) Changes. </w:t>
      </w:r>
      <w:r>
        <w:t>An employee may decline an employer-initiated addition of hours made fewer than 7 calendar days before the work is to occur without retaliation. Where the employer changes the start or end time, adds hours accepted by the employee, or cancels scheduled hours within that 7-day period, the employer shall pay 1 additional hour at the ordinary rate for each affected shift. A cancellation reducing scheduled paid work by more than 4 hours requires payment of 2 additional hours instead of 1.</w:t>
      </w:r>
    </w:p>
    <w:p>
      <w:pPr>
        <w:pStyle w:val="LegalBody"/>
      </w:pPr>
      <w:r>
        <w:rPr>
          <w:b/>
        </w:rPr>
        <w:t xml:space="preserve">(c) Exceptions. </w:t>
      </w:r>
      <w:r>
        <w:t>Additional payment is not required for a change requested by the employee; a voluntary shift exchange; a mutually agreed correction of a clerical error made within 24 hours after schedule publication; or an emergency meeting section 1403(d). A worker's acceptance of a change does not by itself waive payment.</w:t>
      </w:r>
    </w:p>
    <w:p>
      <w:pPr>
        <w:pStyle w:val="LegalBody"/>
      </w:pPr>
      <w:r>
        <w:rPr>
          <w:b/>
        </w:rPr>
        <w:t xml:space="preserve">(d) Information. </w:t>
      </w:r>
      <w:r>
        <w:t>At hiring, the employer shall provide a good-faith estimate of expected weekly hours and typical scheduling needs. An estimate is not a guarantee of hours but shall not be knowingly misleading. Material continuing changes shall be explained in writing.</w:t>
      </w:r>
    </w:p>
    <w:p>
      <w:pPr>
        <w:pStyle w:val="LegalBody"/>
      </w:pPr>
      <w:r>
        <w:rPr>
          <w:b/>
        </w:rPr>
        <w:t xml:space="preserve">(e) Records and rules. </w:t>
      </w:r>
      <w:r>
        <w:t>Schedules, changes, employee requests, and required payments shall be retained for 3 years. Rules shall address overnight shifts, genuinely self-scheduled work, and variable project assignments without permitting a label to defeat protection. More protective scheduling laws remain in effect, and duplicate premium payments for the same change may be credited to the extent they serve the same purpose.</w:t>
      </w:r>
    </w:p>
    <w:p>
      <w:bookmarkStart w:id="151" w:name="SEC_1405"/>
      <w:pPr>
        <w:pStyle w:val="Heading2"/>
      </w:pPr>
      <w:r>
        <w:t>SEC. 1405. AFTER-HOURS CONTACT AND RIGHT TO DISCONNECT.</w:t>
      </w:r>
      <w:bookmarkEnd w:id="151"/>
    </w:p>
    <w:p>
      <w:pPr>
        <w:pStyle w:val="LegalBody"/>
      </w:pPr>
      <w:r>
        <w:rPr>
          <w:b/>
        </w:rPr>
        <w:t xml:space="preserve">(a) General protection. </w:t>
      </w:r>
      <w:r>
        <w:t>A covered employee may decline to monitor or respond to work communications outside scheduled or otherwise agreed working time where requiring a response would be unreasonable. Declining an unreasonable contact shall not be grounds for discipline, reduced opportunity, or an adverse performance rating.</w:t>
      </w:r>
    </w:p>
    <w:p>
      <w:pPr>
        <w:pStyle w:val="LegalBody"/>
      </w:pPr>
      <w:r>
        <w:rPr>
          <w:b/>
        </w:rPr>
        <w:t xml:space="preserve">(b) Relevant circumstances. </w:t>
      </w:r>
      <w:r>
        <w:t>Reasonableness shall consider the purpose and urgency of contact, compensation for availability, the employee's role, advance notice, care responsibilities, disability accommodations, frequency of intrusion, and whether the issue could reasonably await working time. An employer's preference for immediate response is not alone sufficient.</w:t>
      </w:r>
    </w:p>
    <w:p>
      <w:pPr>
        <w:pStyle w:val="LegalBody"/>
      </w:pPr>
      <w:r>
        <w:rPr>
          <w:b/>
        </w:rPr>
        <w:t xml:space="preserve">(c) On-call arrangements. </w:t>
      </w:r>
      <w:r>
        <w:t>A genuine on-call arrangement shall identify expected availability, response duties, compensation where required, rest protections, and how the arrangement may be changed. Merely issuing a device or describing a worker as committed does not establish continuous availability.</w:t>
      </w:r>
    </w:p>
    <w:p>
      <w:pPr>
        <w:pStyle w:val="LegalBody"/>
      </w:pPr>
      <w:r>
        <w:rPr>
          <w:b/>
        </w:rPr>
        <w:t xml:space="preserve">(d) Work and pay. </w:t>
      </w:r>
      <w:r>
        <w:t>Time actually worked shall be recorded and compensated as required by applicable wage law. A rule against unauthorized overtime does not permit an employer to accept work without required pay. This section does not create overtime eligibility for an otherwise exempt employee.</w:t>
      </w:r>
    </w:p>
    <w:p>
      <w:pPr>
        <w:pStyle w:val="LegalBody"/>
      </w:pPr>
      <w:r>
        <w:rPr>
          <w:b/>
        </w:rPr>
        <w:t xml:space="preserve">(e) Procedure. </w:t>
      </w:r>
      <w:r>
        <w:t>Employers shall publish a contact policy and a route for raising disputes. A supervisor shall address recurring unreasonable contact rather than require the employee to silence essential personal communications. This section does not prohibit sending a message for later review, legitimate emergency contact, or a voluntary response; it protects against an unreasonable requirement and associated retaliation.</w:t>
      </w:r>
    </w:p>
    <w:p>
      <w:bookmarkStart w:id="152" w:name="SEC_1406"/>
      <w:pPr>
        <w:pStyle w:val="Heading2"/>
      </w:pPr>
      <w:r>
        <w:t>SEC. 1406. WORKER MONITORING, BIOMETRICS, AND HUMAN OVERSIGHT.</w:t>
      </w:r>
      <w:bookmarkEnd w:id="152"/>
    </w:p>
    <w:p>
      <w:pPr>
        <w:pStyle w:val="LegalBody"/>
      </w:pPr>
      <w:r>
        <w:rPr>
          <w:b/>
        </w:rPr>
        <w:t xml:space="preserve">(a) Notice and purpose. </w:t>
      </w:r>
      <w:r>
        <w:t>A covered employer using automated monitoring shall disclose the categories collected, purposes, decisions affected, retention, and responsible contact before collection begins, except a narrowly limited lawful investigation where notice would materially compromise evidence. Monitoring shall be reasonably related to a legitimate work purpose and proportionate to the intrusion.</w:t>
      </w:r>
    </w:p>
    <w:p>
      <w:pPr>
        <w:pStyle w:val="LegalBody"/>
      </w:pPr>
      <w:r>
        <w:rPr>
          <w:b/>
        </w:rPr>
        <w:t xml:space="preserve">(b) Prohibited practices. </w:t>
      </w:r>
      <w:r>
        <w:t>An employer shall not require neural monitoring, genetic disclosure, or purported emotion inference as a condition of ordinary employment, except a specifically justified clinical or safety use permitted by titles XX and XXI and other applicable law. An employee's general consent to workplace policies is insufficient.</w:t>
      </w:r>
    </w:p>
    <w:p>
      <w:pPr>
        <w:pStyle w:val="LegalBody"/>
      </w:pPr>
      <w:r>
        <w:rPr>
          <w:b/>
        </w:rPr>
        <w:t xml:space="preserve">(c) Private spaces. </w:t>
      </w:r>
      <w:r>
        <w:t>Monitoring shall not capture private toilet, changing, or lactation activity, confidential health consultations, or lawful protected organizing communications except where a specific overriding legal authority applies. Personal devices shall not be subject to unrelated surveillance merely because they occasionally access work systems.</w:t>
      </w:r>
    </w:p>
    <w:p>
      <w:pPr>
        <w:pStyle w:val="LegalBody"/>
      </w:pPr>
      <w:r>
        <w:rPr>
          <w:b/>
        </w:rPr>
        <w:t xml:space="preserve">(d) Decisions. </w:t>
      </w:r>
      <w:r>
        <w:t>A material employment decision based substantially on automation shall comply with title XIX, including notice, meaningful human review, and correction of material factual error. Productivity metrics shall account for lawful leave, accommodations, necessary safety tasks, and work not captured by the system.</w:t>
      </w:r>
    </w:p>
    <w:p>
      <w:pPr>
        <w:pStyle w:val="LegalBody"/>
      </w:pPr>
      <w:r>
        <w:rPr>
          <w:b/>
        </w:rPr>
        <w:t xml:space="preserve">(e) Enforcement. </w:t>
      </w:r>
      <w:r>
        <w:t>The Secretary of Labor shall coordinate with privacy and civil-rights authorities. This section does not authorize surveillance otherwise prohibited, require disclosure of protected union activity, or displace a more protective collective agreement. Individual monitoring data shall not be sold or used for unrelated commercial advertising.</w:t>
      </w:r>
    </w:p>
    <w:p>
      <w:bookmarkStart w:id="153" w:name="SEC_1407"/>
      <w:pPr>
        <w:pStyle w:val="Heading2"/>
      </w:pPr>
      <w:r>
        <w:t>SEC. 1407. WORK DESIGN, WORKER VOICE, AND OCCUPATIONAL WELL-BEING.</w:t>
      </w:r>
      <w:bookmarkEnd w:id="153"/>
    </w:p>
    <w:p>
      <w:pPr>
        <w:pStyle w:val="LegalBody"/>
      </w:pPr>
      <w:r>
        <w:rPr>
          <w:b/>
        </w:rPr>
        <w:t xml:space="preserve">(a) Grants. </w:t>
      </w:r>
      <w:r>
        <w:t>The Secretary of Labor may support participatory work-design projects addressing workload, ergonomics, predictability, supervision, safety, harassment prevention, and practical autonomy. Grants shall be financed from the work and care account and shall supplement existing occupational-safety duties.</w:t>
      </w:r>
    </w:p>
    <w:p>
      <w:pPr>
        <w:pStyle w:val="LegalBody"/>
      </w:pPr>
      <w:r>
        <w:rPr>
          <w:b/>
        </w:rPr>
        <w:t xml:space="preserve">(b) Worker participation. </w:t>
      </w:r>
      <w:r>
        <w:t>A project shall involve affected workers and, where applicable, their lawfully selected representatives in identifying problems and evaluating changes. Participation shall occur without retaliation and shall not substitute an employer-created committee for representation protected by labor law.</w:t>
      </w:r>
    </w:p>
    <w:p>
      <w:pPr>
        <w:pStyle w:val="LegalBody"/>
      </w:pPr>
      <w:r>
        <w:rPr>
          <w:b/>
        </w:rPr>
        <w:t xml:space="preserve">(c) Structural correction. </w:t>
      </w:r>
      <w:r>
        <w:t>A wellness class shall not excuse unsafe work, discrimination, wage violations, inadequate staffing, or an inaccessible process. The applicant shall identify which risks arise from organizational conditions and how the project addresses them.</w:t>
      </w:r>
    </w:p>
    <w:p>
      <w:pPr>
        <w:pStyle w:val="LegalBody"/>
      </w:pPr>
      <w:r>
        <w:rPr>
          <w:b/>
        </w:rPr>
        <w:t xml:space="preserve">(d) Evidence. </w:t>
      </w:r>
      <w:r>
        <w:t>Evaluation shall measure health and safety, worker experience, service quality, work intensity, turnover, and total costs. Self-reported satisfaction alone shall not establish that a project reduces clinical illness, and productivity gains shall be distinguished from unpaid labor or work transferred to others.</w:t>
      </w:r>
    </w:p>
    <w:p>
      <w:pPr>
        <w:pStyle w:val="LegalBody"/>
      </w:pPr>
      <w:r>
        <w:rPr>
          <w:b/>
        </w:rPr>
        <w:t xml:space="preserve">(e) Limits. </w:t>
      </w:r>
      <w:r>
        <w:t>This section does not create a general Federal power to dictate every workplace practice. Binding obligations arise from sections 1402 through 1406, existing labor law, and clearly stated grant conditions. A funded demonstration shall not waive a worker's existing rights or require participation in research as a condition of employment.</w:t>
      </w:r>
    </w:p>
    <w:p>
      <w:bookmarkStart w:id="154" w:name="SEC_1408"/>
      <w:pPr>
        <w:pStyle w:val="Heading2"/>
      </w:pPr>
      <w:r>
        <w:t>SEC. 1408. REDUCED-HOURS AND FLEXIBLE-WORK DEMONSTRATIONS.</w:t>
      </w:r>
      <w:bookmarkEnd w:id="154"/>
    </w:p>
    <w:p>
      <w:pPr>
        <w:pStyle w:val="LegalBody"/>
      </w:pPr>
      <w:r>
        <w:rPr>
          <w:b/>
        </w:rPr>
        <w:t xml:space="preserve">(a) Authority. </w:t>
      </w:r>
      <w:r>
        <w:t>The Secretary of Labor may award competitive grants for voluntary demonstrations of reduced hours without reduced base pay, flexible scheduling, predictable remote work, or other arrangements intended to improve human outcomes and service delivery. No general four-day workweek is established by this Act.</w:t>
      </w:r>
    </w:p>
    <w:p>
      <w:pPr>
        <w:pStyle w:val="LegalBody"/>
      </w:pPr>
      <w:r>
        <w:rPr>
          <w:b/>
        </w:rPr>
        <w:t xml:space="preserve">(b) Design. </w:t>
      </w:r>
      <w:r>
        <w:t>Each demonstration shall identify the sector, workforce, baseline hours, compensation, service obligations, staffing, comparison method, and anticipated mechanisms. Worker participation and consultation shall precede implementation, with appropriate protection for persons unable to use the proposed arrangement.</w:t>
      </w:r>
    </w:p>
    <w:p>
      <w:pPr>
        <w:pStyle w:val="LegalBody"/>
      </w:pPr>
      <w:r>
        <w:rPr>
          <w:b/>
        </w:rPr>
        <w:t xml:space="preserve">(c) Safeguards. </w:t>
      </w:r>
      <w:r>
        <w:t>A demonstration shall not rely on unpaid overtime, intensified unsafe work, involuntary conversion to contractor status, reduction of protected benefits, or transfer of uncompensated duties to caregivers. Collective-bargaining obligations and existing wage and hour law remain applicable.</w:t>
      </w:r>
    </w:p>
    <w:p>
      <w:pPr>
        <w:pStyle w:val="LegalBody"/>
      </w:pPr>
      <w:r>
        <w:rPr>
          <w:b/>
        </w:rPr>
        <w:t xml:space="preserve">(d) Evaluation. </w:t>
      </w:r>
      <w:r>
        <w:t>Measures shall include actual rather than scheduled hours, pay, health, rest, care time, service quality, customer access, staffing costs, productivity, and distribution of effects. Selection of volunteer organizations and short follow-up shall be disclosed as limitations.</w:t>
      </w:r>
    </w:p>
    <w:p>
      <w:pPr>
        <w:pStyle w:val="LegalBody"/>
      </w:pPr>
      <w:r>
        <w:rPr>
          <w:b/>
        </w:rPr>
        <w:t xml:space="preserve">(e) Continuation. </w:t>
      </w:r>
      <w:r>
        <w:t>An award shall include a plan for worker notice and transition at its end. A favorable pilot does not create an entitlement to permanent Federal subsidy or establish universal feasibility. Expansion shall require evidence relevant to the receiving sector and a transparent account of costs and operational constraints.</w:t>
      </w:r>
    </w:p>
    <w:p>
      <w:bookmarkStart w:id="155" w:name="SEC_1409"/>
      <w:pPr>
        <w:pStyle w:val="Heading2"/>
      </w:pPr>
      <w:r>
        <w:t>SEC. 1409. AUTOMATION TRANSITION AND LIVELIHOOD CAPABILITY.</w:t>
      </w:r>
      <w:bookmarkEnd w:id="155"/>
    </w:p>
    <w:p>
      <w:pPr>
        <w:pStyle w:val="LegalBody"/>
      </w:pPr>
      <w:r>
        <w:rPr>
          <w:b/>
        </w:rPr>
        <w:t xml:space="preserve">(a) Grants. </w:t>
      </w:r>
      <w:r>
        <w:t>Assistance may support worker retraining, portable skills documentation, career navigation, accessible education, and local transition planning where automation or organizational change materially affects employment. Programs shall coordinate with existing workforce systems and benefits.</w:t>
      </w:r>
    </w:p>
    <w:p>
      <w:pPr>
        <w:pStyle w:val="LegalBody"/>
      </w:pPr>
      <w:r>
        <w:rPr>
          <w:b/>
        </w:rPr>
        <w:t xml:space="preserve">(b) Early planning. </w:t>
      </w:r>
      <w:r>
        <w:t>A recipient employer undertaking a funded transition shall disclose the functions changing, expected timing, training opportunities, selection criteria, and effects on pay and hours. Existing notice duties concerning layoffs remain applicable and are not replaced by an informal transition plan.</w:t>
      </w:r>
    </w:p>
    <w:p>
      <w:pPr>
        <w:pStyle w:val="LegalBody"/>
      </w:pPr>
      <w:r>
        <w:rPr>
          <w:b/>
        </w:rPr>
        <w:t xml:space="preserve">(c) Training quality. </w:t>
      </w:r>
      <w:r>
        <w:t>Courses shall identify actual skills, costs, duration, recognition, and realistic occupational pathways. A provider shall not guarantee employment or inflated earnings without a defensible basis. Training time required by an employer shall be compensated where law requires.</w:t>
      </w:r>
    </w:p>
    <w:p>
      <w:pPr>
        <w:pStyle w:val="LegalBody"/>
      </w:pPr>
      <w:r>
        <w:rPr>
          <w:b/>
        </w:rPr>
        <w:t xml:space="preserve">(d) Worker choice. </w:t>
      </w:r>
      <w:r>
        <w:t>Assistance shall not require a worker to accept a particular occupation, relocate, surrender a legal claim, or disclose protected personal information beyond lawful eligibility needs. Disability and caregiving accommodations shall be incorporated.</w:t>
      </w:r>
    </w:p>
    <w:p>
      <w:pPr>
        <w:pStyle w:val="LegalBody"/>
      </w:pPr>
      <w:r>
        <w:rPr>
          <w:b/>
        </w:rPr>
        <w:t xml:space="preserve">(e) Evaluation. </w:t>
      </w:r>
      <w:r>
        <w:t>Measures shall distinguish enrollment, learning, credential recognition, placement, job quality, earnings, and retention. Reemployment at substantially worse conditions shall not be described without qualification as equivalent recovery. Public costs and employer contributions shall be reported separately, and speculative future tax revenue shall not be treated as an enacted offset.</w:t>
      </w:r>
    </w:p>
    <w:p>
      <w:bookmarkStart w:id="156" w:name="SEC_1410"/>
      <w:pPr>
        <w:pStyle w:val="Heading2"/>
      </w:pPr>
      <w:r>
        <w:t>SEC. 1410. LABOR COMPLIANCE, PUBLIC EMPLOYERS, AND REMEDIES.</w:t>
      </w:r>
      <w:bookmarkEnd w:id="156"/>
    </w:p>
    <w:p>
      <w:pPr>
        <w:pStyle w:val="LegalBody"/>
      </w:pPr>
      <w:r>
        <w:rPr>
          <w:b/>
        </w:rPr>
        <w:t xml:space="preserve">(a) Notice. </w:t>
      </w:r>
      <w:r>
        <w:t>Covered employers shall provide accessible notice of rights under this title and designate a contact for requests and complaints. Employees may report a violation to the Department of Labor without first completing an employer's internal process.</w:t>
      </w:r>
    </w:p>
    <w:p>
      <w:pPr>
        <w:pStyle w:val="LegalBody"/>
      </w:pPr>
      <w:r>
        <w:rPr>
          <w:b/>
        </w:rPr>
        <w:t xml:space="preserve">(b) Records and confidentiality. </w:t>
      </w:r>
      <w:r>
        <w:t>Employers shall retain records reasonably necessary to establish compliance for 3 years. Health and caregiving information shall be segregated from ordinary personnel files and disclosed only as lawfully necessary. Recordkeeping shall not require minute-by-minute personal surveillance where ordinary schedules and payroll records suffice.</w:t>
      </w:r>
    </w:p>
    <w:p>
      <w:pPr>
        <w:pStyle w:val="LegalBody"/>
      </w:pPr>
      <w:r>
        <w:rPr>
          <w:b/>
        </w:rPr>
        <w:t xml:space="preserve">(c) Public assistance conditions. </w:t>
      </w:r>
      <w:r>
        <w:t>A State, local, or tribal government accepting new assistance under the work and care account shall apply protections equivalent to sections 1402, 1403, and 1405 to employees whose work is charged predominantly to the funded activity. The condition shall be disclosed before acceptance, shall not extend to unrelated governmental operations, and shall be enforced through grant remedies and otherwise lawful public enforcement, without implied waiver of sovereign immunity.</w:t>
      </w:r>
    </w:p>
    <w:p>
      <w:pPr>
        <w:pStyle w:val="LegalBody"/>
      </w:pPr>
      <w:r>
        <w:rPr>
          <w:b/>
        </w:rPr>
        <w:t xml:space="preserve">(d) Enforcement. </w:t>
      </w:r>
      <w:r>
        <w:t>The Secretary of Labor may investigate and refer civil actions under title XXVIII. Unpaid required leave compensation and scheduling premiums may be recovered as actual monetary loss under section 2807, together with appropriate prospective relief. No new criminal penalty is established.</w:t>
      </w:r>
    </w:p>
    <w:p>
      <w:pPr>
        <w:pStyle w:val="LegalBody"/>
      </w:pPr>
      <w:r>
        <w:rPr>
          <w:b/>
        </w:rPr>
        <w:t xml:space="preserve">(e) Review. </w:t>
      </w:r>
      <w:r>
        <w:t>The Secretary shall report implementation costs, coverage, compliance, effects on staffing and small employers, and unintended changes in hours or hiring. The report shall distinguish the statutory design choices in this title from scientific findings and shall not presume that compliance costs are financed by the grant appropriation.</w:t>
      </w:r>
    </w:p>
    <w:p>
      <w:bookmarkStart w:id="157" w:name="TITLE_XV"/>
      <w:pPr>
        <w:pStyle w:val="Heading1"/>
        <w:pageBreakBefore/>
      </w:pPr>
      <w:r>
        <w:t>TITLE XV. CAREGIVING, DISABILITY, AGING, AND LATER LIFE</w:t>
      </w:r>
      <w:bookmarkEnd w:id="157"/>
    </w:p>
    <w:p>
      <w:bookmarkStart w:id="158" w:name="SEC_1501"/>
      <w:pPr>
        <w:pStyle w:val="Heading2"/>
      </w:pPr>
      <w:r>
        <w:t>SEC. 1501. CAPABILITY AND CARE SUPPORT GRANTS.</w:t>
      </w:r>
      <w:bookmarkEnd w:id="158"/>
    </w:p>
    <w:p>
      <w:pPr>
        <w:pStyle w:val="LegalBody"/>
      </w:pPr>
      <w:r>
        <w:rPr>
          <w:b/>
        </w:rPr>
        <w:t xml:space="preserve">(a) Program. </w:t>
      </w:r>
      <w:r>
        <w:t>The Secretary shall support accessible care coordination, respite, caregiver training, assistive services, and community participation for persons with disabilities and older persons. Programs shall serve identified needs without treating age or disability as a measure of diminished human worth.</w:t>
      </w:r>
    </w:p>
    <w:p>
      <w:pPr>
        <w:pStyle w:val="LegalBody"/>
      </w:pPr>
      <w:r>
        <w:rPr>
          <w:b/>
        </w:rPr>
        <w:t xml:space="preserve">(b) Plans. </w:t>
      </w:r>
      <w:r>
        <w:t>Applications shall describe the population, existing services, unmet needs, workforce, access, participant direction, safeguarding, costs, and continuity. Programs shall coordinate with Medicare, Medicaid, veterans' services, aging programs, and other lawful benefits without substituting a discretionary grant for an existing entitlement.</w:t>
      </w:r>
    </w:p>
    <w:p>
      <w:pPr>
        <w:pStyle w:val="LegalBody"/>
      </w:pPr>
      <w:r>
        <w:rPr>
          <w:b/>
        </w:rPr>
        <w:t xml:space="preserve">(c) Choice. </w:t>
      </w:r>
      <w:r>
        <w:t>A participant shall be offered meaningful information about available options and may identify priorities concerning living arrangements, relationships, daily activities, communication, and support. A program shall not assume that independence means performing every task without assistance.</w:t>
      </w:r>
    </w:p>
    <w:p>
      <w:pPr>
        <w:pStyle w:val="LegalBody"/>
      </w:pPr>
      <w:r>
        <w:rPr>
          <w:b/>
        </w:rPr>
        <w:t xml:space="preserve">(d) Funding. </w:t>
      </w:r>
      <w:r>
        <w:t>Assistance shall be financed from the work and care account, with clinical services charged to the health and mental-health account where appropriate. No duplicate payment is permitted.</w:t>
      </w:r>
    </w:p>
    <w:p>
      <w:pPr>
        <w:pStyle w:val="LegalBody"/>
      </w:pPr>
      <w:r>
        <w:rPr>
          <w:b/>
        </w:rPr>
        <w:t xml:space="preserve">(e) Limits. </w:t>
      </w:r>
      <w:r>
        <w:t>This title does not create a universal long-term-care entitlement, alter guardianship law by implication, or authorize involuntary placement. Institutional and community services remain subject to applicable civil-rights, disability, licensing, and safety requirements.</w:t>
      </w:r>
    </w:p>
    <w:p>
      <w:bookmarkStart w:id="159" w:name="SEC_1502"/>
      <w:pPr>
        <w:pStyle w:val="Heading2"/>
      </w:pPr>
      <w:r>
        <w:t>SEC. 1502. SUPPORTED DECISION-MAKING AND PERSONAL DIRECTION.</w:t>
      </w:r>
      <w:bookmarkEnd w:id="159"/>
    </w:p>
    <w:p>
      <w:pPr>
        <w:pStyle w:val="LegalBody"/>
      </w:pPr>
      <w:r>
        <w:rPr>
          <w:b/>
        </w:rPr>
        <w:t xml:space="preserve">(a) Support. </w:t>
      </w:r>
      <w:r>
        <w:t>Covered programs shall provide reasonable communication and decision support before concluding that a person cannot express a choice. Support may include plain language, interpretation, additional time, accessible technology, and a chosen supporter.</w:t>
      </w:r>
    </w:p>
    <w:p>
      <w:pPr>
        <w:pStyle w:val="LegalBody"/>
      </w:pPr>
      <w:r>
        <w:rPr>
          <w:b/>
        </w:rPr>
        <w:t xml:space="preserve">(b) Authority. </w:t>
      </w:r>
      <w:r>
        <w:t>A chosen supporter assists but does not obtain legal authority merely through participation. Where a lawful representative has authority, the recipient shall verify its scope, seek the individual's own preferences to the greatest extent possible, and avoid treating representation as unlimited permission.</w:t>
      </w:r>
    </w:p>
    <w:p>
      <w:pPr>
        <w:pStyle w:val="LegalBody"/>
      </w:pPr>
      <w:r>
        <w:rPr>
          <w:b/>
        </w:rPr>
        <w:t xml:space="preserve">(c) Conflict. </w:t>
      </w:r>
      <w:r>
        <w:t>Staff shall identify signs that a supporter is exploiting, intimidating, or overriding the person. The program shall offer a confidential route to alternative assistance and refer concerns through applicable protective law.</w:t>
      </w:r>
    </w:p>
    <w:p>
      <w:pPr>
        <w:pStyle w:val="LegalBody"/>
      </w:pPr>
      <w:r>
        <w:rPr>
          <w:b/>
        </w:rPr>
        <w:t xml:space="preserve">(d) Documentation. </w:t>
      </w:r>
      <w:r>
        <w:t>A decision record shall distinguish the person's expressed preference, assistance provided, legal authority relied upon, and any safety constraint. A disagreement with professional advice is not by itself evidence of incapacity.</w:t>
      </w:r>
    </w:p>
    <w:p>
      <w:pPr>
        <w:pStyle w:val="LegalBody"/>
      </w:pPr>
      <w:r>
        <w:rPr>
          <w:b/>
        </w:rPr>
        <w:t xml:space="preserve">(e) Evaluation. </w:t>
      </w:r>
      <w:r>
        <w:t>Programs shall assess whether participants can influence their services and change supporters. A completed form is not sufficient evidence of self-direction. This section does not abolish judicial safeguards, create a new guardianship proceeding, or authorize an algorithm to determine legal capacity.</w:t>
      </w:r>
    </w:p>
    <w:p>
      <w:bookmarkStart w:id="160" w:name="SEC_1503"/>
      <w:pPr>
        <w:pStyle w:val="Heading2"/>
      </w:pPr>
      <w:r>
        <w:t>SEC. 1503. HOME AND COMMUNITY ACCESS.</w:t>
      </w:r>
      <w:bookmarkEnd w:id="160"/>
    </w:p>
    <w:p>
      <w:pPr>
        <w:pStyle w:val="LegalBody"/>
      </w:pPr>
      <w:r>
        <w:rPr>
          <w:b/>
        </w:rPr>
        <w:t xml:space="preserve">(a) Grants. </w:t>
      </w:r>
      <w:r>
        <w:t>Assistance may support home modifications, accessible transport coordination, personal assistance planning, communication access, and community services enabling a person to live in a chosen lawful setting. Projects shall comply with applicable disability integration requirements.</w:t>
      </w:r>
    </w:p>
    <w:p>
      <w:pPr>
        <w:pStyle w:val="LegalBody"/>
      </w:pPr>
      <w:r>
        <w:rPr>
          <w:b/>
        </w:rPr>
        <w:t xml:space="preserve">(b) Assessment. </w:t>
      </w:r>
      <w:r>
        <w:t>Plans shall consider the person's preferences, safety, accessibility, available support, caregiver capacity, housing costs, and realistic service availability. A nominally community-based placement shall not be treated as meaningful choice if essential assistance is absent.</w:t>
      </w:r>
    </w:p>
    <w:p>
      <w:pPr>
        <w:pStyle w:val="LegalBody"/>
      </w:pPr>
      <w:r>
        <w:rPr>
          <w:b/>
        </w:rPr>
        <w:t xml:space="preserve">(c) Housing work. </w:t>
      </w:r>
      <w:r>
        <w:t>Modifications shall identify ownership consent, design, permits, maintenance, repair, and what happens if the participant moves. A recipient shall avoid improvements that increase rent or displacement risk without an appropriate protection plan.</w:t>
      </w:r>
    </w:p>
    <w:p>
      <w:pPr>
        <w:pStyle w:val="LegalBody"/>
      </w:pPr>
      <w:r>
        <w:rPr>
          <w:b/>
        </w:rPr>
        <w:t xml:space="preserve">(d) Service continuity. </w:t>
      </w:r>
      <w:r>
        <w:t>Equipment and personal assistance shall have backup arrangements for breakdown, worker absence, power failure, and emergency evacuation. A plan shall not assume that an unpaid family member is always available.</w:t>
      </w:r>
    </w:p>
    <w:p>
      <w:pPr>
        <w:pStyle w:val="LegalBody"/>
      </w:pPr>
      <w:r>
        <w:rPr>
          <w:b/>
        </w:rPr>
        <w:t xml:space="preserve">(e) Evaluation. </w:t>
      </w:r>
      <w:r>
        <w:t>Measures shall include participation, safety, reliability, control over daily life, and unmet need. Lower public expenditure shall not be described as efficiency where costs have merely shifted to an unsupported caregiver or the participant has lost necessary assistance. Awards remain limited by available appropriations and do not narrow rights under another law.</w:t>
      </w:r>
    </w:p>
    <w:p>
      <w:bookmarkStart w:id="161" w:name="SEC_1504"/>
      <w:pPr>
        <w:pStyle w:val="Heading2"/>
      </w:pPr>
      <w:r>
        <w:t>SEC. 1504. CAREGIVER RESPITE, TRAINING, AND ECONOMIC SUPPORT NAVIGATION.</w:t>
      </w:r>
      <w:bookmarkEnd w:id="161"/>
    </w:p>
    <w:p>
      <w:pPr>
        <w:pStyle w:val="LegalBody"/>
      </w:pPr>
      <w:r>
        <w:rPr>
          <w:b/>
        </w:rPr>
        <w:t xml:space="preserve">(a) Services. </w:t>
      </w:r>
      <w:r>
        <w:t>Grants may support respite, practical training, peer support, navigation, and emergency backup for paid and unpaid caregivers. Eligibility shall reflect actual caregiving responsibilities and need, not solely biological relationship or marital status.</w:t>
      </w:r>
    </w:p>
    <w:p>
      <w:pPr>
        <w:pStyle w:val="LegalBody"/>
      </w:pPr>
      <w:r>
        <w:rPr>
          <w:b/>
        </w:rPr>
        <w:t xml:space="preserve">(b) Training. </w:t>
      </w:r>
      <w:r>
        <w:t>Instruction shall be appropriate to the task, including safe transfers, communication, medication coordination within lawful limits, emergency response, and recognition of burnout or abuse. Training shall not assign clinical duties beyond competence.</w:t>
      </w:r>
    </w:p>
    <w:p>
      <w:pPr>
        <w:pStyle w:val="LegalBody"/>
      </w:pPr>
      <w:r>
        <w:rPr>
          <w:b/>
        </w:rPr>
        <w:t xml:space="preserve">(c) Respite. </w:t>
      </w:r>
      <w:r>
        <w:t>A respite plan shall identify qualified personnel, participant preferences, accessibility, duration, cost, and continuity of essential care. The person receiving care shall be involved to the extent possible and shall not be treated as an object transferred solely for administrative convenience.</w:t>
      </w:r>
    </w:p>
    <w:p>
      <w:pPr>
        <w:pStyle w:val="LegalBody"/>
      </w:pPr>
      <w:r>
        <w:rPr>
          <w:b/>
        </w:rPr>
        <w:t xml:space="preserve">(d) Economic navigation. </w:t>
      </w:r>
      <w:r>
        <w:t>Programs may explain available leave, benefits, tax provisions, employment protections, and services, referring to qualified advice where necessary. This section does not create a new cash entitlement or guarantee compensation for all unpaid care.</w:t>
      </w:r>
    </w:p>
    <w:p>
      <w:pPr>
        <w:pStyle w:val="LegalBody"/>
      </w:pPr>
      <w:r>
        <w:rPr>
          <w:b/>
        </w:rPr>
        <w:t xml:space="preserve">(e) Evaluation. </w:t>
      </w:r>
      <w:r>
        <w:t>Measures shall include reliable relief, caregiver health, participant experience, service continuity, and private costs. A program shall not count a referral as respite delivered where no provider was available. Funding shall recognize coordination and backup capacity as real costs.</w:t>
      </w:r>
    </w:p>
    <w:p>
      <w:bookmarkStart w:id="162" w:name="SEC_1505"/>
      <w:pPr>
        <w:pStyle w:val="Heading2"/>
      </w:pPr>
      <w:r>
        <w:t>SEC. 1505. DIRECT-CARE WORKFORCE AND SERVICE QUALITY.</w:t>
      </w:r>
      <w:bookmarkEnd w:id="162"/>
    </w:p>
    <w:p>
      <w:pPr>
        <w:pStyle w:val="LegalBody"/>
      </w:pPr>
      <w:r>
        <w:rPr>
          <w:b/>
        </w:rPr>
        <w:t xml:space="preserve">(a) Grants. </w:t>
      </w:r>
      <w:r>
        <w:t>Assistance may support recruitment, paid training, supervision, retention, advancement, and improved conditions in direct-care services. Recipients shall identify how additional resources affect staffing and care rather than merely increasing administrative revenue.</w:t>
      </w:r>
    </w:p>
    <w:p>
      <w:pPr>
        <w:pStyle w:val="LegalBody"/>
      </w:pPr>
      <w:r>
        <w:rPr>
          <w:b/>
        </w:rPr>
        <w:t xml:space="preserve">(b) Competence. </w:t>
      </w:r>
      <w:r>
        <w:t>Workers shall receive training matched to duties and access to qualified consultation. Employers shall not assign untrained personnel to tasks requiring licensure or use technology as a substitute for required supervision.</w:t>
      </w:r>
    </w:p>
    <w:p>
      <w:pPr>
        <w:pStyle w:val="LegalBody"/>
      </w:pPr>
      <w:r>
        <w:rPr>
          <w:b/>
        </w:rPr>
        <w:t xml:space="preserve">(c) Conditions. </w:t>
      </w:r>
      <w:r>
        <w:t>Plans shall address compensation, scheduling, travel between clients, safety, rest, harassment, and access to protective equipment. Applicable wage and hour law governs compensable time, including required travel and training where covered.</w:t>
      </w:r>
    </w:p>
    <w:p>
      <w:pPr>
        <w:pStyle w:val="LegalBody"/>
      </w:pPr>
      <w:r>
        <w:rPr>
          <w:b/>
        </w:rPr>
        <w:t xml:space="preserve">(d) Participant rights. </w:t>
      </w:r>
      <w:r>
        <w:t>Workforce arrangements shall preserve continuity, privacy, choice, and a route to report concerns. A participant shall not be required to tolerate abuse because replacement staff are scarce, and a worker shall not be required to tolerate violence without a safety response.</w:t>
      </w:r>
    </w:p>
    <w:p>
      <w:pPr>
        <w:pStyle w:val="LegalBody"/>
      </w:pPr>
      <w:r>
        <w:rPr>
          <w:b/>
        </w:rPr>
        <w:t xml:space="preserve">(e) Evaluation. </w:t>
      </w:r>
      <w:r>
        <w:t>Measures shall include actual retention, missed visits, continuity, competence, participant experience, and worker experience. Staffing ratios may be reported but shall not alone establish quality. Any required staffing standard must arise from applicable law or a clearly disclosed grant condition supported by the service's needs.</w:t>
      </w:r>
    </w:p>
    <w:p>
      <w:bookmarkStart w:id="163" w:name="SEC_1506"/>
      <w:pPr>
        <w:pStyle w:val="Heading2"/>
      </w:pPr>
      <w:r>
        <w:t>SEC. 1506. ASSISTIVE TECHNOLOGY, ROBOTICS, AND CONTINUITY.</w:t>
      </w:r>
      <w:bookmarkEnd w:id="163"/>
    </w:p>
    <w:p>
      <w:pPr>
        <w:pStyle w:val="LegalBody"/>
      </w:pPr>
      <w:r>
        <w:rPr>
          <w:b/>
        </w:rPr>
        <w:t xml:space="preserve">(a) Appropriate use. </w:t>
      </w:r>
      <w:r>
        <w:t>Grants may finance assistive devices, accessible software, environmental controls, and robotics that support an individual's chosen function. The recipient shall assess usability, safety, evidence, maintenance, affordability, and interaction with existing supports.</w:t>
      </w:r>
    </w:p>
    <w:p>
      <w:pPr>
        <w:pStyle w:val="LegalBody"/>
      </w:pPr>
      <w:r>
        <w:rPr>
          <w:b/>
        </w:rPr>
        <w:t xml:space="preserve">(b) Consent. </w:t>
      </w:r>
      <w:r>
        <w:t>A person shall receive clear information about capabilities, limits, monitoring, remote access, costs, and alternatives. A device shall not collect audio, video, location, or health data unrelated to its authorized function without a separate lawful basis.</w:t>
      </w:r>
    </w:p>
    <w:p>
      <w:pPr>
        <w:pStyle w:val="LegalBody"/>
      </w:pPr>
      <w:r>
        <w:rPr>
          <w:b/>
        </w:rPr>
        <w:t xml:space="preserve">(c) Human support. </w:t>
      </w:r>
      <w:r>
        <w:t>Technology shall not replace an authorized human service solely on an unsupported claim of equivalence. A participant shall have a route to human assistance when equipment fails or a consequential decision is disputed.</w:t>
      </w:r>
    </w:p>
    <w:p>
      <w:pPr>
        <w:pStyle w:val="LegalBody"/>
      </w:pPr>
      <w:r>
        <w:rPr>
          <w:b/>
        </w:rPr>
        <w:t xml:space="preserve">(d) Lifecycle. </w:t>
      </w:r>
      <w:r>
        <w:t>Procurement shall provide training, repair, updates, cybersecurity, interoperability, export of user-controlled records, and transition upon vendor failure. Essential functions shall not be disabled by an unexpected subscription termination without a reasonable continuity arrangement.</w:t>
      </w:r>
    </w:p>
    <w:p>
      <w:pPr>
        <w:pStyle w:val="LegalBody"/>
      </w:pPr>
      <w:r>
        <w:rPr>
          <w:b/>
        </w:rPr>
        <w:t xml:space="preserve">(e) Evaluation. </w:t>
      </w:r>
      <w:r>
        <w:t>Measures shall assess actual use, autonomy, safety, burden, and participation rather than devices distributed. A person may decline a technology that is unsuitable or intrusive without forfeiting unrelated care. Medical devices remain subject to applicable Food and Drug Administration requirements.</w:t>
      </w:r>
    </w:p>
    <w:p>
      <w:bookmarkStart w:id="164" w:name="SEC_1507"/>
      <w:pPr>
        <w:pStyle w:val="Heading2"/>
      </w:pPr>
      <w:r>
        <w:t>SEC. 1507. AGE-FRIENDLY PARTICIPATION AND LIFELONG CONTRIBUTION.</w:t>
      </w:r>
      <w:bookmarkEnd w:id="164"/>
    </w:p>
    <w:p>
      <w:pPr>
        <w:pStyle w:val="LegalBody"/>
      </w:pPr>
      <w:r>
        <w:rPr>
          <w:b/>
        </w:rPr>
        <w:t xml:space="preserve">(a) Activities. </w:t>
      </w:r>
      <w:r>
        <w:t>Grants may support accessible learning, culture, recreation, volunteering, employment navigation, and social participation in later life. Programs shall recognize varied goals and shall not presume that retirement eliminates a person's interest in learning or contribution.</w:t>
      </w:r>
    </w:p>
    <w:p>
      <w:pPr>
        <w:pStyle w:val="LegalBody"/>
      </w:pPr>
      <w:r>
        <w:rPr>
          <w:b/>
        </w:rPr>
        <w:t xml:space="preserve">(b) Choice. </w:t>
      </w:r>
      <w:r>
        <w:t>A person shall not be required to remain employed, volunteer, or demonstrate productivity to receive an otherwise available care or community benefit. Equally, age alone shall not justify exclusion from an opportunity where the person can participate with reasonable support.</w:t>
      </w:r>
    </w:p>
    <w:p>
      <w:pPr>
        <w:pStyle w:val="LegalBody"/>
      </w:pPr>
      <w:r>
        <w:rPr>
          <w:b/>
        </w:rPr>
        <w:t xml:space="preserve">(c) Design. </w:t>
      </w:r>
      <w:r>
        <w:t>Activities shall address mobility, sensory access, fatigue, transport, cost, and digital barriers without assuming uniform decline. Intergenerational projects shall be designed with participants rather than used to assign stereotyped roles by age.</w:t>
      </w:r>
    </w:p>
    <w:p>
      <w:pPr>
        <w:pStyle w:val="LegalBody"/>
      </w:pPr>
      <w:r>
        <w:rPr>
          <w:b/>
        </w:rPr>
        <w:t xml:space="preserve">(d) Information. </w:t>
      </w:r>
      <w:r>
        <w:t>Programs shall provide accurate explanations of costs, qualifications, legal benefits, and risks. Commercial offers directed through a funded service shall be screened for conflicts and misleading claims.</w:t>
      </w:r>
    </w:p>
    <w:p>
      <w:pPr>
        <w:pStyle w:val="LegalBody"/>
      </w:pPr>
      <w:r>
        <w:rPr>
          <w:b/>
        </w:rPr>
        <w:t xml:space="preserve">(e) Evaluation. </w:t>
      </w:r>
      <w:r>
        <w:t>Measures shall include choice, access, learning, relationships, and participant-defined goals. Longevity or economic output shall not be the sole measure of successful aging. Public communications shall avoid depicting all older persons as dependent or all later-life difficulty as preventable through individual attitude.</w:t>
      </w:r>
    </w:p>
    <w:p>
      <w:bookmarkStart w:id="165" w:name="SEC_1508"/>
      <w:pPr>
        <w:pStyle w:val="Heading2"/>
      </w:pPr>
      <w:r>
        <w:t>SEC. 1508. PROTECTION FROM ABUSE, NEGLECT, AND FINANCIAL EXPLOITATION.</w:t>
      </w:r>
      <w:bookmarkEnd w:id="165"/>
    </w:p>
    <w:p>
      <w:pPr>
        <w:pStyle w:val="LegalBody"/>
      </w:pPr>
      <w:r>
        <w:rPr>
          <w:b/>
        </w:rPr>
        <w:t xml:space="preserve">(a) Safeguards. </w:t>
      </w:r>
      <w:r>
        <w:t>Recipients shall maintain procedures for recognizing and responding to abuse, neglect, coercion, financial exploitation, and improper restraint. Staff shall understand reporting duties and the distinction between a person's autonomous choice and another person's exploitation.</w:t>
      </w:r>
    </w:p>
    <w:p>
      <w:pPr>
        <w:pStyle w:val="LegalBody"/>
      </w:pPr>
      <w:r>
        <w:rPr>
          <w:b/>
        </w:rPr>
        <w:t xml:space="preserve">(b) Access to help. </w:t>
      </w:r>
      <w:r>
        <w:t>Participants shall have confidential access to an advocate, legal assistance referral, ombudsman where applicable, and a complaint channel independent of the immediate caregiver. Communication aids shall not be removed to prevent a complaint.</w:t>
      </w:r>
    </w:p>
    <w:p>
      <w:pPr>
        <w:pStyle w:val="LegalBody"/>
      </w:pPr>
      <w:r>
        <w:rPr>
          <w:b/>
        </w:rPr>
        <w:t xml:space="preserve">(c) Response. </w:t>
      </w:r>
      <w:r>
        <w:t>Immediate danger shall be addressed under applicable law, with minimum necessary disclosure. A recipient shall not use a safeguarding concern to impose unnecessary restrictions on all participants or to seize control of finances without legal authority.</w:t>
      </w:r>
    </w:p>
    <w:p>
      <w:pPr>
        <w:pStyle w:val="LegalBody"/>
      </w:pPr>
      <w:r>
        <w:rPr>
          <w:b/>
        </w:rPr>
        <w:t xml:space="preserve">(d) Records. </w:t>
      </w:r>
      <w:r>
        <w:t>Investigations shall preserve evidence, document reasons, and protect against retaliation. An allegation shall be assessed fairly; a diagnosis or age does not make a person's account inherently unreliable.</w:t>
      </w:r>
    </w:p>
    <w:p>
      <w:pPr>
        <w:pStyle w:val="LegalBody"/>
      </w:pPr>
      <w:r>
        <w:rPr>
          <w:b/>
        </w:rPr>
        <w:t xml:space="preserve">(e) Remedies. </w:t>
      </w:r>
      <w:r>
        <w:t>Grant conditions, professional referrals, protective-service processes, and public enforcement under title XXVIII may be used as authorized. This section creates no new general power to enter a home, freeze assets, appoint a guardian, or detain a person. Existing legal safeguards remain fully applicable.</w:t>
      </w:r>
    </w:p>
    <w:p>
      <w:bookmarkStart w:id="166" w:name="SEC_1509"/>
      <w:pPr>
        <w:pStyle w:val="Heading2"/>
      </w:pPr>
      <w:r>
        <w:t>SEC. 1509. PALLIATIVE CARE, SERIOUS ILLNESS, AND END-OF-LIFE SUPPORT.</w:t>
      </w:r>
      <w:bookmarkEnd w:id="166"/>
    </w:p>
    <w:p>
      <w:pPr>
        <w:pStyle w:val="LegalBody"/>
      </w:pPr>
      <w:r>
        <w:rPr>
          <w:b/>
        </w:rPr>
        <w:t xml:space="preserve">(a) Services. </w:t>
      </w:r>
      <w:r>
        <w:t>Grants may support access coordination for palliative care, symptom management, communication, caregiver assistance, bereavement referral, and lawful advance-care planning. Services shall address needs across the course of serious illness and shall not be limited to a prediction of imminent death where another lawful service is appropriate.</w:t>
      </w:r>
    </w:p>
    <w:p>
      <w:pPr>
        <w:pStyle w:val="LegalBody"/>
      </w:pPr>
      <w:r>
        <w:rPr>
          <w:b/>
        </w:rPr>
        <w:t xml:space="preserve">(b) Decisions. </w:t>
      </w:r>
      <w:r>
        <w:t>Providers shall explain options, likely benefits and burdens, uncertainty, and the person's lawful right to accept or refuse treatment. A disability or need for assistance shall not be used to presume that treatment is unwanted or that life has lesser value.</w:t>
      </w:r>
    </w:p>
    <w:p>
      <w:pPr>
        <w:pStyle w:val="LegalBody"/>
      </w:pPr>
      <w:r>
        <w:rPr>
          <w:b/>
        </w:rPr>
        <w:t xml:space="preserve">(c) Supporters. </w:t>
      </w:r>
      <w:r>
        <w:t>The person may identify supporters and desired communication arrangements, subject to applicable law. Disagreement among relatives shall not override a competent person's lawful decision.</w:t>
      </w:r>
    </w:p>
    <w:p>
      <w:pPr>
        <w:pStyle w:val="LegalBody"/>
      </w:pPr>
      <w:r>
        <w:rPr>
          <w:b/>
        </w:rPr>
        <w:t xml:space="preserve">(d) Limits. </w:t>
      </w:r>
      <w:r>
        <w:t>This section does not authorize assisted suicide, euthanasia, involuntary treatment withdrawal, or a practice prohibited by applicable law. It does not alter State law governing such matters or Federal restrictions on funding. It supports lawful care and informed planning without resolving contested legal questions by implication.</w:t>
      </w:r>
    </w:p>
    <w:p>
      <w:pPr>
        <w:pStyle w:val="LegalBody"/>
      </w:pPr>
      <w:r>
        <w:rPr>
          <w:b/>
        </w:rPr>
        <w:t xml:space="preserve">(e) Evaluation. </w:t>
      </w:r>
      <w:r>
        <w:t>Measures shall include comfort, communication, access, continuity, caregiver support, and consistency with documented preferences. Cost reduction or place of death shall not be the sole measure of quality. Participants shall not be pressured toward a decision to meet a budget target.</w:t>
      </w:r>
    </w:p>
    <w:p>
      <w:bookmarkStart w:id="167" w:name="SEC_1510"/>
      <w:pPr>
        <w:pStyle w:val="Heading2"/>
      </w:pPr>
      <w:r>
        <w:t>SEC. 1510. CARE SYSTEM EVALUATION AND LONG-TERM PLANNING.</w:t>
      </w:r>
      <w:bookmarkEnd w:id="167"/>
    </w:p>
    <w:p>
      <w:pPr>
        <w:pStyle w:val="LegalBody"/>
      </w:pPr>
      <w:r>
        <w:rPr>
          <w:b/>
        </w:rPr>
        <w:t xml:space="preserve">(a) Evaluation. </w:t>
      </w:r>
      <w:r>
        <w:t>The Secretary shall assess reliability, access, quality, participant direction, workforce, caregiver burden, and costs across programs under this title. Data shall distinguish unmet need from reduced demand and shall identify services unavailable despite a referral.</w:t>
      </w:r>
    </w:p>
    <w:p>
      <w:pPr>
        <w:pStyle w:val="LegalBody"/>
      </w:pPr>
      <w:r>
        <w:rPr>
          <w:b/>
        </w:rPr>
        <w:t xml:space="preserve">(b) Distribution. </w:t>
      </w:r>
      <w:r>
        <w:t>Reviews shall examine rural, tribal, low-income, disability, language, and other access differences using lawful, privacy-protective methods. Population categories shall not substitute for individualized assessment.</w:t>
      </w:r>
    </w:p>
    <w:p>
      <w:pPr>
        <w:pStyle w:val="LegalBody"/>
      </w:pPr>
      <w:r>
        <w:rPr>
          <w:b/>
        </w:rPr>
        <w:t xml:space="preserve">(c) Fiscal analysis. </w:t>
      </w:r>
      <w:r>
        <w:t>Costs shall include facilities, labor, travel, equipment, maintenance, training, supervision, respite, and unpaid care where measurable. Savings to one payer shall be distinguished from costs shifted to another payer or household.</w:t>
      </w:r>
    </w:p>
    <w:p>
      <w:pPr>
        <w:pStyle w:val="LegalBody"/>
      </w:pPr>
      <w:r>
        <w:rPr>
          <w:b/>
        </w:rPr>
        <w:t xml:space="preserve">(d) Continuity. </w:t>
      </w:r>
      <w:r>
        <w:t>Awards shall include contingency plans for worker shortage, provider closure, disaster, vendor failure, and expiration of funds. The agency shall not approve a plan that depends on an unspecified future appropriation without disclosing that dependency.</w:t>
      </w:r>
    </w:p>
    <w:p>
      <w:pPr>
        <w:pStyle w:val="LegalBody"/>
      </w:pPr>
      <w:r>
        <w:rPr>
          <w:b/>
        </w:rPr>
        <w:t xml:space="preserve">(e) Review. </w:t>
      </w:r>
      <w:r>
        <w:t>At the 5-year review, the Secretary shall report remaining coverage gaps and options for future legislation. Recommendations shall not be represented as enacted benefits. Existing disability integration rights, entitlement protections, and judicial remedies remain unaffected by the limited grant authority and funding ceilings of this Act.</w:t>
      </w:r>
    </w:p>
    <w:p>
      <w:bookmarkStart w:id="168" w:name="TITLE_XVI"/>
      <w:pPr>
        <w:pStyle w:val="Heading1"/>
        <w:pageBreakBefore/>
      </w:pPr>
      <w:r>
        <w:t>TITLE XVI. HOUSING, NEIGHBORHOODS, TRANSPORTATION, AND PUBLIC SPACE</w:t>
      </w:r>
      <w:bookmarkEnd w:id="168"/>
    </w:p>
    <w:p>
      <w:bookmarkStart w:id="169" w:name="SEC_1601"/>
      <w:pPr>
        <w:pStyle w:val="Heading2"/>
      </w:pPr>
      <w:r>
        <w:t>SEC. 1601. HUMAN-CAPABILITY PLACE GRANTS.</w:t>
      </w:r>
      <w:bookmarkEnd w:id="169"/>
    </w:p>
    <w:p>
      <w:pPr>
        <w:pStyle w:val="LegalBody"/>
      </w:pPr>
      <w:r>
        <w:rPr>
          <w:b/>
        </w:rPr>
        <w:t xml:space="preserve">(a) Program. </w:t>
      </w:r>
      <w:r>
        <w:t>The Secretary of Housing and Urban Development, in coordination with the Secretary of Transportation and the Secretary, shall award grants for projects improving the accessibility, safety, usability, and health-supporting conditions of places where people live and obtain daily services.</w:t>
      </w:r>
    </w:p>
    <w:p>
      <w:pPr>
        <w:pStyle w:val="LegalBody"/>
      </w:pPr>
      <w:r>
        <w:rPr>
          <w:b/>
        </w:rPr>
        <w:t xml:space="preserve">(b) Eligible applicants. </w:t>
      </w:r>
      <w:r>
        <w:t>States, local governments, Indian Tribes, public housing entities, and qualified public or nonprofit partnerships may apply. Private owners may participate through an eligible applicant under enforceable conditions protecting the public investment and affected residents.</w:t>
      </w:r>
    </w:p>
    <w:p>
      <w:pPr>
        <w:pStyle w:val="LegalBody"/>
      </w:pPr>
      <w:r>
        <w:rPr>
          <w:b/>
        </w:rPr>
        <w:t xml:space="preserve">(c) Scope. </w:t>
      </w:r>
      <w:r>
        <w:t>Eligible projects include rehabilitation, accessibility, public space, safe routes, essential facilities, and coordination of housing and transport. A project shall identify a concrete barrier and a practical intervention rather than rely on a general claim that a design is human-centered.</w:t>
      </w:r>
    </w:p>
    <w:p>
      <w:pPr>
        <w:pStyle w:val="LegalBody"/>
      </w:pPr>
      <w:r>
        <w:rPr>
          <w:b/>
        </w:rPr>
        <w:t xml:space="preserve">(d) Authority. </w:t>
      </w:r>
      <w:r>
        <w:t>Participation is voluntary. This title does not direct a State or locality to enact zoning, establish a national density requirement, or authorize Federal approval of every local land-use decision. A recipient shall comply with clear conditions attached to the funded project.</w:t>
      </w:r>
    </w:p>
    <w:p>
      <w:pPr>
        <w:pStyle w:val="LegalBody"/>
      </w:pPr>
      <w:r>
        <w:rPr>
          <w:b/>
        </w:rPr>
        <w:t xml:space="preserve">(e) Funding. </w:t>
      </w:r>
      <w:r>
        <w:t>Assistance shall be drawn from the places and mobility account. Applications shall include land, design, permitting, construction, utilities, accessibility, environmental review, insurance, staffing, operations, maintenance, replacement, and evaluation costs, identifying all sources and unfunded dependencies.</w:t>
      </w:r>
    </w:p>
    <w:p>
      <w:bookmarkStart w:id="170" w:name="SEC_1602"/>
      <w:pPr>
        <w:pStyle w:val="Heading2"/>
      </w:pPr>
      <w:r>
        <w:t>SEC. 1602. HOUSING QUALITY AND HEALTH-SUPPORTING CONDITIONS.</w:t>
      </w:r>
      <w:bookmarkEnd w:id="170"/>
    </w:p>
    <w:p>
      <w:pPr>
        <w:pStyle w:val="LegalBody"/>
      </w:pPr>
      <w:r>
        <w:rPr>
          <w:b/>
        </w:rPr>
        <w:t xml:space="preserve">(a) Grants. </w:t>
      </w:r>
      <w:r>
        <w:t>Assistance may support remediation of material health and safety hazards, accessibility improvements, ventilation, thermal comfort, moisture control, safe water access, and rehabilitation in eligible housing projects. Work shall comply with applicable building, environmental, lead, asbestos, and occupational requirements.</w:t>
      </w:r>
    </w:p>
    <w:p>
      <w:pPr>
        <w:pStyle w:val="LegalBody"/>
      </w:pPr>
      <w:r>
        <w:rPr>
          <w:b/>
        </w:rPr>
        <w:t xml:space="preserve">(b) Assessment. </w:t>
      </w:r>
      <w:r>
        <w:t>A qualified assessment shall identify the hazard, evidence, scope, alternatives, occupant needs, temporary relocation requirements, and post-work verification. A cosmetic repair shall not be represented as hazard remediation where the underlying cause remains.</w:t>
      </w:r>
    </w:p>
    <w:p>
      <w:pPr>
        <w:pStyle w:val="LegalBody"/>
      </w:pPr>
      <w:r>
        <w:rPr>
          <w:b/>
        </w:rPr>
        <w:t xml:space="preserve">(c) Resident protections. </w:t>
      </w:r>
      <w:r>
        <w:t>Residents shall receive understandable notice of work, safety precautions, access requirements, expected duration, complaint routes, and any relocation assistance required by law or award conditions. A resident shall not be retaliated against for reporting a condition or requesting an accommodation.</w:t>
      </w:r>
    </w:p>
    <w:p>
      <w:pPr>
        <w:pStyle w:val="LegalBody"/>
      </w:pPr>
      <w:r>
        <w:rPr>
          <w:b/>
        </w:rPr>
        <w:t xml:space="preserve">(d) Verification. </w:t>
      </w:r>
      <w:r>
        <w:t>Payment shall be tied to completed work and appropriate verification, not photographs or contractor assurances alone. Recipients shall maintain a process for defects discovered after completion and shall identify warranty and maintenance responsibilities.</w:t>
      </w:r>
    </w:p>
    <w:p>
      <w:pPr>
        <w:pStyle w:val="LegalBody"/>
      </w:pPr>
      <w:r>
        <w:rPr>
          <w:b/>
        </w:rPr>
        <w:t xml:space="preserve">(e) Affordability. </w:t>
      </w:r>
      <w:r>
        <w:t>Where assistance materially increases a private property's value, the award shall include proportionate affordability, anti-displacement, or recapture conditions specified before acceptance. Public funds shall not finance an improvement that predictably displaces the intended beneficiaries without a lawful and adequately funded mitigation plan.</w:t>
      </w:r>
    </w:p>
    <w:p>
      <w:bookmarkStart w:id="171" w:name="SEC_1603"/>
      <w:pPr>
        <w:pStyle w:val="Heading2"/>
      </w:pPr>
      <w:r>
        <w:t>SEC. 1603. LAND, SITING, AND COMPLETE PROJECT COSTS.</w:t>
      </w:r>
      <w:bookmarkEnd w:id="171"/>
    </w:p>
    <w:p>
      <w:pPr>
        <w:pStyle w:val="LegalBody"/>
      </w:pPr>
      <w:r>
        <w:rPr>
          <w:b/>
        </w:rPr>
        <w:t xml:space="preserve">(a) Site review. </w:t>
      </w:r>
      <w:r>
        <w:t>Before a capital award, the applicant shall document lawful site control, land cost, title restrictions, utilities, transport access, environmental hazards, climate exposure, accessibility, and proximity to services relevant to the project. A low land price shall not substitute for evaluation of long-term operating and access costs.</w:t>
      </w:r>
    </w:p>
    <w:p>
      <w:pPr>
        <w:pStyle w:val="LegalBody"/>
      </w:pPr>
      <w:r>
        <w:rPr>
          <w:b/>
        </w:rPr>
        <w:t xml:space="preserve">(b) Acquisition. </w:t>
      </w:r>
      <w:r>
        <w:t>Acquisition shall comply with applicable relocation, property, environmental, and civil-rights law. This Act does not expand eminent-domain authority. Where property is acquired from a willing seller, the record shall establish voluntariness and an appropriate valuation method.</w:t>
      </w:r>
    </w:p>
    <w:p>
      <w:pPr>
        <w:pStyle w:val="LegalBody"/>
      </w:pPr>
      <w:r>
        <w:rPr>
          <w:b/>
        </w:rPr>
        <w:t xml:space="preserve">(c) Alternatives. </w:t>
      </w:r>
      <w:r>
        <w:t>The applicant shall compare reasonable rehabilitation, shared-use, infill, leasing, and new-construction alternatives. The comparison shall include lifecycle costs and risks, not initial construction cost alone.</w:t>
      </w:r>
    </w:p>
    <w:p>
      <w:pPr>
        <w:pStyle w:val="LegalBody"/>
      </w:pPr>
      <w:r>
        <w:rPr>
          <w:b/>
        </w:rPr>
        <w:t xml:space="preserve">(d) Community effects. </w:t>
      </w:r>
      <w:r>
        <w:t>Review shall assess displacement, service demand, traffic, accessibility, ecological effects, and impacts on nearby residents and businesses. Consultation shall occur before a site decision becomes practically irreversible.</w:t>
      </w:r>
    </w:p>
    <w:p>
      <w:pPr>
        <w:pStyle w:val="LegalBody"/>
      </w:pPr>
      <w:r>
        <w:rPr>
          <w:b/>
        </w:rPr>
        <w:t xml:space="preserve">(e) Financial plan. </w:t>
      </w:r>
      <w:r>
        <w:t>A capital budget shall include contingencies, professional fees, permitting, utilities, financing costs if lawful, equipment, commissioning, and reserves. Unsupported assumptions about donated land, free labor, future grants, or indefinite volunteer management shall be identified and shall not be treated as secured resources.</w:t>
      </w:r>
    </w:p>
    <w:p>
      <w:bookmarkStart w:id="172" w:name="SEC_1604"/>
      <w:pPr>
        <w:pStyle w:val="Heading2"/>
      </w:pPr>
      <w:r>
        <w:t>SEC. 1604. WALKING, ROLLING, CYCLING, AND DAILY DESTINATIONS.</w:t>
      </w:r>
      <w:bookmarkEnd w:id="172"/>
    </w:p>
    <w:p>
      <w:pPr>
        <w:pStyle w:val="LegalBody"/>
      </w:pPr>
      <w:r>
        <w:rPr>
          <w:b/>
        </w:rPr>
        <w:t xml:space="preserve">(a) Projects. </w:t>
      </w:r>
      <w:r>
        <w:t>Grants may support safe and accessible routes connecting homes with schools, care, food, employment, transit, recreation, and community services. Projects shall be coordinated with the responsible transportation authority and comply with applicable standards.</w:t>
      </w:r>
    </w:p>
    <w:p>
      <w:pPr>
        <w:pStyle w:val="LegalBody"/>
      </w:pPr>
      <w:r>
        <w:rPr>
          <w:b/>
        </w:rPr>
        <w:t xml:space="preserve">(b) Design. </w:t>
      </w:r>
      <w:r>
        <w:t>Plans shall address crossings, continuity, surface quality, lighting, shade where appropriate, resting places, wayfinding, mobility devices, and safe interaction among users. A route shall not be considered accessible if a critical segment or destination entrance remains unusable.</w:t>
      </w:r>
    </w:p>
    <w:p>
      <w:pPr>
        <w:pStyle w:val="LegalBody"/>
      </w:pPr>
      <w:r>
        <w:rPr>
          <w:b/>
        </w:rPr>
        <w:t xml:space="preserve">(c) Safety. </w:t>
      </w:r>
      <w:r>
        <w:t>Applicants shall assess traffic risk, speed, visibility, maintenance, emergency access, and the needs of children, older persons, and persons with disabilities. Safety improvements shall be evaluated using appropriate exposure measures rather than raw incident counts alone.</w:t>
      </w:r>
    </w:p>
    <w:p>
      <w:pPr>
        <w:pStyle w:val="LegalBody"/>
      </w:pPr>
      <w:r>
        <w:rPr>
          <w:b/>
        </w:rPr>
        <w:t xml:space="preserve">(d) Practicality. </w:t>
      </w:r>
      <w:r>
        <w:t>Rural and dispersed communities may use different arrangements, including demand-responsive transport or shared services, where a dense urban design would be unsuitable. No single urban form is mandated.</w:t>
      </w:r>
    </w:p>
    <w:p>
      <w:pPr>
        <w:pStyle w:val="LegalBody"/>
      </w:pPr>
      <w:r>
        <w:rPr>
          <w:b/>
        </w:rPr>
        <w:t xml:space="preserve">(e) Evaluation. </w:t>
      </w:r>
      <w:r>
        <w:t>Measures shall include actual connectivity, access, safety, use, maintenance, and travel burden. Increased active travel shall not be assumed to produce a specific health or emissions benefit without a transparent method. Capital awards shall include responsibility and funding for snow, debris, vegetation, repairs, and other conditions affecting continued usability.</w:t>
      </w:r>
    </w:p>
    <w:p>
      <w:bookmarkStart w:id="173" w:name="SEC_1605"/>
      <w:pPr>
        <w:pStyle w:val="Heading2"/>
      </w:pPr>
      <w:r>
        <w:t>SEC. 1605. PUBLIC TRANSPORTATION AND ACCESS TO ESSENTIAL SERVICES.</w:t>
      </w:r>
      <w:bookmarkEnd w:id="173"/>
    </w:p>
    <w:p>
      <w:pPr>
        <w:pStyle w:val="LegalBody"/>
      </w:pPr>
      <w:r>
        <w:rPr>
          <w:b/>
        </w:rPr>
        <w:t xml:space="preserve">(a) Grants. </w:t>
      </w:r>
      <w:r>
        <w:t>Assistance may support coordination, accessibility, first- and last-mile connections, scheduling information, and pilot services connecting people to care, education, food, employment, and community activities. Existing transport authorities retain operational and regulatory responsibility.</w:t>
      </w:r>
    </w:p>
    <w:p>
      <w:pPr>
        <w:pStyle w:val="LegalBody"/>
      </w:pPr>
      <w:r>
        <w:rPr>
          <w:b/>
        </w:rPr>
        <w:t xml:space="preserve">(b) Service plan. </w:t>
      </w:r>
      <w:r>
        <w:t>A proposal shall identify demand, coverage, frequency, fares, accessible vehicles, booking methods, staffing, maintenance, and financial sustainability. A route or vehicle purchase without an operating plan is not an eligible complete project.</w:t>
      </w:r>
    </w:p>
    <w:p>
      <w:pPr>
        <w:pStyle w:val="LegalBody"/>
      </w:pPr>
      <w:r>
        <w:rPr>
          <w:b/>
        </w:rPr>
        <w:t xml:space="preserve">(c) Human access. </w:t>
      </w:r>
      <w:r>
        <w:t>Essential booking shall remain reasonably available without a smartphone, bank card, or biometric identifier. Riders shall receive clear information about eligibility, pickup windows, cancellations, complaints, and assistance.</w:t>
      </w:r>
    </w:p>
    <w:p>
      <w:pPr>
        <w:pStyle w:val="LegalBody"/>
      </w:pPr>
      <w:r>
        <w:rPr>
          <w:b/>
        </w:rPr>
        <w:t xml:space="preserve">(d) Coordination. </w:t>
      </w:r>
      <w:r>
        <w:t>Health and social-service providers may coordinate transport with lawful consent and minimum necessary information. A driver shall not receive a passenger's diagnosis where location and access needs suffice.</w:t>
      </w:r>
    </w:p>
    <w:p>
      <w:pPr>
        <w:pStyle w:val="LegalBody"/>
      </w:pPr>
      <w:r>
        <w:rPr>
          <w:b/>
        </w:rPr>
        <w:t xml:space="preserve">(e) Evaluation. </w:t>
      </w:r>
      <w:r>
        <w:t>Measures shall include completed trips, missed connections, waiting, affordability, accessibility, safety, and reliability. Average service speed shall not conceal exclusion of riders requiring assistance. A pilot shall provide notice and transition if service ends and shall not create an unfunded promise of permanent universal transport.</w:t>
      </w:r>
    </w:p>
    <w:p>
      <w:bookmarkStart w:id="174" w:name="SEC_1606"/>
      <w:pPr>
        <w:pStyle w:val="Heading2"/>
      </w:pPr>
      <w:r>
        <w:t>SEC. 1606. PUBLIC TOILETS, WATER, SEATING, AND BASIC AMENITIES.</w:t>
      </w:r>
      <w:bookmarkEnd w:id="174"/>
    </w:p>
    <w:p>
      <w:pPr>
        <w:pStyle w:val="LegalBody"/>
      </w:pPr>
      <w:r>
        <w:rPr>
          <w:b/>
        </w:rPr>
        <w:t xml:space="preserve">(a) Projects. </w:t>
      </w:r>
      <w:r>
        <w:t>Grants may support accessible public toilets, drinking water, seating, shelter, changing facilities, and other basic amenities integral to a funded public-space or mobility project.</w:t>
      </w:r>
    </w:p>
    <w:p>
      <w:pPr>
        <w:pStyle w:val="LegalBody"/>
      </w:pPr>
      <w:r>
        <w:rPr>
          <w:b/>
        </w:rPr>
        <w:t xml:space="preserve">(b) Operations. </w:t>
      </w:r>
      <w:r>
        <w:t>Applications shall identify cleaning, supplies, staffing where needed, opening hours, repairs, waste management, security, emergency response, and lifecycle replacement. A facility shall not be counted as public access during hours when it is routinely locked or unusable.</w:t>
      </w:r>
    </w:p>
    <w:p>
      <w:pPr>
        <w:pStyle w:val="LegalBody"/>
      </w:pPr>
      <w:r>
        <w:rPr>
          <w:b/>
        </w:rPr>
        <w:t xml:space="preserve">(c) Dignity. </w:t>
      </w:r>
      <w:r>
        <w:t>Design and operation shall protect privacy and accommodate disability, caregivers, children, and persons whose needs are not met by a single standard configuration. Access rules shall comply with applicable civil-rights law and shall not be used to exclude a person merely because of homelessness or inability to purchase.</w:t>
      </w:r>
    </w:p>
    <w:p>
      <w:pPr>
        <w:pStyle w:val="LegalBody"/>
      </w:pPr>
      <w:r>
        <w:rPr>
          <w:b/>
        </w:rPr>
        <w:t xml:space="preserve">(d) Safety. </w:t>
      </w:r>
      <w:r>
        <w:t>Surveillance shall not intrude into private toilet or changing areas. Security arrangements shall focus on actual conduct and safety and shall include a complaint route. A safety concern shall prompt a proportionate response rather than indefinite closure without evaluation of alternatives.</w:t>
      </w:r>
    </w:p>
    <w:p>
      <w:pPr>
        <w:pStyle w:val="LegalBody"/>
      </w:pPr>
      <w:r>
        <w:rPr>
          <w:b/>
        </w:rPr>
        <w:t xml:space="preserve">(e) Evaluation. </w:t>
      </w:r>
      <w:r>
        <w:t>Measures shall include usable hours, cleanliness, accessibility, outages, complaints, and maintenance costs. Installation totals alone shall not establish success. A recipient shall publish a reliable means to report defects and shall track the time required to restore essential access.</w:t>
      </w:r>
    </w:p>
    <w:p>
      <w:bookmarkStart w:id="175" w:name="SEC_1607"/>
      <w:pPr>
        <w:pStyle w:val="Heading2"/>
      </w:pPr>
      <w:r>
        <w:t>SEC. 1607. GREEN SPACE, SHADE, AND NATURE ACCESS.</w:t>
      </w:r>
      <w:bookmarkEnd w:id="175"/>
    </w:p>
    <w:p>
      <w:pPr>
        <w:pStyle w:val="LegalBody"/>
      </w:pPr>
      <w:r>
        <w:rPr>
          <w:b/>
        </w:rPr>
        <w:t xml:space="preserve">(a) Grants. </w:t>
      </w:r>
      <w:r>
        <w:t>Assistance may support accessible parks, trees, shade, community gardens, green infrastructure, and nature access where linked to an identified public purpose. Projects shall coordinate with land managers and relevant environmental requirements.</w:t>
      </w:r>
    </w:p>
    <w:p>
      <w:pPr>
        <w:pStyle w:val="LegalBody"/>
      </w:pPr>
      <w:r>
        <w:rPr>
          <w:b/>
        </w:rPr>
        <w:t xml:space="preserve">(b) Context. </w:t>
      </w:r>
      <w:r>
        <w:t>Plans shall consider climate, water availability, species suitability, allergens where relevant, maintenance, public safety, accessibility, and local cultural use. A visually attractive design shall not be presumed usable or ecologically suitable.</w:t>
      </w:r>
    </w:p>
    <w:p>
      <w:pPr>
        <w:pStyle w:val="LegalBody"/>
      </w:pPr>
      <w:r>
        <w:rPr>
          <w:b/>
        </w:rPr>
        <w:t xml:space="preserve">(c) Access. </w:t>
      </w:r>
      <w:r>
        <w:t>Routes, seating, toilets, information, and transport shall be considered together. A person shall not be counted as having meaningful access solely because a green area lies within a straight-line distance but cannot be reached safely.</w:t>
      </w:r>
    </w:p>
    <w:p>
      <w:pPr>
        <w:pStyle w:val="LegalBody"/>
      </w:pPr>
      <w:r>
        <w:rPr>
          <w:b/>
        </w:rPr>
        <w:t xml:space="preserve">(d) Displacement. </w:t>
      </w:r>
      <w:r>
        <w:t>Applicants shall assess whether an improvement may increase housing or business displacement and shall incorporate proportionate protections available under law and award conditions. Benefits to current residents shall be measured, not assumed.</w:t>
      </w:r>
    </w:p>
    <w:p>
      <w:pPr>
        <w:pStyle w:val="LegalBody"/>
      </w:pPr>
      <w:r>
        <w:rPr>
          <w:b/>
        </w:rPr>
        <w:t xml:space="preserve">(e) Evidence. </w:t>
      </w:r>
      <w:r>
        <w:t>Health claims shall distinguish plausible pathways, observational findings, and results of specific interventions. This section does not establish a universal mandatory dose of nature. Evaluation shall include heat, usability, participation, maintenance, and unintended effects, and shall disclose when a project requires sustained irrigation or other resource-intensive support.</w:t>
      </w:r>
    </w:p>
    <w:p>
      <w:bookmarkStart w:id="176" w:name="SEC_1608"/>
      <w:pPr>
        <w:pStyle w:val="Heading2"/>
      </w:pPr>
      <w:r>
        <w:t>SEC. 1608. INCLUSIVE DESIGN, WAYFINDING, AND HUMAN SCALE.</w:t>
      </w:r>
      <w:bookmarkEnd w:id="176"/>
    </w:p>
    <w:p>
      <w:pPr>
        <w:pStyle w:val="LegalBody"/>
      </w:pPr>
      <w:r>
        <w:rPr>
          <w:b/>
        </w:rPr>
        <w:t xml:space="preserve">(a) Design review. </w:t>
      </w:r>
      <w:r>
        <w:t>Funded facilities shall be reviewed for accessibility, navigation, waiting, sensory load, privacy, social opportunity, and the ability to choose quieter or more active areas. Review shall include users with relevant needs before construction or procurement is finalized.</w:t>
      </w:r>
    </w:p>
    <w:p>
      <w:pPr>
        <w:pStyle w:val="LegalBody"/>
      </w:pPr>
      <w:r>
        <w:rPr>
          <w:b/>
        </w:rPr>
        <w:t xml:space="preserve">(b) Usability. </w:t>
      </w:r>
      <w:r>
        <w:t>Signage, routes, doors, controls, seating, and service counters shall be tested as an integrated experience. Compliance with a dimensional requirement does not excuse an independently applicable duty to provide effective access.</w:t>
      </w:r>
    </w:p>
    <w:p>
      <w:pPr>
        <w:pStyle w:val="LegalBody"/>
      </w:pPr>
      <w:r>
        <w:rPr>
          <w:b/>
        </w:rPr>
        <w:t xml:space="preserve">(c) Choice. </w:t>
      </w:r>
      <w:r>
        <w:t>Design may support spontaneous interaction without requiring it. Residents and users shall have reasonable privacy and shall not be forced through social programming to reach an essential service.</w:t>
      </w:r>
    </w:p>
    <w:p>
      <w:pPr>
        <w:pStyle w:val="LegalBody"/>
      </w:pPr>
      <w:r>
        <w:rPr>
          <w:b/>
        </w:rPr>
        <w:t xml:space="preserve">(d) Technology. </w:t>
      </w:r>
      <w:r>
        <w:t>Smart-building systems shall collect only information necessary for operation, safety, or an authorized service. Occupancy management shall use aggregate methods where sufficient. A funded public facility shall not require facial recognition for ordinary entry unless a separate specific law authorizes and justifies the use.</w:t>
      </w:r>
    </w:p>
    <w:p>
      <w:pPr>
        <w:pStyle w:val="LegalBody"/>
      </w:pPr>
      <w:r>
        <w:rPr>
          <w:b/>
        </w:rPr>
        <w:t xml:space="preserve">(e) Evaluation. </w:t>
      </w:r>
      <w:r>
        <w:t>Post-occupancy review shall assess actual experience, maintenance, safety, accessibility, and unintended barriers. A design label, award, or certification shall not substitute for evidence that the facility works for the people it serves. Defects shall be assigned to a responsible party with a correction schedule.</w:t>
      </w:r>
    </w:p>
    <w:p>
      <w:bookmarkStart w:id="177" w:name="SEC_1609"/>
      <w:pPr>
        <w:pStyle w:val="Heading2"/>
      </w:pPr>
      <w:r>
        <w:t>SEC. 1609. ANTI-DISPLACEMENT, COMMUNITY PARTICIPATION, AND PROJECT CONDITIONS.</w:t>
      </w:r>
      <w:bookmarkEnd w:id="177"/>
    </w:p>
    <w:p>
      <w:pPr>
        <w:pStyle w:val="LegalBody"/>
      </w:pPr>
      <w:r>
        <w:rPr>
          <w:b/>
        </w:rPr>
        <w:t xml:space="preserve">(a) Participation. </w:t>
      </w:r>
      <w:r>
        <w:t>Applicants shall provide accessible notice and a reasonable opportunity for affected residents, businesses, service users, and Indian Tribes where relevant to comment on material project choices. Consultation shall disclose costs, tradeoffs, and alternatives rather than present only promotional images.</w:t>
      </w:r>
    </w:p>
    <w:p>
      <w:pPr>
        <w:pStyle w:val="LegalBody"/>
      </w:pPr>
      <w:r>
        <w:rPr>
          <w:b/>
        </w:rPr>
        <w:t xml:space="preserve">(b) Protections. </w:t>
      </w:r>
      <w:r>
        <w:t>Awards benefiting privately controlled property shall include conditions proportionate to the public investment, which may include affordability periods, tenant protections, accessibility covenants, public-use commitments, or recapture upon conversion. Conditions shall be stated before acceptance and recorded where necessary for enforceability.</w:t>
      </w:r>
    </w:p>
    <w:p>
      <w:pPr>
        <w:pStyle w:val="LegalBody"/>
      </w:pPr>
      <w:r>
        <w:rPr>
          <w:b/>
        </w:rPr>
        <w:t xml:space="preserve">(c) Relocation. </w:t>
      </w:r>
      <w:r>
        <w:t>A project requiring displacement shall comply with applicable relocation law and identify temporary and permanent arrangements, costs, accessible alternatives, and the responsible official. Displaced persons shall not be left dependent on an unspecified future grant.</w:t>
      </w:r>
    </w:p>
    <w:p>
      <w:pPr>
        <w:pStyle w:val="LegalBody"/>
      </w:pPr>
      <w:r>
        <w:rPr>
          <w:b/>
        </w:rPr>
        <w:t xml:space="preserve">(d) Complaints. </w:t>
      </w:r>
      <w:r>
        <w:t>Recipients shall maintain a project grievance route for access, construction impacts, relocation, and noncompliance. The process shall not waive judicial or administrative rights under other law.</w:t>
      </w:r>
    </w:p>
    <w:p>
      <w:pPr>
        <w:pStyle w:val="LegalBody"/>
      </w:pPr>
      <w:r>
        <w:rPr>
          <w:b/>
        </w:rPr>
        <w:t xml:space="preserve">(e) Evaluation. </w:t>
      </w:r>
      <w:r>
        <w:t>Reports shall identify who received benefits, who moved or lost access, and what mitigation occurred, using privacy-protective methods. An increase in property value shall not alone establish benefit to the intended population. This section does not authorize Federal control of unrelated local land-use decisions.</w:t>
      </w:r>
    </w:p>
    <w:p>
      <w:bookmarkStart w:id="178" w:name="SEC_1610"/>
      <w:pPr>
        <w:pStyle w:val="Heading2"/>
      </w:pPr>
      <w:r>
        <w:t>SEC. 1610. CAPITAL DELIVERY, MAINTENANCE, AND LIFECYCLE REVIEW.</w:t>
      </w:r>
      <w:bookmarkEnd w:id="178"/>
    </w:p>
    <w:p>
      <w:pPr>
        <w:pStyle w:val="LegalBody"/>
      </w:pPr>
      <w:r>
        <w:rPr>
          <w:b/>
        </w:rPr>
        <w:t xml:space="preserve">(a) Milestones. </w:t>
      </w:r>
      <w:r>
        <w:t>Capital awards shall specify design, permitting, procurement, construction, commissioning, occupancy, and evaluation milestones. Disbursement shall be tied to verified progress and lawful cost documentation.</w:t>
      </w:r>
    </w:p>
    <w:p>
      <w:pPr>
        <w:pStyle w:val="LegalBody"/>
      </w:pPr>
      <w:r>
        <w:rPr>
          <w:b/>
        </w:rPr>
        <w:t xml:space="preserve">(b) Risk management. </w:t>
      </w:r>
      <w:r>
        <w:t>Recipients shall maintain contingency, change-order, contractor performance, insurance, and schedule controls. Material cost increases shall be reported with alternatives and funding implications. The agency shall not assume authority to cover every overrun.</w:t>
      </w:r>
    </w:p>
    <w:p>
      <w:pPr>
        <w:pStyle w:val="LegalBody"/>
      </w:pPr>
      <w:r>
        <w:rPr>
          <w:b/>
        </w:rPr>
        <w:t xml:space="preserve">(c) Maintenance. </w:t>
      </w:r>
      <w:r>
        <w:t>A project shall have an enforceable maintenance and operations plan for the useful life required by the award under section 2708. Responsible parties, reserves, inspection intervals, and repair priorities shall be identified.</w:t>
      </w:r>
    </w:p>
    <w:p>
      <w:pPr>
        <w:pStyle w:val="LegalBody"/>
      </w:pPr>
      <w:r>
        <w:rPr>
          <w:b/>
        </w:rPr>
        <w:t xml:space="preserve">(d) Failure. </w:t>
      </w:r>
      <w:r>
        <w:t>Where a project becomes infeasible, the agency shall consider redesign, transfer, or termination under lawful grant procedures. Public funds shall not continue solely to avoid acknowledging a failed assumption. Residents and service users shall receive appropriate notice and transition assistance within available authority.</w:t>
      </w:r>
    </w:p>
    <w:p>
      <w:pPr>
        <w:pStyle w:val="LegalBody"/>
      </w:pPr>
      <w:r>
        <w:rPr>
          <w:b/>
        </w:rPr>
        <w:t xml:space="preserve">(e) Evaluation. </w:t>
      </w:r>
      <w:r>
        <w:t>The Secretary of Housing and Urban Development shall report unit and lifecycle costs, delivery times, accessibility, operational reliability, and distributional effects. National projections shall account for land, labor, climate, regulation, and service differences. A demonstration cost shall not be presented as a universally applicable price for human-compatible housing or infrastructure.</w:t>
      </w:r>
    </w:p>
    <w:p>
      <w:bookmarkStart w:id="179" w:name="TITLE_XVII"/>
      <w:pPr>
        <w:pStyle w:val="Heading1"/>
        <w:pageBreakBefore/>
      </w:pPr>
      <w:r>
        <w:t>TITLE XVII. ENVIRONMENTAL CONDITIONS, ONE HEALTH, AND HUMAN RESILIENCE</w:t>
      </w:r>
      <w:bookmarkEnd w:id="179"/>
    </w:p>
    <w:p>
      <w:bookmarkStart w:id="180" w:name="SEC_1701"/>
      <w:pPr>
        <w:pStyle w:val="Heading2"/>
      </w:pPr>
      <w:r>
        <w:t>SEC. 1701. ENVIRONMENT AND HUMAN CAPABILITY PROGRAM.</w:t>
      </w:r>
      <w:bookmarkEnd w:id="180"/>
    </w:p>
    <w:p>
      <w:pPr>
        <w:pStyle w:val="LegalBody"/>
      </w:pPr>
      <w:r>
        <w:rPr>
          <w:b/>
        </w:rPr>
        <w:t xml:space="preserve">(a) Coordination. </w:t>
      </w:r>
      <w:r>
        <w:t>The Administrator of the Environmental Protection Agency shall coordinate grants and research concerning environmental conditions affecting human health and participation, in cooperation with health, agriculture, interior, transportation, and housing agencies.</w:t>
      </w:r>
    </w:p>
    <w:p>
      <w:pPr>
        <w:pStyle w:val="LegalBody"/>
      </w:pPr>
      <w:r>
        <w:rPr>
          <w:b/>
        </w:rPr>
        <w:t xml:space="preserve">(b) Scope. </w:t>
      </w:r>
      <w:r>
        <w:t>Activities may address air, water, heat, noise, light, contamination, ecological conditions, and resilience in covered facilities and communities. A project shall identify the exposure or access problem, responsible authority, evidence, affected population, and feasible intervention.</w:t>
      </w:r>
    </w:p>
    <w:p>
      <w:pPr>
        <w:pStyle w:val="LegalBody"/>
      </w:pPr>
      <w:r>
        <w:rPr>
          <w:b/>
        </w:rPr>
        <w:t xml:space="preserve">(c) Existing law. </w:t>
      </w:r>
      <w:r>
        <w:t>This title supplements and does not revise environmental standards, permitting, enforcement, or agency jurisdiction under other statutes. A grant does not exempt a project from environmental review or authorize a discharge, emission, or land use otherwise prohibited.</w:t>
      </w:r>
    </w:p>
    <w:p>
      <w:pPr>
        <w:pStyle w:val="LegalBody"/>
      </w:pPr>
      <w:r>
        <w:rPr>
          <w:b/>
        </w:rPr>
        <w:t xml:space="preserve">(d) Funding. </w:t>
      </w:r>
      <w:r>
        <w:t>Assistance shall be drawn from the environment and resilience account. Projects principally concerning housing or transport shall coordinate with title XVI and shall avoid duplicate financing.</w:t>
      </w:r>
    </w:p>
    <w:p>
      <w:pPr>
        <w:pStyle w:val="LegalBody"/>
      </w:pPr>
      <w:r>
        <w:rPr>
          <w:b/>
        </w:rPr>
        <w:t xml:space="preserve">(e) Evaluation. </w:t>
      </w:r>
      <w:r>
        <w:t>Plans shall distinguish measured environmental change, modeled exposure, health outcomes, and broader ecological effects. A reduction in a pollutant at one location shall not be credited without considering whether the burden has been shifted to another community or environmental medium.</w:t>
      </w:r>
    </w:p>
    <w:p>
      <w:bookmarkStart w:id="181" w:name="SEC_1702"/>
      <w:pPr>
        <w:pStyle w:val="Heading2"/>
      </w:pPr>
      <w:r>
        <w:t>SEC. 1702. CLEAN INDOOR AIR AND VENTILATION.</w:t>
      </w:r>
      <w:bookmarkEnd w:id="181"/>
    </w:p>
    <w:p>
      <w:pPr>
        <w:pStyle w:val="LegalBody"/>
      </w:pPr>
      <w:r>
        <w:rPr>
          <w:b/>
        </w:rPr>
        <w:t xml:space="preserve">(a) Projects. </w:t>
      </w:r>
      <w:r>
        <w:t>Grants may support assessment, ventilation improvement, filtration, moisture control, source reduction, and maintenance in funded schools, care settings, public facilities, and other eligible buildings. Projects shall use qualified assessment and comply with applicable codes and occupational requirements.</w:t>
      </w:r>
    </w:p>
    <w:p>
      <w:pPr>
        <w:pStyle w:val="LegalBody"/>
      </w:pPr>
      <w:r>
        <w:rPr>
          <w:b/>
        </w:rPr>
        <w:t xml:space="preserve">(b) Design. </w:t>
      </w:r>
      <w:r>
        <w:t>Plans shall consider occupancy, outdoor conditions, energy use, thermal comfort, noise, accessibility, equipment compatibility, and the actual contaminant or transmission concern. A single device shall not be represented as a universal solution.</w:t>
      </w:r>
    </w:p>
    <w:p>
      <w:pPr>
        <w:pStyle w:val="LegalBody"/>
      </w:pPr>
      <w:r>
        <w:rPr>
          <w:b/>
        </w:rPr>
        <w:t xml:space="preserve">(c) Operation. </w:t>
      </w:r>
      <w:r>
        <w:t>Awards shall include commissioning, filter replacement, staff training, monitoring where appropriate, and repair responsibilities. Equipment shall not be installed without resources to operate it effectively.</w:t>
      </w:r>
    </w:p>
    <w:p>
      <w:pPr>
        <w:pStyle w:val="LegalBody"/>
      </w:pPr>
      <w:r>
        <w:rPr>
          <w:b/>
        </w:rPr>
        <w:t xml:space="preserve">(d) Communication. </w:t>
      </w:r>
      <w:r>
        <w:t>Users shall receive accurate information about improvements and limitations. A recipient shall not claim that a building is risk-free or use improved ventilation to excuse other applicable safety duties.</w:t>
      </w:r>
    </w:p>
    <w:p>
      <w:pPr>
        <w:pStyle w:val="LegalBody"/>
      </w:pPr>
      <w:r>
        <w:rPr>
          <w:b/>
        </w:rPr>
        <w:t xml:space="preserve">(e) Evaluation. </w:t>
      </w:r>
      <w:r>
        <w:t>Measures shall include verified system performance, relevant environmental indicators, usability, maintenance, and cost. A proxy such as carbon dioxide may inform ventilation assessment but shall not be represented as a complete measure of all indoor hazards. Health outcome claims shall identify the evidence and uncertainty, and monitoring shall avoid unnecessary collection of personal occupancy histories.</w:t>
      </w:r>
    </w:p>
    <w:p>
      <w:bookmarkStart w:id="182" w:name="SEC_1703"/>
      <w:pPr>
        <w:pStyle w:val="Heading2"/>
      </w:pPr>
      <w:r>
        <w:t>SEC. 1703. HEAT, WEATHER, AND CLIMATE-RELATED SERVICE CONTINUITY.</w:t>
      </w:r>
      <w:bookmarkEnd w:id="182"/>
    </w:p>
    <w:p>
      <w:pPr>
        <w:pStyle w:val="LegalBody"/>
      </w:pPr>
      <w:r>
        <w:rPr>
          <w:b/>
        </w:rPr>
        <w:t xml:space="preserve">(a) Grants. </w:t>
      </w:r>
      <w:r>
        <w:t>Assistance may support cooling access, shade, resilient power, emergency communication, and continuity plans for vulnerable services during heat, severe weather, and other climate-related hazards. Projects shall coordinate with emergency-management authorities.</w:t>
      </w:r>
    </w:p>
    <w:p>
      <w:pPr>
        <w:pStyle w:val="LegalBody"/>
      </w:pPr>
      <w:r>
        <w:rPr>
          <w:b/>
        </w:rPr>
        <w:t xml:space="preserve">(b) Risk assessment. </w:t>
      </w:r>
      <w:r>
        <w:t>Plans shall consider local conditions, building performance, outdoor work, medical equipment, mobility, language, transport, and persons who may be unable to reach a designated facility. A public map alone is insufficient where users lack transport or information.</w:t>
      </w:r>
    </w:p>
    <w:p>
      <w:pPr>
        <w:pStyle w:val="LegalBody"/>
      </w:pPr>
      <w:r>
        <w:rPr>
          <w:b/>
        </w:rPr>
        <w:t xml:space="preserve">(c) Operations. </w:t>
      </w:r>
      <w:r>
        <w:t>Cooling and resilience facilities shall identify hours, staffing, water, sanitation, accessibility, backup power, supplies, and arrangements for essential medication or equipment needs. Restrictions concerning animals shall consider lawful service-animal access and practical emergency planning.</w:t>
      </w:r>
    </w:p>
    <w:p>
      <w:pPr>
        <w:pStyle w:val="LegalBody"/>
      </w:pPr>
      <w:r>
        <w:rPr>
          <w:b/>
        </w:rPr>
        <w:t xml:space="preserve">(d) Worker and participant safety. </w:t>
      </w:r>
      <w:r>
        <w:t>Funded outdoor activities shall have procedures for modifying, postponing, or stopping work when conditions create a material safety risk. This does not displace more protective occupational rules.</w:t>
      </w:r>
    </w:p>
    <w:p>
      <w:pPr>
        <w:pStyle w:val="LegalBody"/>
      </w:pPr>
      <w:r>
        <w:rPr>
          <w:b/>
        </w:rPr>
        <w:t xml:space="preserve">(e) Evaluation. </w:t>
      </w:r>
      <w:r>
        <w:t>Reports shall describe actual availability, outages, use, access barriers, and avoided service interruptions. Modeled future losses shall be clearly labeled and shall not be treated as realized fiscal savings. A resilience project shall not promise protection against every conceivable hazard.</w:t>
      </w:r>
    </w:p>
    <w:p>
      <w:bookmarkStart w:id="183" w:name="SEC_1704"/>
      <w:pPr>
        <w:pStyle w:val="Heading2"/>
      </w:pPr>
      <w:r>
        <w:t>SEC. 1704. ENVIRONMENTAL EXPOSURE AND CUMULATIVE BURDEN RESEARCH.</w:t>
      </w:r>
      <w:bookmarkEnd w:id="183"/>
    </w:p>
    <w:p>
      <w:pPr>
        <w:pStyle w:val="LegalBody"/>
      </w:pPr>
      <w:r>
        <w:rPr>
          <w:b/>
        </w:rPr>
        <w:t xml:space="preserve">(a) Research. </w:t>
      </w:r>
      <w:r>
        <w:t>Agencies may support studies of combined exposures, susceptibility, life-course effects, and interactions among environmental conditions and social circumstances. Studies shall use methods appropriate to the question and disclose uncertainty in exposure and outcome measurement.</w:t>
      </w:r>
    </w:p>
    <w:p>
      <w:pPr>
        <w:pStyle w:val="LegalBody"/>
      </w:pPr>
      <w:r>
        <w:rPr>
          <w:b/>
        </w:rPr>
        <w:t xml:space="preserve">(b) Population interpretation. </w:t>
      </w:r>
      <w:r>
        <w:t>A neighborhood characteristic shall not be used as an individual diagnosis. Research shall distinguish historical exposure, current conditions, mobility, occupation, and other relevant factors.</w:t>
      </w:r>
    </w:p>
    <w:p>
      <w:pPr>
        <w:pStyle w:val="LegalBody"/>
      </w:pPr>
      <w:r>
        <w:rPr>
          <w:b/>
        </w:rPr>
        <w:t xml:space="preserve">(c) Participation. </w:t>
      </w:r>
      <w:r>
        <w:t>Communities may participate in question formation, monitoring, interpretation, and communication. Sampling shall protect privacy and shall not publish precise household information where it could identify a participant or create avoidable harm.</w:t>
      </w:r>
    </w:p>
    <w:p>
      <w:pPr>
        <w:pStyle w:val="LegalBody"/>
      </w:pPr>
      <w:r>
        <w:rPr>
          <w:b/>
        </w:rPr>
        <w:t xml:space="preserve">(d) Findings. </w:t>
      </w:r>
      <w:r>
        <w:t>A recipient shall have a plan for communicating a material safety finding, explaining limitations, and referring to the responsible authority. A research project shall not collect alarming information without considering how participants can obtain qualified interpretation.</w:t>
      </w:r>
    </w:p>
    <w:p>
      <w:pPr>
        <w:pStyle w:val="LegalBody"/>
      </w:pPr>
      <w:r>
        <w:rPr>
          <w:b/>
        </w:rPr>
        <w:t xml:space="preserve">(e) Translation. </w:t>
      </w:r>
      <w:r>
        <w:t>Evidence may support grants, guidance, or action under independently applicable environmental law. This section does not create a new permitting standard through a research index or authorize an agency to impose a binding cumulative-risk threshold without express statutory authority and required rulemaking.</w:t>
      </w:r>
    </w:p>
    <w:p>
      <w:bookmarkStart w:id="184" w:name="SEC_1705"/>
      <w:pPr>
        <w:pStyle w:val="Heading2"/>
      </w:pPr>
      <w:r>
        <w:t>SEC. 1705. NOISE AND LIGHT POLLUTION IN COMMUNITY SETTINGS.</w:t>
      </w:r>
      <w:bookmarkEnd w:id="184"/>
    </w:p>
    <w:p>
      <w:pPr>
        <w:pStyle w:val="LegalBody"/>
      </w:pPr>
      <w:r>
        <w:rPr>
          <w:b/>
        </w:rPr>
        <w:t xml:space="preserve">(a) Projects. </w:t>
      </w:r>
      <w:r>
        <w:t>Grants may support measurement, source control, shielding, scheduling, acoustic improvement, and public information concerning noise and excessive artificial light. Projects shall consider safety, navigation, accessibility, energy, wildlife, and legitimate community activity.</w:t>
      </w:r>
    </w:p>
    <w:p>
      <w:pPr>
        <w:pStyle w:val="LegalBody"/>
      </w:pPr>
      <w:r>
        <w:rPr>
          <w:b/>
        </w:rPr>
        <w:t xml:space="preserve">(b) Context. </w:t>
      </w:r>
      <w:r>
        <w:t>A project shall identify exposure timing, duration, affected uses, and practical alternatives. A residential setting, hospital, transport corridor, and performance venue may require different approaches.</w:t>
      </w:r>
    </w:p>
    <w:p>
      <w:pPr>
        <w:pStyle w:val="LegalBody"/>
      </w:pPr>
      <w:r>
        <w:rPr>
          <w:b/>
        </w:rPr>
        <w:t xml:space="preserve">(c) Expression and authority. </w:t>
      </w:r>
      <w:r>
        <w:t>Measures shall concern exposure and use, not the viewpoint of speech or the cultural identity of an activity. This title does not create a general Federal power to regulate neighborhood expression or replace local nuisance law.</w:t>
      </w:r>
    </w:p>
    <w:p>
      <w:pPr>
        <w:pStyle w:val="LegalBody"/>
      </w:pPr>
      <w:r>
        <w:rPr>
          <w:b/>
        </w:rPr>
        <w:t xml:space="preserve">(d) Operation. </w:t>
      </w:r>
      <w:r>
        <w:t>Awards shall include maintenance and verification. A shielding or sound-control measure shall not create a new safety hazard, obstruct necessary communication, or transfer the exposure to another population without assessment.</w:t>
      </w:r>
    </w:p>
    <w:p>
      <w:pPr>
        <w:pStyle w:val="LegalBody"/>
      </w:pPr>
      <w:r>
        <w:rPr>
          <w:b/>
        </w:rPr>
        <w:t xml:space="preserve">(e) Evaluation. </w:t>
      </w:r>
      <w:r>
        <w:t>Reports shall distinguish environmental measurements from sleep or health outcomes and shall explain the evidence connecting them. No universal mandatory darkness or silence schedule is established. Individuals shall retain lawful private choices, and recipients shall provide reasonable accommodations in funded settings where sensory needs differ.</w:t>
      </w:r>
    </w:p>
    <w:p>
      <w:bookmarkStart w:id="185" w:name="SEC_1706"/>
      <w:pPr>
        <w:pStyle w:val="Heading2"/>
      </w:pPr>
      <w:r>
        <w:t>SEC. 1706. ONE HEALTH RESEARCH AND PREVENTION PARTNERSHIPS.</w:t>
      </w:r>
      <w:bookmarkEnd w:id="185"/>
    </w:p>
    <w:p>
      <w:pPr>
        <w:pStyle w:val="LegalBody"/>
      </w:pPr>
      <w:r>
        <w:rPr>
          <w:b/>
        </w:rPr>
        <w:t xml:space="preserve">(a) Program. </w:t>
      </w:r>
      <w:r>
        <w:t>Agencies may support coordinated research and prevention concerning human, animal, plant, and ecosystem health, including zoonotic risk, antimicrobial resistance, food-system resilience, and environmental pathways of disease.</w:t>
      </w:r>
    </w:p>
    <w:p>
      <w:pPr>
        <w:pStyle w:val="LegalBody"/>
      </w:pPr>
      <w:r>
        <w:rPr>
          <w:b/>
        </w:rPr>
        <w:t xml:space="preserve">(b) Responsibilities. </w:t>
      </w:r>
      <w:r>
        <w:t>Each project shall identify the participating authorities, lawful data-sharing basis, laboratory and field safeguards, veterinary and public-health expertise, and responsibility for acting on a material finding. Coordination shall not blur accountability.</w:t>
      </w:r>
    </w:p>
    <w:p>
      <w:pPr>
        <w:pStyle w:val="LegalBody"/>
      </w:pPr>
      <w:r>
        <w:rPr>
          <w:b/>
        </w:rPr>
        <w:t xml:space="preserve">(c) Proportionality. </w:t>
      </w:r>
      <w:r>
        <w:t>Surveillance shall be targeted to a defined public-health question and shall minimize personal information. A One Health designation does not authorize unrestricted monitoring of households, farms, wildlife users, or cultural practices.</w:t>
      </w:r>
    </w:p>
    <w:p>
      <w:pPr>
        <w:pStyle w:val="LegalBody"/>
      </w:pPr>
      <w:r>
        <w:rPr>
          <w:b/>
        </w:rPr>
        <w:t xml:space="preserve">(d) Safety. </w:t>
      </w:r>
      <w:r>
        <w:t>Research shall comply with applicable biosafety, biosecurity, animal welfare, environmental, and human-subjects rules. This Act does not relax oversight of hazardous biological work or authorize release of an organism without independently required approval.</w:t>
      </w:r>
    </w:p>
    <w:p>
      <w:pPr>
        <w:pStyle w:val="LegalBody"/>
      </w:pPr>
      <w:r>
        <w:rPr>
          <w:b/>
        </w:rPr>
        <w:t xml:space="preserve">(e) International collaboration. </w:t>
      </w:r>
      <w:r>
        <w:t>Projects may cooperate under title XXIV, with reciprocal benefit, host-country law, equitable access to findings, and respect for local expertise. Reports shall distinguish an international policy framework from a binding domestic obligation and shall update references when such frameworks are revised.</w:t>
      </w:r>
    </w:p>
    <w:p>
      <w:bookmarkStart w:id="186" w:name="SEC_1707"/>
      <w:pPr>
        <w:pStyle w:val="Heading2"/>
      </w:pPr>
      <w:r>
        <w:t>SEC. 1707. BIODIVERSITY, ECOSYSTEM SERVICES, AND HUMAN ACCESS.</w:t>
      </w:r>
      <w:bookmarkEnd w:id="186"/>
    </w:p>
    <w:p>
      <w:pPr>
        <w:pStyle w:val="LegalBody"/>
      </w:pPr>
      <w:r>
        <w:rPr>
          <w:b/>
        </w:rPr>
        <w:t xml:space="preserve">(a) Grants. </w:t>
      </w:r>
      <w:r>
        <w:t>Assistance may support ecological restoration and stewardship where a project has a documented connection to an authorized health, resilience, or accessible public-space purpose. Projects shall coordinate with land and wildlife authorities.</w:t>
      </w:r>
    </w:p>
    <w:p>
      <w:pPr>
        <w:pStyle w:val="LegalBody"/>
      </w:pPr>
      <w:r>
        <w:rPr>
          <w:b/>
        </w:rPr>
        <w:t xml:space="preserve">(b) Design. </w:t>
      </w:r>
      <w:r>
        <w:t>Plans shall assess habitat, species suitability, water, soil, climate, public access, cultural use, and maintenance. Human use shall be balanced with ecological needs under applicable law rather than presumed harmless.</w:t>
      </w:r>
    </w:p>
    <w:p>
      <w:pPr>
        <w:pStyle w:val="LegalBody"/>
      </w:pPr>
      <w:r>
        <w:rPr>
          <w:b/>
        </w:rPr>
        <w:t xml:space="preserve">(c) Evidence. </w:t>
      </w:r>
      <w:r>
        <w:t>Claims concerning health, flood reduction, cooling, or other services shall identify methods and uncertainty. A count of trees planted or area restored shall not be treated as proof of long-term ecological function without survival and maintenance information.</w:t>
      </w:r>
    </w:p>
    <w:p>
      <w:pPr>
        <w:pStyle w:val="LegalBody"/>
      </w:pPr>
      <w:r>
        <w:rPr>
          <w:b/>
        </w:rPr>
        <w:t xml:space="preserve">(d) Community rights. </w:t>
      </w:r>
      <w:r>
        <w:t>Projects shall respect lawful land tenure, tribal rights, cultural sites, and public consultation requirements. Conservation shall not be used as a pretext for displacement without lawful authority and required safeguards.</w:t>
      </w:r>
    </w:p>
    <w:p>
      <w:pPr>
        <w:pStyle w:val="LegalBody"/>
      </w:pPr>
      <w:r>
        <w:rPr>
          <w:b/>
        </w:rPr>
        <w:t xml:space="preserve">(e) Evaluation. </w:t>
      </w:r>
      <w:r>
        <w:t>Recipients shall monitor durability, ecological effects, access, and unintended consequences. Activities that introduce a foreseeable invasive-species risk or materially impair another protected resource shall be redesigned or denied where required. This section does not create a general Federal conservation mandate beyond the funded project and existing law.</w:t>
      </w:r>
    </w:p>
    <w:p>
      <w:bookmarkStart w:id="187" w:name="SEC_1708"/>
      <w:pPr>
        <w:pStyle w:val="Heading2"/>
      </w:pPr>
      <w:r>
        <w:t>SEC. 1708. HUMAN-ANIMAL INTERACTION AND RESPONSIBLE ASSISTANCE.</w:t>
      </w:r>
      <w:bookmarkEnd w:id="187"/>
    </w:p>
    <w:p>
      <w:pPr>
        <w:pStyle w:val="LegalBody"/>
      </w:pPr>
      <w:r>
        <w:rPr>
          <w:b/>
        </w:rPr>
        <w:t xml:space="preserve">(a) Activities. </w:t>
      </w:r>
      <w:r>
        <w:t>Grants may support lawful service-animal access, qualified assistance-animal programs, veterinary-public-health coordination, and research concerning human-animal interaction where relevant to an authorized purpose.</w:t>
      </w:r>
    </w:p>
    <w:p>
      <w:pPr>
        <w:pStyle w:val="LegalBody"/>
      </w:pPr>
      <w:r>
        <w:rPr>
          <w:b/>
        </w:rPr>
        <w:t xml:space="preserve">(b) Distinctions. </w:t>
      </w:r>
      <w:r>
        <w:t>Programs shall distinguish service animals recognized under applicable law, other assistance animals, pets, and structured animal-assisted activities. A recipient shall not misrepresent certification or legal access rights.</w:t>
      </w:r>
    </w:p>
    <w:p>
      <w:pPr>
        <w:pStyle w:val="LegalBody"/>
      </w:pPr>
      <w:r>
        <w:rPr>
          <w:b/>
        </w:rPr>
        <w:t xml:space="preserve">(c) Safety and welfare. </w:t>
      </w:r>
      <w:r>
        <w:t>Projects shall address animal welfare, handler competence, allergies, infection control, fear, disability access, and the option not to interact. A person shall not be required to accept animal contact as a condition of unrelated care.</w:t>
      </w:r>
    </w:p>
    <w:p>
      <w:pPr>
        <w:pStyle w:val="LegalBody"/>
      </w:pPr>
      <w:r>
        <w:rPr>
          <w:b/>
        </w:rPr>
        <w:t xml:space="preserve">(d) Evidence. </w:t>
      </w:r>
      <w:r>
        <w:t>Therapeutic claims shall be supported for the particular intervention and population. Enjoyment or reported companionship shall not alone establish treatment effectiveness. Research shall comply with applicable human and animal protections.</w:t>
      </w:r>
    </w:p>
    <w:p>
      <w:pPr>
        <w:pStyle w:val="LegalBody"/>
      </w:pPr>
      <w:r>
        <w:rPr>
          <w:b/>
        </w:rPr>
        <w:t xml:space="preserve">(e) Continuity. </w:t>
      </w:r>
      <w:r>
        <w:t>Programs shall identify ownership, veterinary care, costs, retirement, handler transition, and responsibility if an animal can no longer perform its role. Public assistance shall not create an unsupported long-term burden on a participant. This section does not alter animal status under property law or authorize disregard of existing public-access and disability requirements.</w:t>
      </w:r>
    </w:p>
    <w:p>
      <w:bookmarkStart w:id="188" w:name="SEC_1709"/>
      <w:pPr>
        <w:pStyle w:val="Heading2"/>
      </w:pPr>
      <w:r>
        <w:t>SEC. 1709. ENVIRONMENTAL DATA, COMMUNITY NOTICE, AND CORRECTION.</w:t>
      </w:r>
      <w:bookmarkEnd w:id="188"/>
    </w:p>
    <w:p>
      <w:pPr>
        <w:pStyle w:val="LegalBody"/>
      </w:pPr>
      <w:r>
        <w:rPr>
          <w:b/>
        </w:rPr>
        <w:t xml:space="preserve">(a) Data quality. </w:t>
      </w:r>
      <w:r>
        <w:t>Environmental measurements financed under this Act shall document methods, calibration, location context, uncertainty, and quality assurance. Low-cost sensors may support screening or research but shall not be represented as equivalent to a regulatory method without validation.</w:t>
      </w:r>
    </w:p>
    <w:p>
      <w:pPr>
        <w:pStyle w:val="LegalBody"/>
      </w:pPr>
      <w:r>
        <w:rPr>
          <w:b/>
        </w:rPr>
        <w:t xml:space="preserve">(b) Public notice. </w:t>
      </w:r>
      <w:r>
        <w:t>A material finding affecting a funded facility's safety shall be communicated promptly to the responsible authority and affected users, subject to applicable law. Notices shall explain what is known, what remains uncertain, and what action is available.</w:t>
      </w:r>
    </w:p>
    <w:p>
      <w:pPr>
        <w:pStyle w:val="LegalBody"/>
      </w:pPr>
      <w:r>
        <w:rPr>
          <w:b/>
        </w:rPr>
        <w:t xml:space="preserve">(c) Privacy. </w:t>
      </w:r>
      <w:r>
        <w:t>Public datasets shall avoid unnecessary identification of homes, health conditions, or private behavior. Aggregation shall not conceal a localized hazard where disclosure can be made lawfully with appropriate protection.</w:t>
      </w:r>
    </w:p>
    <w:p>
      <w:pPr>
        <w:pStyle w:val="LegalBody"/>
      </w:pPr>
      <w:r>
        <w:rPr>
          <w:b/>
        </w:rPr>
        <w:t xml:space="preserve">(d) Correction. </w:t>
      </w:r>
      <w:r>
        <w:t>Recipients shall correct errors and preserve a dated record of revisions. A property owner, vendor, or sponsor shall not suppress a valid result because it may affect reputation or value.</w:t>
      </w:r>
    </w:p>
    <w:p>
      <w:pPr>
        <w:pStyle w:val="LegalBody"/>
      </w:pPr>
      <w:r>
        <w:rPr>
          <w:b/>
        </w:rPr>
        <w:t xml:space="preserve">(e) Action. </w:t>
      </w:r>
      <w:r>
        <w:t>Research findings shall be routed to the agency with lawful authority. This section does not automatically create a violation of an environmental statute or authorize penalties without the required elements and procedures. Grant-funded hazards shall nevertheless be addressed through applicable award conditions and safety duties.</w:t>
      </w:r>
    </w:p>
    <w:p>
      <w:bookmarkStart w:id="189" w:name="SEC_1710"/>
      <w:pPr>
        <w:pStyle w:val="Heading2"/>
      </w:pPr>
      <w:r>
        <w:t>SEC. 1710. ENVIRONMENTAL PROGRAM REVIEW AND LIFECYCLE ACCOUNTING.</w:t>
      </w:r>
      <w:bookmarkEnd w:id="189"/>
    </w:p>
    <w:p>
      <w:pPr>
        <w:pStyle w:val="LegalBody"/>
      </w:pPr>
      <w:r>
        <w:rPr>
          <w:b/>
        </w:rPr>
        <w:t xml:space="preserve">(a) Review. </w:t>
      </w:r>
      <w:r>
        <w:t>The Administrator shall evaluate environmental projects for verified performance, access, durability, maintenance, distributional effects, and interaction with existing programs. Reviews shall identify failed or underperforming interventions as well as favorable results.</w:t>
      </w:r>
    </w:p>
    <w:p>
      <w:pPr>
        <w:pStyle w:val="LegalBody"/>
      </w:pPr>
      <w:r>
        <w:rPr>
          <w:b/>
        </w:rPr>
        <w:t xml:space="preserve">(b) Lifecycle costs. </w:t>
      </w:r>
      <w:r>
        <w:t>Analyses shall include construction, energy, consumables, labor, repair, disposal, replacement, and environmental effects of the intervention itself. A project shall not be described as low-cost solely because maintenance is borne by another public agency or household.</w:t>
      </w:r>
    </w:p>
    <w:p>
      <w:pPr>
        <w:pStyle w:val="LegalBody"/>
      </w:pPr>
      <w:r>
        <w:rPr>
          <w:b/>
        </w:rPr>
        <w:t xml:space="preserve">(c) Benefits. </w:t>
      </w:r>
      <w:r>
        <w:t>Health, ecological, and fiscal benefits shall be reported separately, with methods and uncertainty. The same benefit shall not be counted repeatedly across programs without a clear allocation method.</w:t>
      </w:r>
    </w:p>
    <w:p>
      <w:pPr>
        <w:pStyle w:val="LegalBody"/>
      </w:pPr>
      <w:r>
        <w:rPr>
          <w:b/>
        </w:rPr>
        <w:t xml:space="preserve">(d) Continuity. </w:t>
      </w:r>
      <w:r>
        <w:t>Awards shall include ownership, operation, and closure plans, including safe disposal of equipment or materials. A recipient shall not leave a partially completed remediation project in a more hazardous condition than before work began.</w:t>
      </w:r>
    </w:p>
    <w:p>
      <w:pPr>
        <w:pStyle w:val="LegalBody"/>
      </w:pPr>
      <w:r>
        <w:rPr>
          <w:b/>
        </w:rPr>
        <w:t xml:space="preserve">(e) Legal limits. </w:t>
      </w:r>
      <w:r>
        <w:t>Reports may recommend changes in environmental law or standards, but recommendations shall not be enforced as law. Existing regulatory authorities, judicial review, public participation, and procedural protections remain controlling. Funding remains subject to title XXIX and does not guarantee remediation of every environmental condition identified through the research program.</w:t>
      </w:r>
    </w:p>
    <w:p>
      <w:bookmarkStart w:id="190" w:name="TITLE_XVIII"/>
      <w:pPr>
        <w:pStyle w:val="Heading1"/>
        <w:pageBreakBefore/>
      </w:pPr>
      <w:r>
        <w:t>TITLE XVIII. DIGITAL ENVIRONMENTS, PRIVACY, AND CONSUMER AUTONOMY</w:t>
      </w:r>
      <w:bookmarkEnd w:id="190"/>
    </w:p>
    <w:p>
      <w:bookmarkStart w:id="191" w:name="SEC_1801"/>
      <w:pPr>
        <w:pStyle w:val="Heading2"/>
      </w:pPr>
      <w:r>
        <w:t>SEC. 1801. COVERED DIGITAL SERVICES AND COMMISSION AUTHORITY.</w:t>
      </w:r>
      <w:bookmarkEnd w:id="191"/>
    </w:p>
    <w:p>
      <w:pPr>
        <w:pStyle w:val="LegalBody"/>
        <w:spacing w:after="60"/>
      </w:pPr>
      <w:r>
        <w:rPr>
          <w:b/>
        </w:rPr>
        <w:t xml:space="preserve">(a) Coverage. </w:t>
      </w:r>
      <w:r>
        <w:t>This title applies to a covered commercial entity that offers a digital product or service to individuals in the United States and processes personal data in connection with that offering. It does not apply to an individual's exclusively personal or household activity, a governmental activity governed by title XXV, or processing wholly outside United States jurisdiction without a directed offering to individuals within that jurisdiction.</w:t>
      </w:r>
    </w:p>
    <w:p>
      <w:pPr>
        <w:pStyle w:val="LegalBody"/>
        <w:spacing w:after="60"/>
      </w:pPr>
      <w:r>
        <w:rPr>
          <w:b/>
        </w:rPr>
        <w:t xml:space="preserve">(b) Large service. </w:t>
      </w:r>
      <w:r>
        <w:t>A large digital service is a covered service that had at least 1,000,000 monthly active United States users in each of 6 months during the preceding 12 months. Affiliated services shall be aggregated where common control is used to evade this threshold, but unrelated users of separate functions shall not be double counted.</w:t>
      </w:r>
    </w:p>
    <w:p>
      <w:pPr>
        <w:pStyle w:val="LegalBody"/>
        <w:spacing w:after="60"/>
      </w:pPr>
      <w:r>
        <w:rPr>
          <w:b/>
        </w:rPr>
        <w:t xml:space="preserve">(c) Authority. </w:t>
      </w:r>
      <w:r>
        <w:t>The Federal Trade Commission shall administer this title through the specific authority conferred here. For this purpose only, coverage is not defeated by nonprofit status or an otherwise applicable exemption from the Commission's jurisdiction under section 5 of the Federal Trade Commission Act. This provision does not enlarge the Commission's unrelated authority. The Commission shall coordinate with sectoral regulators and avoid duplicative demands.</w:t>
      </w:r>
    </w:p>
    <w:p>
      <w:pPr>
        <w:pStyle w:val="LegalBody"/>
        <w:spacing w:after="60"/>
      </w:pPr>
      <w:r>
        <w:rPr>
          <w:b/>
        </w:rPr>
        <w:t xml:space="preserve">(d) Effective date. </w:t>
      </w:r>
      <w:r>
        <w:t>Sections 1802 through 1809 take effect 730 days after enactment. The Commission shall publish plain-language implementation guidance and model notices before that date. A small entity remains subject to core prohibitions, but reporting and technical documentation shall be proportionate to its functions and risks.</w:t>
      </w:r>
    </w:p>
    <w:p>
      <w:pPr>
        <w:pStyle w:val="LegalBody"/>
        <w:spacing w:after="60"/>
      </w:pPr>
      <w:r>
        <w:rPr>
          <w:b/>
        </w:rPr>
        <w:t xml:space="preserve">(e) Expression. </w:t>
      </w:r>
      <w:r>
        <w:t>This title governs defined commercial conduct and data practices. It does not authorize the Commission to require a viewpoint, remove lawful content, establish an official truth arbiter, or dictate the ideological balance of a service.</w:t>
      </w:r>
    </w:p>
    <w:p>
      <w:bookmarkStart w:id="192" w:name="SEC_1802"/>
      <w:pPr>
        <w:pStyle w:val="Heading2"/>
      </w:pPr>
      <w:r>
        <w:t>SEC. 1802. PURPOSE LIMITATION, DATA MINIMIZATION, AND RETENTION.</w:t>
      </w:r>
      <w:bookmarkEnd w:id="192"/>
    </w:p>
    <w:p>
      <w:pPr>
        <w:pStyle w:val="LegalBody"/>
        <w:spacing w:after="60"/>
      </w:pPr>
      <w:r>
        <w:rPr>
          <w:b/>
        </w:rPr>
        <w:t xml:space="preserve">(a) Duty. </w:t>
      </w:r>
      <w:r>
        <w:t>A covered entity shall collect and process personal data only to the extent reasonably necessary and proportionate to provide a product or service requested by the individual, perform a specifically disclosed compatible function, protect security, comply with law, or carry out another use for which valid consent has been obtained. A broad statement that data may improve services is not a sufficiently specific purpose for unrelated sensitive processing.</w:t>
      </w:r>
    </w:p>
    <w:p>
      <w:pPr>
        <w:pStyle w:val="LegalBody"/>
        <w:spacing w:after="60"/>
      </w:pPr>
      <w:r>
        <w:rPr>
          <w:b/>
        </w:rPr>
        <w:t xml:space="preserve">(b) Sensitive data. </w:t>
      </w:r>
      <w:r>
        <w:t>Processing sensitive data requires separate, affirmative consent unless strictly necessary to provide the requested service, protect against a concrete security threat, deliver care under another lawful authorization, or comply with a specific legal obligation. The exception shall not be used to finance the service through unrelated advertising or sale.</w:t>
      </w:r>
    </w:p>
    <w:p>
      <w:pPr>
        <w:pStyle w:val="LegalBody"/>
        <w:spacing w:after="60"/>
      </w:pPr>
      <w:r>
        <w:rPr>
          <w:b/>
        </w:rPr>
        <w:t xml:space="preserve">(c) Retention. </w:t>
      </w:r>
      <w:r>
        <w:t>The entity shall adopt and disclose a retention schedule tied to each purpose. Data shall be deleted or rendered nonidentifiable when no longer necessary, subject to a documented legal hold, security need, or other lawful retention requirement. Backup deletion may follow a reasonable cycle not exceeding 180 days, with data isolated from ordinary use.</w:t>
      </w:r>
    </w:p>
    <w:p>
      <w:pPr>
        <w:pStyle w:val="LegalBody"/>
        <w:spacing w:after="60"/>
      </w:pPr>
      <w:r>
        <w:rPr>
          <w:b/>
        </w:rPr>
        <w:t xml:space="preserve">(d) Inferences. </w:t>
      </w:r>
      <w:r>
        <w:t>An inference about an individual is subject to the same purpose and sensitivity rules as directly collected information where it reveals or is used as sensitive data. Replacing an explicit health label with an equivalent behavioral category does not avoid coverage.</w:t>
      </w:r>
    </w:p>
    <w:p>
      <w:pPr>
        <w:pStyle w:val="LegalBody"/>
        <w:spacing w:after="60"/>
      </w:pPr>
      <w:r>
        <w:rPr>
          <w:b/>
        </w:rPr>
        <w:t xml:space="preserve">(e) Documentation. </w:t>
      </w:r>
      <w:r>
        <w:t>Entities shall maintain a proportionate record of purposes, categories, recipients, safeguards, and retention. The Commission may prescribe interoperable documentation formats but shall not require disclosure of personal records where a description or aggregate evidence is sufficient to establish compliance.</w:t>
      </w:r>
    </w:p>
    <w:p>
      <w:bookmarkStart w:id="193" w:name="SEC_1803"/>
      <w:pPr>
        <w:pStyle w:val="Heading2"/>
      </w:pPr>
      <w:r>
        <w:t>SEC. 1803. CONSENT, REFUSAL, AND DECEPTIVE INTERFACE PRACTICES.</w:t>
      </w:r>
      <w:bookmarkEnd w:id="193"/>
    </w:p>
    <w:p>
      <w:pPr>
        <w:pStyle w:val="LegalBody"/>
        <w:spacing w:after="60"/>
      </w:pPr>
      <w:r>
        <w:rPr>
          <w:b/>
        </w:rPr>
        <w:t xml:space="preserve">(a) Valid consent. </w:t>
      </w:r>
      <w:r>
        <w:t>Consent under this title shall be freely given, specific, informed, and expressed through an unambiguous affirmative action. Silence, preselected agreement, acceptance of unrelated terms, or an interface materially misrepresenting the consequence of a choice does not constitute consent.</w:t>
      </w:r>
    </w:p>
    <w:p>
      <w:pPr>
        <w:pStyle w:val="LegalBody"/>
        <w:spacing w:after="60"/>
      </w:pPr>
      <w:r>
        <w:rPr>
          <w:b/>
        </w:rPr>
        <w:t xml:space="preserve">(b) Prohibited practices. </w:t>
      </w:r>
      <w:r>
        <w:t>An entity shall not falsely describe an optional collection as necessary; visually or verbally misrepresent a refusal control as acceptance; conceal a material charge or data use until after a binding choice; repeatedly obstruct an expressed refusal through substantially identical prompts; or make withdrawal materially more burdensome than the action used to consent, except for proportionate security verification.</w:t>
      </w:r>
    </w:p>
    <w:p>
      <w:pPr>
        <w:pStyle w:val="LegalBody"/>
        <w:spacing w:after="60"/>
      </w:pPr>
      <w:r>
        <w:rPr>
          <w:b/>
        </w:rPr>
        <w:t xml:space="preserve">(c) Requested service. </w:t>
      </w:r>
      <w:r>
        <w:t>An entity may condition a function on data strictly necessary to deliver that function and may explain the limitation. It shall offer an available less intrusive version where it already provides one and shall not falsely claim that unrelated advertising, sale, or model training is technically necessary.</w:t>
      </w:r>
    </w:p>
    <w:p>
      <w:pPr>
        <w:pStyle w:val="LegalBody"/>
        <w:spacing w:after="60"/>
      </w:pPr>
      <w:r>
        <w:rPr>
          <w:b/>
        </w:rPr>
        <w:t xml:space="preserve">(d) Withdrawal. </w:t>
      </w:r>
      <w:r>
        <w:t>Withdrawal shall take effect prospectively without unreasonable delay, ordinarily within 15 days. It does not invalidate prior lawful processing or require deletion of records subject to a separate lawful retention duty. The entity shall explain material consequences without threats unrelated to the declined use.</w:t>
      </w:r>
    </w:p>
    <w:p>
      <w:pPr>
        <w:pStyle w:val="LegalBody"/>
        <w:spacing w:after="60"/>
      </w:pPr>
      <w:r>
        <w:rPr>
          <w:b/>
        </w:rPr>
        <w:t xml:space="preserve">(e) Limits. </w:t>
      </w:r>
      <w:r>
        <w:t>This section does not prohibit ordinary truthful persuasion, aesthetically prominent design, a legitimate security step, or explanation of a product's value. Enforcement shall identify the specific deceptive or obstructive conduct, its materiality, and the evidence, rather than rely on a subjective conclusion that an interface is insufficiently human-centered.</w:t>
      </w:r>
    </w:p>
    <w:p>
      <w:bookmarkStart w:id="194" w:name="SEC_1804"/>
      <w:pPr>
        <w:pStyle w:val="Heading2"/>
      </w:pPr>
      <w:r>
        <w:t>SEC. 1804. INDIVIDUAL ACCESS, CORRECTION, DELETION, AND PORTABILITY.</w:t>
      </w:r>
      <w:bookmarkEnd w:id="194"/>
    </w:p>
    <w:p>
      <w:pPr>
        <w:pStyle w:val="LegalBody"/>
        <w:spacing w:after="60"/>
      </w:pPr>
      <w:r>
        <w:rPr>
          <w:b/>
        </w:rPr>
        <w:t xml:space="preserve">(a) Rights. </w:t>
      </w:r>
      <w:r>
        <w:t>An individual may obtain confirmation of processing, an intelligible account of personal data and material inferences, correction of material factual errors, deletion of data no longer lawfully retained, and a portable copy of data provided by or directly observed from the individual in a commonly usable format.</w:t>
      </w:r>
    </w:p>
    <w:p>
      <w:pPr>
        <w:pStyle w:val="LegalBody"/>
        <w:spacing w:after="60"/>
      </w:pPr>
      <w:r>
        <w:rPr>
          <w:b/>
        </w:rPr>
        <w:t xml:space="preserve">(b) Procedure. </w:t>
      </w:r>
      <w:r>
        <w:t>Requests shall be available through an accessible method and resolved within 45 days. One extension of up to 45 additional days is permitted for a documented complex request, with timely explanation. Verification shall be proportionate and shall not require creation of a new account or submission of more sensitive information than necessary.</w:t>
      </w:r>
    </w:p>
    <w:p>
      <w:pPr>
        <w:pStyle w:val="LegalBody"/>
        <w:spacing w:after="60"/>
      </w:pPr>
      <w:r>
        <w:rPr>
          <w:b/>
        </w:rPr>
        <w:t xml:space="preserve">(c) Exceptions. </w:t>
      </w:r>
      <w:r>
        <w:t>An entity may withhold another person's protected information, legally privileged material, security details whose disclosure would create a substantial risk, or information subject to a specific legal prohibition. It shall provide the remainder and explain the category and basis of the withholding. Trade-secret status does not justify withholding all meaningful information about an adverse individual decision.</w:t>
      </w:r>
    </w:p>
    <w:p>
      <w:pPr>
        <w:pStyle w:val="LegalBody"/>
        <w:spacing w:after="60"/>
      </w:pPr>
      <w:r>
        <w:rPr>
          <w:b/>
        </w:rPr>
        <w:t xml:space="preserve">(d) Deletion and correction. </w:t>
      </w:r>
      <w:r>
        <w:t>The entity shall notify processors and recipients under its control of an applicable deletion or correction request, subject to lawful exceptions. A disputed opinion need not be rewritten as fact, but a material factual basis shall be correctable and the dispute may be recorded.</w:t>
      </w:r>
    </w:p>
    <w:p>
      <w:pPr>
        <w:pStyle w:val="LegalBody"/>
        <w:spacing w:after="60"/>
      </w:pPr>
      <w:r>
        <w:rPr>
          <w:b/>
        </w:rPr>
        <w:t xml:space="preserve">(e) Appeal. </w:t>
      </w:r>
      <w:r>
        <w:t>A denial shall identify a human appeal route, resolved within 30 days, and the right to complain to the Commission. No fee may be charged for a reasonable request made twice in a 12-month period. Manifestly abusive repetition may be limited with a documented explanation and access to review.</w:t>
      </w:r>
    </w:p>
    <w:p>
      <w:bookmarkStart w:id="195" w:name="SEC_1805"/>
      <w:pPr>
        <w:pStyle w:val="Heading2"/>
      </w:pPr>
      <w:r>
        <w:t>SEC. 1805. CHILDREN AND ADOLESCENTS IN DIGITAL SERVICES.</w:t>
      </w:r>
      <w:bookmarkEnd w:id="195"/>
    </w:p>
    <w:p>
      <w:pPr>
        <w:pStyle w:val="LegalBody"/>
        <w:spacing w:after="60"/>
      </w:pPr>
      <w:r>
        <w:rPr>
          <w:b/>
        </w:rPr>
        <w:t xml:space="preserve">(a) Knowledge. </w:t>
      </w:r>
      <w:r>
        <w:t>This section applies where an entity has actual knowledge that a user is younger than 18 years or deliberately disregards reliable age information already available in the ordinary operation of the service. It does not require universal identity verification, collection of government identification, or inference of age from sensitive data.</w:t>
      </w:r>
    </w:p>
    <w:p>
      <w:pPr>
        <w:pStyle w:val="LegalBody"/>
        <w:spacing w:after="60"/>
      </w:pPr>
      <w:r>
        <w:rPr>
          <w:b/>
        </w:rPr>
        <w:t xml:space="preserve">(b) Prohibitions. </w:t>
      </w:r>
      <w:r>
        <w:t>The entity shall not sell a known child's personal data, use such data for targeted advertising based on profiling across services, or profile the child using sensitive data for commercial persuasion. Contextual advertising not based on personal profiling remains permissible if otherwise lawful.</w:t>
      </w:r>
    </w:p>
    <w:p>
      <w:pPr>
        <w:pStyle w:val="LegalBody"/>
        <w:spacing w:after="60"/>
      </w:pPr>
      <w:r>
        <w:rPr>
          <w:b/>
        </w:rPr>
        <w:t xml:space="preserve">(c) Defaults. </w:t>
      </w:r>
      <w:r>
        <w:t>For a known child, public location sharing, public contact information, and optional collection unrelated to the requested function shall be off by default. The service shall provide age-appropriate explanations and accessible controls. A setting shall not be changed to a less protective state without an informed choice by the person legally authorized to make that choice.</w:t>
      </w:r>
    </w:p>
    <w:p>
      <w:pPr>
        <w:pStyle w:val="LegalBody"/>
        <w:spacing w:after="60"/>
      </w:pPr>
      <w:r>
        <w:rPr>
          <w:b/>
        </w:rPr>
        <w:t xml:space="preserve">(d) Existing child privacy law. </w:t>
      </w:r>
      <w:r>
        <w:t>Requirements applicable to children younger than 13 years under the Children's Online Privacy Protection Act and its regulations remain in effect. This section adds specified protections for known minors and does not treat all adolescents as already covered by that statute or alter parental-consent requirements by implication.</w:t>
      </w:r>
    </w:p>
    <w:p>
      <w:pPr>
        <w:pStyle w:val="LegalBody"/>
        <w:spacing w:after="60"/>
      </w:pPr>
      <w:r>
        <w:rPr>
          <w:b/>
        </w:rPr>
        <w:t xml:space="preserve">(e) Access and safety. </w:t>
      </w:r>
      <w:r>
        <w:t>An entity shall not deny a lawful general service solely because a person declines unnecessary age documentation where the service can provide a compliant experience without it. Rules shall account for confidential help-seeking and risks of exposing vulnerable children while preserving applicable parental rights and child-protection law.</w:t>
      </w:r>
    </w:p>
    <w:p>
      <w:bookmarkStart w:id="196" w:name="SEC_1806"/>
      <w:pPr>
        <w:pStyle w:val="Heading2"/>
      </w:pPr>
      <w:r>
        <w:t>SEC. 1806. USER CONTROL, NOTIFICATIONS, AND PERSONALIZED RECOMMENDATIONS.</w:t>
      </w:r>
      <w:bookmarkEnd w:id="196"/>
    </w:p>
    <w:p>
      <w:pPr>
        <w:pStyle w:val="LegalBody"/>
        <w:spacing w:after="60"/>
      </w:pPr>
      <w:r>
        <w:rPr>
          <w:b/>
        </w:rPr>
        <w:t xml:space="preserve">(a) Controls. </w:t>
      </w:r>
      <w:r>
        <w:t>A large digital service using personal profiling to recommend content shall provide accessible controls to pause optional notifications, manage autoplay where offered, and select an available recommendation mode that does not rely on the individual's sensitive data or cross-service profile. The service may continue to exercise lawful editorial judgment within that mode.</w:t>
      </w:r>
    </w:p>
    <w:p>
      <w:pPr>
        <w:pStyle w:val="LegalBody"/>
        <w:spacing w:after="60"/>
      </w:pPr>
      <w:r>
        <w:rPr>
          <w:b/>
        </w:rPr>
        <w:t xml:space="preserve">(b) Explanation. </w:t>
      </w:r>
      <w:r>
        <w:t>The service shall explain the principal categories of information influencing personalization and allow correction or removal of user-supplied preferences where feasible. It need not disclose source code publicly, but shall not falsely claim that a user's only options are unrestricted profiling or loss of all lawful access where a less intrusive mode is technically available.</w:t>
      </w:r>
    </w:p>
    <w:p>
      <w:pPr>
        <w:pStyle w:val="LegalBody"/>
        <w:spacing w:after="60"/>
      </w:pPr>
      <w:r>
        <w:rPr>
          <w:b/>
        </w:rPr>
        <w:t xml:space="preserve">(c) Reversibility. </w:t>
      </w:r>
      <w:r>
        <w:t>A user may change these choices without unreasonable friction. Controls shall persist until changed by the user or until a material technical change is explained. A service shall not repeatedly reset a protective choice to increase engagement.</w:t>
      </w:r>
    </w:p>
    <w:p>
      <w:pPr>
        <w:pStyle w:val="LegalBody"/>
        <w:spacing w:after="60"/>
      </w:pPr>
      <w:r>
        <w:rPr>
          <w:b/>
        </w:rPr>
        <w:t xml:space="preserve">(d) Limits. </w:t>
      </w:r>
      <w:r>
        <w:t>This section does not require chronological ordering, equal distribution of viewpoints, carriage of particular content, or suppression of a lawful recommendation. It does not establish a mandatory maximum duration of adult use.</w:t>
      </w:r>
    </w:p>
    <w:p>
      <w:pPr>
        <w:pStyle w:val="LegalBody"/>
        <w:spacing w:after="60"/>
      </w:pPr>
      <w:r>
        <w:rPr>
          <w:b/>
        </w:rPr>
        <w:t xml:space="preserve">(e) Evaluation. </w:t>
      </w:r>
      <w:r>
        <w:t>The Commission may study whether controls are understandable and usable, with privacy-preserving methods. Enforcement shall address the specified control or disclosure duty and not the popularity, ideology, or artistic character of content. An unavailable alternative need not be invented solely under subsection (a), but its availability shall not be concealed or intentionally removed to evade this section.</w:t>
      </w:r>
    </w:p>
    <w:p>
      <w:bookmarkStart w:id="197" w:name="SEC_1807"/>
      <w:pPr>
        <w:pStyle w:val="Heading2"/>
      </w:pPr>
      <w:r>
        <w:t>SEC. 1807. DIGITAL COMMERCE, CANCELLATION, AND HUMAN ASSISTANCE.</w:t>
      </w:r>
      <w:bookmarkEnd w:id="197"/>
    </w:p>
    <w:p>
      <w:pPr>
        <w:pStyle w:val="LegalBody"/>
        <w:spacing w:after="60"/>
      </w:pPr>
      <w:r>
        <w:rPr>
          <w:b/>
        </w:rPr>
        <w:t xml:space="preserve">(a) Material terms. </w:t>
      </w:r>
      <w:r>
        <w:t>Before an individual accepts a paid digital service, the entity shall clearly disclose recurring charges, duration, cancellation method, material limitations, and optional data uses. A free trial shall disclose when and how a charge begins.</w:t>
      </w:r>
    </w:p>
    <w:p>
      <w:pPr>
        <w:pStyle w:val="LegalBody"/>
        <w:spacing w:after="60"/>
      </w:pPr>
      <w:r>
        <w:rPr>
          <w:b/>
        </w:rPr>
        <w:t xml:space="preserve">(b) Cancellation. </w:t>
      </w:r>
      <w:r>
        <w:t>A consumer shall be able to cancel a recurring digital subscription through a method reasonably comparable in accessibility and effort to enrollment. The entity shall not require an unnecessary telephone call, repeated retention offers, or unrelated personal information where enrollment occurred through a straightforward digital process.</w:t>
      </w:r>
    </w:p>
    <w:p>
      <w:pPr>
        <w:pStyle w:val="LegalBody"/>
        <w:spacing w:after="60"/>
      </w:pPr>
      <w:r>
        <w:rPr>
          <w:b/>
        </w:rPr>
        <w:t xml:space="preserve">(c) Confirmation. </w:t>
      </w:r>
      <w:r>
        <w:t>Cancellation shall generate a durable confirmation identifying the effective date and any lawful remaining obligation. A service shall not continue charging because an internal system failed after the consumer completed the stated procedure.</w:t>
      </w:r>
    </w:p>
    <w:p>
      <w:pPr>
        <w:pStyle w:val="LegalBody"/>
        <w:spacing w:after="60"/>
      </w:pPr>
      <w:r>
        <w:rPr>
          <w:b/>
        </w:rPr>
        <w:t xml:space="preserve">(d) Human assistance. </w:t>
      </w:r>
      <w:r>
        <w:t>A covered entity making a consequential decision concerning access to an essential paid service shall provide a reasonable route to a competent human for a disputed billing, identity, accessibility, or service-termination problem. The route may use asynchronous review and need not require a physical office, but shall be capable of resolving the issue.</w:t>
      </w:r>
    </w:p>
    <w:p>
      <w:pPr>
        <w:pStyle w:val="LegalBody"/>
        <w:spacing w:after="60"/>
      </w:pPr>
      <w:r>
        <w:rPr>
          <w:b/>
        </w:rPr>
        <w:t xml:space="preserve">(e) Relationship to law. </w:t>
      </w:r>
      <w:r>
        <w:t>More protective cancellation, fee-disclosure, consumer, and accessibility requirements remain applicable. This section does not regulate the editorial content of a subscription or create a right to receive a service without payment of a lawful charge. Remedies concern the specified commercial conduct.</w:t>
      </w:r>
    </w:p>
    <w:p>
      <w:bookmarkStart w:id="198" w:name="SEC_1808"/>
      <w:pPr>
        <w:pStyle w:val="Heading2"/>
      </w:pPr>
      <w:r>
        <w:t>SEC. 1808. SECURITY, PROCESSORS, AND DATA TRANSFERS.</w:t>
      </w:r>
      <w:bookmarkEnd w:id="198"/>
    </w:p>
    <w:p>
      <w:pPr>
        <w:pStyle w:val="LegalBody"/>
        <w:spacing w:after="60"/>
      </w:pPr>
      <w:r>
        <w:rPr>
          <w:b/>
        </w:rPr>
        <w:t xml:space="preserve">(a) Security. </w:t>
      </w:r>
      <w:r>
        <w:t>A covered entity shall maintain reasonable administrative, technical, and physical safeguards proportionate to data sensitivity, scale, foreseeable threats, and resources. Safeguards shall include access management, secure development, vulnerability response, incident planning, and appropriate encryption.</w:t>
      </w:r>
    </w:p>
    <w:p>
      <w:pPr>
        <w:pStyle w:val="LegalBody"/>
        <w:spacing w:after="60"/>
      </w:pPr>
      <w:r>
        <w:rPr>
          <w:b/>
        </w:rPr>
        <w:t xml:space="preserve">(b) Processors. </w:t>
      </w:r>
      <w:r>
        <w:t>Processing on another entity's behalf shall be governed by a written agreement specifying purpose, confidentiality, security, assistance with individual rights, retention, subcontracting, and return or deletion. A processor shall not convert access into an independent unrelated commercial use.</w:t>
      </w:r>
    </w:p>
    <w:p>
      <w:pPr>
        <w:pStyle w:val="LegalBody"/>
        <w:spacing w:after="60"/>
      </w:pPr>
      <w:r>
        <w:rPr>
          <w:b/>
        </w:rPr>
        <w:t xml:space="preserve">(c) Transfers. </w:t>
      </w:r>
      <w:r>
        <w:t>The transferring entity shall verify a lawful basis and impose enforceable restrictions consistent with the disclosed purpose. A contractual label shall not excuse a transfer the entity knows will defeat an individual's rights.</w:t>
      </w:r>
    </w:p>
    <w:p>
      <w:pPr>
        <w:pStyle w:val="LegalBody"/>
        <w:spacing w:after="60"/>
      </w:pPr>
      <w:r>
        <w:rPr>
          <w:b/>
        </w:rPr>
        <w:t xml:space="preserve">(d) Incident notice. </w:t>
      </w:r>
      <w:r>
        <w:t>A breach creating a substantial risk of material harm shall be reported to the Commission without unreasonable delay and ordinarily within 72 hours after reasonable confirmation, with supplemental information as available. Affected individuals shall be notified without unreasonable delay, ordinarily within 30 days, unless a specific lawful delay applies. Existing shorter or additional notice duties remain controlling.</w:t>
      </w:r>
    </w:p>
    <w:p>
      <w:pPr>
        <w:pStyle w:val="LegalBody"/>
        <w:spacing w:after="60"/>
      </w:pPr>
      <w:r>
        <w:rPr>
          <w:b/>
        </w:rPr>
        <w:t xml:space="preserve">(e) Proportionality. </w:t>
      </w:r>
      <w:r>
        <w:t>Notice shall explain what occurred, affected categories, practical protective steps, and a contact. It shall not overstate certainty or omit a material limitation. This section does not establish strict liability for every security incident; enforcement shall consider the duty, reasonable safeguards, causation where relevant, and the procedures of title XXVIII.</w:t>
      </w:r>
    </w:p>
    <w:p>
      <w:bookmarkStart w:id="199" w:name="SEC_1809"/>
      <w:pPr>
        <w:pStyle w:val="Heading2"/>
      </w:pPr>
      <w:r>
        <w:t>SEC. 1809. INDEPENDENT RESEARCH ACCESS AND TRANSPARENCY.</w:t>
      </w:r>
      <w:bookmarkEnd w:id="199"/>
    </w:p>
    <w:p>
      <w:pPr>
        <w:pStyle w:val="LegalBody"/>
        <w:spacing w:after="60"/>
      </w:pPr>
      <w:r>
        <w:rPr>
          <w:b/>
        </w:rPr>
        <w:t xml:space="preserve">(a) Large-service reports. </w:t>
      </w:r>
      <w:r>
        <w:t>A large digital service shall publish an annual report describing material data practices, exercise of user rights, significant design changes affecting the duties of this title, and aggregate complaint and resolution information. Reports shall protect personal data and legitimate security interests.</w:t>
      </w:r>
    </w:p>
    <w:p>
      <w:pPr>
        <w:pStyle w:val="LegalBody"/>
        <w:spacing w:after="60"/>
      </w:pPr>
      <w:r>
        <w:rPr>
          <w:b/>
        </w:rPr>
        <w:t xml:space="preserve">(b) Research program. </w:t>
      </w:r>
      <w:r>
        <w:t>The Commission may establish a voluntary or subpoena-supported research process within its lawful investigative authority for studying compliance and material consumer effects. Access to nonpublic personal data shall require a specific legal basis, necessity, independent privacy review, and enforceable restrictions.</w:t>
      </w:r>
    </w:p>
    <w:p>
      <w:pPr>
        <w:pStyle w:val="LegalBody"/>
        <w:spacing w:after="60"/>
      </w:pPr>
      <w:r>
        <w:rPr>
          <w:b/>
        </w:rPr>
        <w:t xml:space="preserve">(c) Qualified researchers. </w:t>
      </w:r>
      <w:r>
        <w:t>Selection shall use competence, independence, security capacity, and a defined question. A researcher shall not be selected or excluded because of an anticipated favorable or unfavorable finding. Conflicts and funding sources shall be disclosed.</w:t>
      </w:r>
    </w:p>
    <w:p>
      <w:pPr>
        <w:pStyle w:val="LegalBody"/>
        <w:spacing w:after="60"/>
      </w:pPr>
      <w:r>
        <w:rPr>
          <w:b/>
        </w:rPr>
        <w:t xml:space="preserve">(d) Publication. </w:t>
      </w:r>
      <w:r>
        <w:t>Agreements shall permit publication of valid findings after a reasonable review limited to personal information, security vulnerabilities, and legitimately confidential material. A company shall not suppress an unfavorable result through a broad reputation clause.</w:t>
      </w:r>
    </w:p>
    <w:p>
      <w:pPr>
        <w:pStyle w:val="LegalBody"/>
        <w:spacing w:after="60"/>
      </w:pPr>
      <w:r>
        <w:rPr>
          <w:b/>
        </w:rPr>
        <w:t xml:space="preserve">(e) Limits. </w:t>
      </w:r>
      <w:r>
        <w:t>This section does not authorize unrestricted access to private messages, public disclosure of trade secrets, or a governmental content-monitoring system. Research findings shall distinguish correlation, causation, and uncertainty. Access procedures shall not create a new route for law-enforcement surveillance unrelated to the authorized research or investigation.</w:t>
      </w:r>
    </w:p>
    <w:p>
      <w:bookmarkStart w:id="200" w:name="SEC_1810"/>
      <w:pPr>
        <w:pStyle w:val="Heading2"/>
      </w:pPr>
      <w:r>
        <w:t>SEC. 1810. ENFORCEMENT, SMALL-ENTITY ASSISTANCE, AND STATE LAW.</w:t>
      </w:r>
      <w:bookmarkEnd w:id="200"/>
    </w:p>
    <w:p>
      <w:pPr>
        <w:pStyle w:val="LegalBody"/>
        <w:spacing w:after="60"/>
      </w:pPr>
      <w:r>
        <w:rPr>
          <w:b/>
        </w:rPr>
        <w:t xml:space="preserve">(a) Enforcement. </w:t>
      </w:r>
      <w:r>
        <w:t>The Commission shall investigate violations and seek remedies through title XXVIII. Monetary penalties shall be imposed only by a court under section 2805. The Commission shall identify the specific duty, conduct, jurisdictional basis, and evidentiary support.</w:t>
      </w:r>
    </w:p>
    <w:p>
      <w:pPr>
        <w:pStyle w:val="LegalBody"/>
        <w:spacing w:after="60"/>
      </w:pPr>
      <w:r>
        <w:rPr>
          <w:b/>
        </w:rPr>
        <w:t xml:space="preserve">(b) Assistance. </w:t>
      </w:r>
      <w:r>
        <w:t>The Commission shall publish templates, implementation examples, and proportionate compliance tools for small entities. A documented good-faith use of an approved template may be considered in penalty assessment but does not excuse a known material violation or harm.</w:t>
      </w:r>
    </w:p>
    <w:p>
      <w:pPr>
        <w:pStyle w:val="LegalBody"/>
        <w:spacing w:after="60"/>
      </w:pPr>
      <w:r>
        <w:rPr>
          <w:b/>
        </w:rPr>
        <w:t xml:space="preserve">(c) Cure. </w:t>
      </w:r>
      <w:r>
        <w:t>A first nonwillful documentation or interface defect ordinarily shall receive a reasonable opportunity to cure under section 2804. Repeated deception, unlawful sensitive-data sale, retaliation, or a serious ongoing risk need not receive a cure period before protective action.</w:t>
      </w:r>
    </w:p>
    <w:p>
      <w:pPr>
        <w:pStyle w:val="LegalBody"/>
        <w:spacing w:after="60"/>
      </w:pPr>
      <w:r>
        <w:rPr>
          <w:b/>
        </w:rPr>
        <w:t xml:space="preserve">(d) State law. </w:t>
      </w:r>
      <w:r>
        <w:t>This title establishes a Federal floor and does not preempt a more protective State privacy, consumer, civil-rights, or contract law, except to the extent simultaneous compliance is impossible. A difference in terminology or greater protection is not alone impossibility.</w:t>
      </w:r>
    </w:p>
    <w:p>
      <w:pPr>
        <w:pStyle w:val="LegalBody"/>
        <w:spacing w:after="60"/>
      </w:pPr>
      <w:r>
        <w:rPr>
          <w:b/>
        </w:rPr>
        <w:t xml:space="preserve">(e) Review. </w:t>
      </w:r>
      <w:r>
        <w:t>The Commission shall report compliance costs, accessibility, security, consumer remedies, and effects on smaller providers and beneficial services. It shall distinguish statutory duties from optional practices. No agency may create a general power to suppress lawful expression through a finding that content is insufficiently beneficial to human development.</w:t>
      </w:r>
    </w:p>
    <w:p>
      <w:bookmarkStart w:id="201" w:name="TITLE_XIX"/>
      <w:pPr>
        <w:pStyle w:val="Heading1"/>
        <w:pageBreakBefore/>
      </w:pPr>
      <w:r>
        <w:t>TITLE XIX. AUTOMATED DECISIONS AND ACCOUNTABLE HUMAN OVERSIGHT</w:t>
      </w:r>
      <w:bookmarkEnd w:id="201"/>
    </w:p>
    <w:p>
      <w:bookmarkStart w:id="202" w:name="SEC_1901"/>
      <w:pPr>
        <w:pStyle w:val="Heading2"/>
      </w:pPr>
      <w:r>
        <w:t>SEC. 1901. HIGH-IMPACT AUTOMATED DECISIONS.</w:t>
      </w:r>
      <w:bookmarkEnd w:id="202"/>
    </w:p>
    <w:p>
      <w:pPr>
        <w:pStyle w:val="LegalBody"/>
      </w:pPr>
      <w:r>
        <w:rPr>
          <w:b/>
        </w:rPr>
        <w:t xml:space="preserve">(a) Definition. </w:t>
      </w:r>
      <w:r>
        <w:t>A high-impact automated decision is a decision made or materially recommended by an automated decision system that determines an individual's employment selection or termination; access to housing, credit, insurance, essential healthcare, or a significant educational opportunity; eligibility for a public benefit; or a materially adverse term of such access. Routine arithmetic or clerical routing is excluded unless it materially determines the outcome.</w:t>
      </w:r>
    </w:p>
    <w:p>
      <w:pPr>
        <w:pStyle w:val="LegalBody"/>
      </w:pPr>
      <w:r>
        <w:rPr>
          <w:b/>
        </w:rPr>
        <w:t xml:space="preserve">(b) Coverage. </w:t>
      </w:r>
      <w:r>
        <w:t>This title applies to Federal agencies using such systems, recipients using them in covered programs, and covered commercial entities making such decisions in or affecting interstate or foreign commerce. State and tribal governmental activity outside a funded program is not made subject to this title by implication.</w:t>
      </w:r>
    </w:p>
    <w:p>
      <w:pPr>
        <w:pStyle w:val="LegalBody"/>
      </w:pPr>
      <w:r>
        <w:rPr>
          <w:b/>
        </w:rPr>
        <w:t xml:space="preserve">(c) Roles. </w:t>
      </w:r>
      <w:r>
        <w:t>A deployer controls the use of a system for a decision. A developer supplies a system with knowledge that it is intended for a high-impact use. A processor performs a limited function under another entity's instructions. Duties follow actual control and knowledge; a contractual label does not eliminate responsibility.</w:t>
      </w:r>
    </w:p>
    <w:p>
      <w:pPr>
        <w:pStyle w:val="LegalBody"/>
      </w:pPr>
      <w:r>
        <w:rPr>
          <w:b/>
        </w:rPr>
        <w:t xml:space="preserve">(d) Limits. </w:t>
      </w:r>
      <w:r>
        <w:t>The listed decision categories may not be expanded by agency guidance or general appeal to human flourishing. Congress may add categories by law. Systems used solely for research without affecting real decisions remain subject to applicable research and privacy rules.</w:t>
      </w:r>
    </w:p>
    <w:p>
      <w:pPr>
        <w:pStyle w:val="LegalBody"/>
      </w:pPr>
      <w:r>
        <w:rPr>
          <w:b/>
        </w:rPr>
        <w:t xml:space="preserve">(e) Commencement. </w:t>
      </w:r>
      <w:r>
        <w:t>Commercial and recipient duties take effect 730 days after enactment. Federal procurement planning duties take effect after 180 days, and Federal operational compliance shall be achieved within 730 days, subject only to the narrow continuity procedure in section 1909.</w:t>
      </w:r>
    </w:p>
    <w:p>
      <w:bookmarkStart w:id="203" w:name="SEC_1902"/>
      <w:pPr>
        <w:pStyle w:val="Heading2"/>
      </w:pPr>
      <w:r>
        <w:t>SEC. 1902. PREDEPLOYMENT IMPACT ASSESSMENT.</w:t>
      </w:r>
      <w:bookmarkEnd w:id="203"/>
    </w:p>
    <w:p>
      <w:pPr>
        <w:pStyle w:val="LegalBody"/>
      </w:pPr>
      <w:r>
        <w:rPr>
          <w:b/>
        </w:rPr>
        <w:t xml:space="preserve">(a) Assessment. </w:t>
      </w:r>
      <w:r>
        <w:t>Before first operational use, and before a material change affecting decision logic or risk, a deployer shall document the system's purpose, decision role, affected population, data sources, validation, expected benefits, foreseeable harms, accessibility, alternatives, human oversight, appeal, and monitoring.</w:t>
      </w:r>
    </w:p>
    <w:p>
      <w:pPr>
        <w:pStyle w:val="LegalBody"/>
      </w:pPr>
      <w:r>
        <w:rPr>
          <w:b/>
        </w:rPr>
        <w:t xml:space="preserve">(b) Evidence. </w:t>
      </w:r>
      <w:r>
        <w:t>Validation shall address the actual use context and relevant population. A general benchmark, vendor reputation, or performance in another sector is insufficient where material differences affect reliability. Limitations, missing groups, and uncertainty shall be disclosed.</w:t>
      </w:r>
    </w:p>
    <w:p>
      <w:pPr>
        <w:pStyle w:val="LegalBody"/>
      </w:pPr>
      <w:r>
        <w:rPr>
          <w:b/>
        </w:rPr>
        <w:t xml:space="preserve">(c) Alternatives. </w:t>
      </w:r>
      <w:r>
        <w:t>The assessment shall consider a nonautomated process, a less intrusive system, narrower use, additional human review, and the consequences of not deploying. It shall not assume that the status quo is error-free or that automation is inherently preferable.</w:t>
      </w:r>
    </w:p>
    <w:p>
      <w:pPr>
        <w:pStyle w:val="LegalBody"/>
      </w:pPr>
      <w:r>
        <w:rPr>
          <w:b/>
        </w:rPr>
        <w:t xml:space="preserve">(d) Participation. </w:t>
      </w:r>
      <w:r>
        <w:t>Where practicable, affected users and workers shall have an accessible opportunity to identify barriers and foreseeable harms. Consultation does not substitute for legal compliance or allow a majority to waive an individual's rights.</w:t>
      </w:r>
    </w:p>
    <w:p>
      <w:pPr>
        <w:pStyle w:val="LegalBody"/>
      </w:pPr>
      <w:r>
        <w:rPr>
          <w:b/>
        </w:rPr>
        <w:t xml:space="preserve">(e) Approval. </w:t>
      </w:r>
      <w:r>
        <w:t>A responsible senior official shall approve the assessment and mitigation plan. Approval shall identify unresolved risks and the basis for proceeding. The record shall be retained for at least 6 years after the system's last high-impact use, with sensitive data minimized. This section requires documented diligence, not advance agency licensing of every system.</w:t>
      </w:r>
    </w:p>
    <w:p>
      <w:bookmarkStart w:id="204" w:name="SEC_1903"/>
      <w:pPr>
        <w:pStyle w:val="Heading2"/>
      </w:pPr>
      <w:r>
        <w:t>SEC. 1903. DEVELOPER DOCUMENTATION AND DEPLOYER RESPONSIBILITY.</w:t>
      </w:r>
      <w:bookmarkEnd w:id="204"/>
    </w:p>
    <w:p>
      <w:pPr>
        <w:pStyle w:val="LegalBody"/>
      </w:pPr>
      <w:r>
        <w:rPr>
          <w:b/>
        </w:rPr>
        <w:t xml:space="preserve">(a) Developer duties. </w:t>
      </w:r>
      <w:r>
        <w:t>A developer knowingly supplying a high-impact system shall provide documentation reasonably necessary for lawful deployment, including intended uses, material limitations, data provenance categories, testing, known failure modes, update practices, and requirements for human oversight.</w:t>
      </w:r>
    </w:p>
    <w:p>
      <w:pPr>
        <w:pStyle w:val="LegalBody"/>
      </w:pPr>
      <w:r>
        <w:rPr>
          <w:b/>
        </w:rPr>
        <w:t xml:space="preserve">(b) Access for validation. </w:t>
      </w:r>
      <w:r>
        <w:t>Contracts shall permit appropriate testing, audit, incident investigation, and access to information necessary to explain an individual decision. Trade-secret protections may govern access but shall not make meaningful compliance impossible.</w:t>
      </w:r>
    </w:p>
    <w:p>
      <w:pPr>
        <w:pStyle w:val="LegalBody"/>
      </w:pPr>
      <w:r>
        <w:rPr>
          <w:b/>
        </w:rPr>
        <w:t xml:space="preserve">(c) Deployer duties. </w:t>
      </w:r>
      <w:r>
        <w:t>A deployer shall evaluate suitability, configure the system responsibly, train personnel, verify relevant input quality, and monitor actual outcomes. A vendor certification does not eliminate the deployer's responsibility for its own decision.</w:t>
      </w:r>
    </w:p>
    <w:p>
      <w:pPr>
        <w:pStyle w:val="LegalBody"/>
      </w:pPr>
      <w:r>
        <w:rPr>
          <w:b/>
        </w:rPr>
        <w:t xml:space="preserve">(d) Changes. </w:t>
      </w:r>
      <w:r>
        <w:t>A developer shall notify deployers of a material defect or update affecting safety, accuracy, discrimination risk, or compliance without unreasonable delay. A deployer shall assess whether continued use, modification, or suspension is appropriate.</w:t>
      </w:r>
    </w:p>
    <w:p>
      <w:pPr>
        <w:pStyle w:val="LegalBody"/>
      </w:pPr>
      <w:r>
        <w:rPr>
          <w:b/>
        </w:rPr>
        <w:t xml:space="preserve">(e) Allocation. </w:t>
      </w:r>
      <w:r>
        <w:t>Parties may allocate operational tasks and indemnity by contract, but may not eliminate duties owed under this Act to affected individuals or regulators. An entity is not liable solely because it supplied a general-purpose component without knowledge of the high-impact use, but deliberate avoidance of clear deployment information does not defeat knowledge. Enforcement shall identify each entity's actual conduct, control, and statutory duty.</w:t>
      </w:r>
    </w:p>
    <w:p>
      <w:bookmarkStart w:id="205" w:name="SEC_1904"/>
      <w:pPr>
        <w:pStyle w:val="Heading2"/>
      </w:pPr>
      <w:r>
        <w:t>SEC. 1904. NOTICE AND MEANINGFUL EXPLANATION.</w:t>
      </w:r>
      <w:bookmarkEnd w:id="205"/>
    </w:p>
    <w:p>
      <w:pPr>
        <w:pStyle w:val="LegalBody"/>
      </w:pPr>
      <w:r>
        <w:rPr>
          <w:b/>
        </w:rPr>
        <w:t xml:space="preserve">(a) Notice. </w:t>
      </w:r>
      <w:r>
        <w:t>An individual subject to a high-impact automated decision shall receive timely notice that automation materially contributed, the decision made, the responsible entity, the principal factual factors, and how to obtain human review. Notice shall be provided before an adverse decision takes effect where feasible, or promptly afterward where a lawful urgent action is necessary.</w:t>
      </w:r>
    </w:p>
    <w:p>
      <w:pPr>
        <w:pStyle w:val="LegalBody"/>
      </w:pPr>
      <w:r>
        <w:rPr>
          <w:b/>
        </w:rPr>
        <w:t xml:space="preserve">(b) Explanation. </w:t>
      </w:r>
      <w:r>
        <w:t>The explanation shall be intelligible and specific enough to identify material errors and contest the result. A generic statement that a model found risk or that a proprietary algorithm made the decision is insufficient.</w:t>
      </w:r>
    </w:p>
    <w:p>
      <w:pPr>
        <w:pStyle w:val="LegalBody"/>
      </w:pPr>
      <w:r>
        <w:rPr>
          <w:b/>
        </w:rPr>
        <w:t xml:space="preserve">(c) Protected information. </w:t>
      </w:r>
      <w:r>
        <w:t>An entity need not disclose another person's private information, privileged material, or security-sensitive details. It shall provide a meaningful alternative account and shall not use confidentiality to conceal every material reason.</w:t>
      </w:r>
    </w:p>
    <w:p>
      <w:pPr>
        <w:pStyle w:val="LegalBody"/>
      </w:pPr>
      <w:r>
        <w:rPr>
          <w:b/>
        </w:rPr>
        <w:t xml:space="preserve">(d) Existing notices. </w:t>
      </w:r>
      <w:r>
        <w:t>A notice satisfying another applicable law may be combined with this notice if all required information is included and timing remains compliant. This title does not reduce a more specific adverse-action notice duty.</w:t>
      </w:r>
    </w:p>
    <w:p>
      <w:pPr>
        <w:pStyle w:val="LegalBody"/>
      </w:pPr>
      <w:r>
        <w:rPr>
          <w:b/>
        </w:rPr>
        <w:t xml:space="preserve">(e) Access. </w:t>
      </w:r>
      <w:r>
        <w:t>Explanations shall be available in accessible language and formats. A person shall not be required to purchase expert interpretation or create a new commercial account to understand a decision affecting an essential opportunity. Failure to provide notice may be remedied independently of whether the substantive decision ultimately proves correct.</w:t>
      </w:r>
    </w:p>
    <w:p>
      <w:bookmarkStart w:id="206" w:name="SEC_1905"/>
      <w:pPr>
        <w:pStyle w:val="Heading2"/>
      </w:pPr>
      <w:r>
        <w:t>SEC. 1905. HUMAN REVIEW AND CONTESTABILITY.</w:t>
      </w:r>
      <w:bookmarkEnd w:id="206"/>
    </w:p>
    <w:p>
      <w:pPr>
        <w:pStyle w:val="LegalBody"/>
      </w:pPr>
      <w:r>
        <w:rPr>
          <w:b/>
        </w:rPr>
        <w:t xml:space="preserve">(a) Request. </w:t>
      </w:r>
      <w:r>
        <w:t>An individual may request meaningful human review of a materially adverse high-impact automated decision within 60 days after adequate notice, with reasonable extensions for access barriers or newly discovered error. The request may be oral, written, or electronic through an accessible channel.</w:t>
      </w:r>
    </w:p>
    <w:p>
      <w:pPr>
        <w:pStyle w:val="LegalBody"/>
      </w:pPr>
      <w:r>
        <w:rPr>
          <w:b/>
        </w:rPr>
        <w:t xml:space="preserve">(b) Reviewer. </w:t>
      </w:r>
      <w:r>
        <w:t>The reviewer shall have competence, relevant records, adequate time, independence from an automatic approval requirement, and authority to change the result. Re-running the same system or asking another system to confirm it is not human review.</w:t>
      </w:r>
    </w:p>
    <w:p>
      <w:pPr>
        <w:pStyle w:val="LegalBody"/>
      </w:pPr>
      <w:r>
        <w:rPr>
          <w:b/>
        </w:rPr>
        <w:t xml:space="preserve">(c) Process. </w:t>
      </w:r>
      <w:r>
        <w:t>The individual may submit relevant information and identify errors. The entity shall resolve the review within 30 days, or within 72 hours where delay creates a substantial risk of serious health or essential-service harm. A documented complex case may receive one 30-day extension where no urgent harm results.</w:t>
      </w:r>
    </w:p>
    <w:p>
      <w:pPr>
        <w:pStyle w:val="LegalBody"/>
      </w:pPr>
      <w:r>
        <w:rPr>
          <w:b/>
        </w:rPr>
        <w:t xml:space="preserve">(d) Interim protection. </w:t>
      </w:r>
      <w:r>
        <w:t>The entity shall consider temporary continuity where lawful and safe. This section does not require extension of credit, insurance, employment, or a benefit beyond lawful eligibility or available authority, but the reason for denying interim relief shall be explained.</w:t>
      </w:r>
    </w:p>
    <w:p>
      <w:pPr>
        <w:pStyle w:val="LegalBody"/>
      </w:pPr>
      <w:r>
        <w:rPr>
          <w:b/>
        </w:rPr>
        <w:t xml:space="preserve">(e) Result. </w:t>
      </w:r>
      <w:r>
        <w:t>The reviewer shall provide a reasoned determination, correction of material errors, and information about available external remedies. An internal process does not waive statutory rights. No fee shall be charged for a reasonable request, and retaliation for contesting a decision is prohibited.</w:t>
      </w:r>
    </w:p>
    <w:p>
      <w:bookmarkStart w:id="207" w:name="SEC_1906"/>
      <w:pPr>
        <w:pStyle w:val="Heading2"/>
      </w:pPr>
      <w:r>
        <w:t>SEC. 1906. VALIDITY, DISCRIMINATION TESTING, AND ACCESSIBILITY.</w:t>
      </w:r>
      <w:bookmarkEnd w:id="207"/>
    </w:p>
    <w:p>
      <w:pPr>
        <w:pStyle w:val="LegalBody"/>
      </w:pPr>
      <w:r>
        <w:rPr>
          <w:b/>
        </w:rPr>
        <w:t xml:space="preserve">(a) Testing. </w:t>
      </w:r>
      <w:r>
        <w:t>A deployer shall test a high-impact system for accuracy, reliability, relevant group performance, accessibility, and foreseeable discriminatory effects before use and periodically thereafter. The method shall correspond to the actual decision and applicable civil-rights requirements.</w:t>
      </w:r>
    </w:p>
    <w:p>
      <w:pPr>
        <w:pStyle w:val="LegalBody"/>
      </w:pPr>
      <w:r>
        <w:rPr>
          <w:b/>
        </w:rPr>
        <w:t xml:space="preserve">(b) Data. </w:t>
      </w:r>
      <w:r>
        <w:t>Testing shall use lawfully obtained data and shall consider privacy-preserving methods. This section does not require every individual to disclose protected characteristics or authorize collection otherwise prohibited. Where testing is limited by unavailable data, the limitation and alternative methods shall be documented.</w:t>
      </w:r>
    </w:p>
    <w:p>
      <w:pPr>
        <w:pStyle w:val="LegalBody"/>
      </w:pPr>
      <w:r>
        <w:rPr>
          <w:b/>
        </w:rPr>
        <w:t xml:space="preserve">(c) Interpretation. </w:t>
      </w:r>
      <w:r>
        <w:t>A statistical difference is evidence to be investigated, not automatically proof of unlawful discrimination or proof of fairness. The deployer shall examine causation, relevant comparators, legal standards, measurement error, and available less harmful alternatives.</w:t>
      </w:r>
    </w:p>
    <w:p>
      <w:pPr>
        <w:pStyle w:val="LegalBody"/>
      </w:pPr>
      <w:r>
        <w:rPr>
          <w:b/>
        </w:rPr>
        <w:t xml:space="preserve">(d) Accessibility. </w:t>
      </w:r>
      <w:r>
        <w:t>Systems shall not treat use of an accommodation, assistive technology, nonstandard communication, or lawful leave as adverse evidence without a valid and lawful basis. Testing shall include the interaction between the system and reasonable accommodations.</w:t>
      </w:r>
    </w:p>
    <w:p>
      <w:pPr>
        <w:pStyle w:val="LegalBody"/>
      </w:pPr>
      <w:r>
        <w:rPr>
          <w:b/>
        </w:rPr>
        <w:t xml:space="preserve">(e) Correction. </w:t>
      </w:r>
      <w:r>
        <w:t>Material defects shall be addressed through modification, additional review, restricted use, or suspension as appropriate. A deployer shall not continue an identified unlawful practice merely because overall accuracy is high. This section does not replace substantive nondiscrimination law or authorize an agency to impose quotas unrelated to a lawful remedy.</w:t>
      </w:r>
    </w:p>
    <w:p>
      <w:bookmarkStart w:id="208" w:name="SEC_1907"/>
      <w:pPr>
        <w:pStyle w:val="Heading2"/>
      </w:pPr>
      <w:r>
        <w:t>SEC. 1907. MONITORING, INCIDENTS, AND AUDIT TRAILS.</w:t>
      </w:r>
      <w:bookmarkEnd w:id="208"/>
    </w:p>
    <w:p>
      <w:pPr>
        <w:pStyle w:val="LegalBody"/>
      </w:pPr>
      <w:r>
        <w:rPr>
          <w:b/>
        </w:rPr>
        <w:t xml:space="preserve">(a) Monitoring. </w:t>
      </w:r>
      <w:r>
        <w:t>Deployers shall monitor actual performance, material error, drift, complaints, overrides, access failures, and adverse effects. Monitoring shall be proportionate to volume and consequence and shall not become a pretext for unrelated personal surveillance.</w:t>
      </w:r>
    </w:p>
    <w:p>
      <w:pPr>
        <w:pStyle w:val="LegalBody"/>
      </w:pPr>
      <w:r>
        <w:rPr>
          <w:b/>
        </w:rPr>
        <w:t xml:space="preserve">(b) Records. </w:t>
      </w:r>
      <w:r>
        <w:t>A record sufficient to reconstruct a contested decision shall identify the system version, relevant inputs, principal output, human action, and material subsequent correction. Retention shall satisfy section 1902 while minimizing unnecessary personal information and preserving lawful holds.</w:t>
      </w:r>
    </w:p>
    <w:p>
      <w:pPr>
        <w:pStyle w:val="LegalBody"/>
      </w:pPr>
      <w:r>
        <w:rPr>
          <w:b/>
        </w:rPr>
        <w:t xml:space="preserve">(c) Incidents. </w:t>
      </w:r>
      <w:r>
        <w:t>A serious incident involving death, substantial injury, unlawful deprivation of essential access, or a systemic material rights failure shall be reported to the responsible agency without unreasonable delay and ordinarily within 72 hours after reasonable confirmation. The report may be supplemented as facts develop.</w:t>
      </w:r>
    </w:p>
    <w:p>
      <w:pPr>
        <w:pStyle w:val="LegalBody"/>
      </w:pPr>
      <w:r>
        <w:rPr>
          <w:b/>
        </w:rPr>
        <w:t xml:space="preserve">(d) Independent audit. </w:t>
      </w:r>
      <w:r>
        <w:t>A deployer making at least 100,000 high-impact decisions annually, or operating a system presenting a documented substantial risk of serious harm, shall obtain an independent audit at least every 2 years. Smaller systems remain subject to internal testing and risk-based regulatory investigation.</w:t>
      </w:r>
    </w:p>
    <w:p>
      <w:pPr>
        <w:pStyle w:val="LegalBody"/>
      </w:pPr>
      <w:r>
        <w:rPr>
          <w:b/>
        </w:rPr>
        <w:t xml:space="preserve">(e) Publication. </w:t>
      </w:r>
      <w:r>
        <w:t>A public summary shall describe audit scope, material findings, limitations, and corrective action without exposing personal data or exploitable security details. An audit is not immunity, and payment arrangements shall not depend on a favorable conclusion.</w:t>
      </w:r>
    </w:p>
    <w:p>
      <w:bookmarkStart w:id="209" w:name="SEC_1908"/>
      <w:pPr>
        <w:pStyle w:val="Heading2"/>
      </w:pPr>
      <w:r>
        <w:t>SEC. 1908. FEDERAL PROCUREMENT AND PUBLIC-BENEFIT SYSTEMS.</w:t>
      </w:r>
      <w:bookmarkEnd w:id="209"/>
    </w:p>
    <w:p>
      <w:pPr>
        <w:pStyle w:val="LegalBody"/>
      </w:pPr>
      <w:r>
        <w:rPr>
          <w:b/>
        </w:rPr>
        <w:t xml:space="preserve">(a) Procurement. </w:t>
      </w:r>
      <w:r>
        <w:t>A Federal agency shall not acquire a high-impact system unless it can lawfully inspect, test, explain, correct, and discontinue the system. Contracts shall preserve access to records necessary for administrative and judicial review.</w:t>
      </w:r>
    </w:p>
    <w:p>
      <w:pPr>
        <w:pStyle w:val="LegalBody"/>
      </w:pPr>
      <w:r>
        <w:rPr>
          <w:b/>
        </w:rPr>
        <w:t xml:space="preserve">(b) Benefit decisions. </w:t>
      </w:r>
      <w:r>
        <w:t>Automation shall not be the sole basis for terminating an ongoing essential public benefit where law requires individualized notice or hearing. Existing procedural protections remain controlling, and an agency shall not reduce them by characterizing the system as decision support.</w:t>
      </w:r>
    </w:p>
    <w:p>
      <w:pPr>
        <w:pStyle w:val="LegalBody"/>
      </w:pPr>
      <w:r>
        <w:rPr>
          <w:b/>
        </w:rPr>
        <w:t xml:space="preserve">(c) Human channel. </w:t>
      </w:r>
      <w:r>
        <w:t>Agencies shall maintain an accessible route for persons unable to use the automated interface, including assistance correcting identity or data mismatches. A system failure shall not be attributed to the applicant without investigation.</w:t>
      </w:r>
    </w:p>
    <w:p>
      <w:pPr>
        <w:pStyle w:val="LegalBody"/>
      </w:pPr>
      <w:r>
        <w:rPr>
          <w:b/>
        </w:rPr>
        <w:t xml:space="preserve">(d) Pilot controls. </w:t>
      </w:r>
      <w:r>
        <w:t>New systems shall undergo limited testing before broad deployment, with comparison to the existing process and protections against loss of lawful benefits during validation. A pilot shall not subject unknowing applicants to experimental adverse decisions without legal authority and safeguards.</w:t>
      </w:r>
    </w:p>
    <w:p>
      <w:pPr>
        <w:pStyle w:val="LegalBody"/>
      </w:pPr>
      <w:r>
        <w:rPr>
          <w:b/>
        </w:rPr>
        <w:t xml:space="preserve">(e) Accountability. </w:t>
      </w:r>
      <w:r>
        <w:t>A named agency official shall be responsible for each system. Contractor operation does not transfer the government's duty to explain and defend its decisions. Agencies shall publish an inventory of high-impact systems with appropriate exclusions for genuinely protected information, accompanied by a meaningful public description of function and oversight.</w:t>
      </w:r>
    </w:p>
    <w:p>
      <w:bookmarkStart w:id="210" w:name="SEC_1909"/>
      <w:pPr>
        <w:pStyle w:val="Heading2"/>
      </w:pPr>
      <w:r>
        <w:t>SEC. 1909. LEGACY SYSTEMS, CONTINUITY, AND BENEFICIAL USE.</w:t>
      </w:r>
      <w:bookmarkEnd w:id="210"/>
    </w:p>
    <w:p>
      <w:pPr>
        <w:pStyle w:val="LegalBody"/>
      </w:pPr>
      <w:r>
        <w:rPr>
          <w:b/>
        </w:rPr>
        <w:t xml:space="preserve">(a) Inventory. </w:t>
      </w:r>
      <w:r>
        <w:t>Within 365 days after enactment, covered Federal agencies and recipients shall identify existing high-impact systems and prioritize review according to consequence, volume, known defects, and availability of alternatives. Commercial entities shall complete an equivalent internal inventory before the effective date.</w:t>
      </w:r>
    </w:p>
    <w:p>
      <w:pPr>
        <w:pStyle w:val="LegalBody"/>
      </w:pPr>
      <w:r>
        <w:rPr>
          <w:b/>
        </w:rPr>
        <w:t xml:space="preserve">(b) Continuity exception. </w:t>
      </w:r>
      <w:r>
        <w:t>A Federal agency may extend operational compliance for a particular legacy system for no more than 180 days beyond the general deadline only upon a public finding that immediate discontinuation would substantially interrupt an essential lawful service, no feasible compliant alternative is available, and interim safeguards protect affected individuals.</w:t>
      </w:r>
    </w:p>
    <w:p>
      <w:pPr>
        <w:pStyle w:val="LegalBody"/>
      </w:pPr>
      <w:r>
        <w:rPr>
          <w:b/>
        </w:rPr>
        <w:t xml:space="preserve">(c) Nonwaivable duties. </w:t>
      </w:r>
      <w:r>
        <w:t>The exception shall not waive nondiscrimination, meaningful notice, an available human review route, or correction of a known material error. It shall identify milestones, responsible officials, costs, and a final termination or compliance date. No renewal is authorized.</w:t>
      </w:r>
    </w:p>
    <w:p>
      <w:pPr>
        <w:pStyle w:val="LegalBody"/>
      </w:pPr>
      <w:r>
        <w:rPr>
          <w:b/>
        </w:rPr>
        <w:t xml:space="preserve">(d) Beneficial uses. </w:t>
      </w:r>
      <w:r>
        <w:t>Agencies shall consider accessibility, diagnostic support, reduced administrative burden, and correction of existing human error when evaluating a system. This Act does not presume that manual processing is always safer or more accurate.</w:t>
      </w:r>
    </w:p>
    <w:p>
      <w:pPr>
        <w:pStyle w:val="LegalBody"/>
      </w:pPr>
      <w:r>
        <w:rPr>
          <w:b/>
        </w:rPr>
        <w:t xml:space="preserve">(e) Review. </w:t>
      </w:r>
      <w:r>
        <w:t>A restriction shall be no broader than necessary under the applicable authority. The entity shall consider modification, narrower use, or additional oversight before abandoning a beneficial function, while not delaying action against a known unlawful or seriously harmful use.</w:t>
      </w:r>
    </w:p>
    <w:p>
      <w:bookmarkStart w:id="211" w:name="SEC_1910"/>
      <w:pPr>
        <w:pStyle w:val="Heading2"/>
      </w:pPr>
      <w:r>
        <w:t>SEC. 1910. ENFORCEMENT AND SECTORAL COORDINATION.</w:t>
      </w:r>
      <w:bookmarkEnd w:id="211"/>
    </w:p>
    <w:p>
      <w:pPr>
        <w:pStyle w:val="LegalBody"/>
      </w:pPr>
      <w:r>
        <w:rPr>
          <w:b/>
        </w:rPr>
        <w:t xml:space="preserve">(a) Lead responsibilities. </w:t>
      </w:r>
      <w:r>
        <w:t>The Federal Trade Commission shall administer commercial duties under this title except employment decisions, for which the Secretary of Labor shall lead, and regulated clinical device functions, for which the Food and Drug Administration shall lead within its authority. Federal agencies are responsible for their own systems, subject to oversight and judicial review. Housing, education, financial, and civil-rights regulators shall retain their independent authorities.</w:t>
      </w:r>
    </w:p>
    <w:p>
      <w:pPr>
        <w:pStyle w:val="LegalBody"/>
      </w:pPr>
      <w:r>
        <w:rPr>
          <w:b/>
        </w:rPr>
        <w:t xml:space="preserve">(b) Coordination. </w:t>
      </w:r>
      <w:r>
        <w:t>Agencies shall use common reporting where lawful and shall identify a lead for a particular investigation. Coordination shall not prevent a regulator from addressing a distinct violation within its jurisdiction.</w:t>
      </w:r>
    </w:p>
    <w:p>
      <w:pPr>
        <w:pStyle w:val="LegalBody"/>
      </w:pPr>
      <w:r>
        <w:rPr>
          <w:b/>
        </w:rPr>
        <w:t xml:space="preserve">(c) Remedies. </w:t>
      </w:r>
      <w:r>
        <w:t>Public and private remedies are governed by title XXVIII. A private claim shall concern an enumerated duty and an actual injury, not the mere existence of automation. Monetary penalties require a court proceeding.</w:t>
      </w:r>
    </w:p>
    <w:p>
      <w:pPr>
        <w:pStyle w:val="LegalBody"/>
      </w:pPr>
      <w:r>
        <w:rPr>
          <w:b/>
        </w:rPr>
        <w:t xml:space="preserve">(d) Rules. </w:t>
      </w:r>
      <w:r>
        <w:t>Rules may specify documentation, testing, notice, and audit methods within the defined categories. They may not create new high-impact sectors or require disclosure of all source code to the public without specific lawful necessity.</w:t>
      </w:r>
    </w:p>
    <w:p>
      <w:pPr>
        <w:pStyle w:val="LegalBody"/>
      </w:pPr>
      <w:r>
        <w:rPr>
          <w:b/>
        </w:rPr>
        <w:t xml:space="preserve">(e) Evaluation. </w:t>
      </w:r>
      <w:r>
        <w:t>The Director shall report compliance costs, appeal effectiveness, accessibility, error correction, beneficial deployment, and unresolved risks. A favorable audit or agency template is not a guarantee of lawful performance, and this title does not displace more protective substantive rights under another law.</w:t>
      </w:r>
    </w:p>
    <w:p>
      <w:bookmarkStart w:id="212" w:name="TITLE_XX"/>
      <w:pPr>
        <w:pStyle w:val="Heading1"/>
        <w:pageBreakBefore/>
      </w:pPr>
      <w:r>
        <w:t>TITLE XX. NEUROTECHNOLOGY, MENTAL PRIVACY, AND COGNITIVE LIBERTY</w:t>
      </w:r>
      <w:bookmarkEnd w:id="212"/>
    </w:p>
    <w:p>
      <w:bookmarkStart w:id="213" w:name="SEC_2001"/>
      <w:pPr>
        <w:pStyle w:val="Heading2"/>
      </w:pPr>
      <w:r>
        <w:t>SEC. 2001. DEFINITIONS AND SCOPE OF NEUROTECHNOLOGY PROTECTIONS.</w:t>
      </w:r>
      <w:bookmarkEnd w:id="213"/>
    </w:p>
    <w:p>
      <w:pPr>
        <w:pStyle w:val="LegalBody"/>
      </w:pPr>
      <w:r>
        <w:rPr>
          <w:b/>
        </w:rPr>
        <w:t xml:space="preserve">(a) Neurotechnology. </w:t>
      </w:r>
      <w:r>
        <w:t>The term “neurotechnology” means a device or system designed to record, analyze, stimulate, or otherwise directly interact with activity of the brain or nervous system for the purpose of inferring or modifying mental, sensory, motor, or physiological function. Ordinary text processing is not neurotechnology solely because it analyzes language.</w:t>
      </w:r>
    </w:p>
    <w:p>
      <w:pPr>
        <w:pStyle w:val="LegalBody"/>
      </w:pPr>
      <w:r>
        <w:rPr>
          <w:b/>
        </w:rPr>
        <w:t xml:space="preserve">(b) Neural data. </w:t>
      </w:r>
      <w:r>
        <w:t>Neural data means information obtained through such direct recording, together with an inference derived substantially from that information that concerns an identifiable person's mental or neurological state. A label describing neural data as wellness telemetry does not remove protection.</w:t>
      </w:r>
    </w:p>
    <w:p>
      <w:pPr>
        <w:pStyle w:val="LegalBody"/>
      </w:pPr>
      <w:r>
        <w:rPr>
          <w:b/>
        </w:rPr>
        <w:t xml:space="preserve">(c) Coverage. </w:t>
      </w:r>
      <w:r>
        <w:t>This title applies to Federal agencies; recipients in covered programs; and covered commercial entities developing, offering, operating, or processing data from neurotechnology in or affecting interstate or foreign commerce. It applies to therapeutic, assistive, research, and nonmedical uses according to their actual functions.</w:t>
      </w:r>
    </w:p>
    <w:p>
      <w:pPr>
        <w:pStyle w:val="LegalBody"/>
      </w:pPr>
      <w:r>
        <w:rPr>
          <w:b/>
        </w:rPr>
        <w:t xml:space="preserve">(d) Administration. </w:t>
      </w:r>
      <w:r>
        <w:t>The Secretary shall lead clinical and research safeguards, the Food and Drug Administration shall retain medical-product responsibilities, and the Federal Trade Commission shall administer nonmedical commercial and data duties. Agencies shall coordinate under section 2802.</w:t>
      </w:r>
    </w:p>
    <w:p>
      <w:pPr>
        <w:pStyle w:val="LegalBody"/>
      </w:pPr>
      <w:r>
        <w:rPr>
          <w:b/>
        </w:rPr>
        <w:t xml:space="preserve">(e) Commencement. </w:t>
      </w:r>
      <w:r>
        <w:t>Core prohibitions in sections 2002 and 2004 take effect 180 days after enactment. Technical documentation, portability, and lifecycle duties take effect 730 days after enactment. Existing medical-product, research, privacy, and constitutional protections remain independently applicable throughout the transition.</w:t>
      </w:r>
    </w:p>
    <w:p>
      <w:bookmarkStart w:id="214" w:name="SEC_2002"/>
      <w:pPr>
        <w:pStyle w:val="Heading2"/>
      </w:pPr>
      <w:r>
        <w:t>SEC. 2002. MENTAL PRIVACY AND NONCONSENSUAL INTERFERENCE.</w:t>
      </w:r>
      <w:bookmarkEnd w:id="214"/>
    </w:p>
    <w:p>
      <w:pPr>
        <w:pStyle w:val="LegalBody"/>
      </w:pPr>
      <w:r>
        <w:rPr>
          <w:b/>
        </w:rPr>
        <w:t xml:space="preserve">(a) Prohibition. </w:t>
      </w:r>
      <w:r>
        <w:t>A covered entity shall not knowingly obtain neural data from an individual or intentionally alter the individual's neural activity through neurotechnology without valid consent or a specifically applicable lawful clinical authorization. Consent to enter a facility, use an unrelated service, or accept employment is not consent to neural collection or intervention.</w:t>
      </w:r>
    </w:p>
    <w:p>
      <w:pPr>
        <w:pStyle w:val="LegalBody"/>
      </w:pPr>
      <w:r>
        <w:rPr>
          <w:b/>
        </w:rPr>
        <w:t xml:space="preserve">(b) Public authority. </w:t>
      </w:r>
      <w:r>
        <w:t>A Federal agency shall not use neurotechnology to compel disclosure of a person's thoughts, memories, beliefs, or emotional responses for interrogation, ideological screening, or punishment. This prohibition does not prevent voluntary clinical care or research meeting this title's safeguards, and no general investigative power shall be construed to override it.</w:t>
      </w:r>
    </w:p>
    <w:p>
      <w:pPr>
        <w:pStyle w:val="LegalBody"/>
      </w:pPr>
      <w:r>
        <w:rPr>
          <w:b/>
        </w:rPr>
        <w:t xml:space="preserve">(c) Clinical exception. </w:t>
      </w:r>
      <w:r>
        <w:t>Emergency intervention permitted under applicable clinical law may proceed where necessary to prevent imminent serious physical harm and the individual cannot consent. The exception shall be limited to the emergency and shall not authorize nontherapeutic experimentation, compelled truth testing, or unrelated data use.</w:t>
      </w:r>
    </w:p>
    <w:p>
      <w:pPr>
        <w:pStyle w:val="LegalBody"/>
      </w:pPr>
      <w:r>
        <w:rPr>
          <w:b/>
        </w:rPr>
        <w:t xml:space="preserve">(d) Incidental recording. </w:t>
      </w:r>
      <w:r>
        <w:t>A provider shall minimize incidental acquisition concerning persons who are not participants. Unavoidable incidental data shall be promptly deleted unless a specific lawful safety or legal-retention need requires otherwise, and shall not be used commercially.</w:t>
      </w:r>
    </w:p>
    <w:p>
      <w:pPr>
        <w:pStyle w:val="LegalBody"/>
      </w:pPr>
      <w:r>
        <w:rPr>
          <w:b/>
        </w:rPr>
        <w:t xml:space="preserve">(e) Construction. </w:t>
      </w:r>
      <w:r>
        <w:t>This section protects against specified conduct; it does not establish a scientific claim that current technology can reliably read every thought. An entity shall not market uncertain neural inference as direct access to a person's true beliefs, intent, credibility, or character without adequate substantiation.</w:t>
      </w:r>
    </w:p>
    <w:p>
      <w:bookmarkStart w:id="215" w:name="SEC_2003"/>
      <w:pPr>
        <w:pStyle w:val="Heading2"/>
      </w:pPr>
      <w:r>
        <w:t>SEC. 2003. NEUROTECHNOLOGY CONSENT AND DECISION SUPPORT.</w:t>
      </w:r>
      <w:bookmarkEnd w:id="215"/>
    </w:p>
    <w:p>
      <w:pPr>
        <w:pStyle w:val="LegalBody"/>
      </w:pPr>
      <w:r>
        <w:rPr>
          <w:b/>
        </w:rPr>
        <w:t xml:space="preserve">(a) Information. </w:t>
      </w:r>
      <w:r>
        <w:t>Before use, the responsible entity shall explain the intended function, invasiveness, material known and uncertain risks, expected benefits, alternatives, data collected, possible inferences, remote access, reversibility, maintenance, costs, and the consequences of stopping use.</w:t>
      </w:r>
    </w:p>
    <w:p>
      <w:pPr>
        <w:pStyle w:val="LegalBody"/>
      </w:pPr>
      <w:r>
        <w:rPr>
          <w:b/>
        </w:rPr>
        <w:t xml:space="preserve">(b) Separate choices. </w:t>
      </w:r>
      <w:r>
        <w:t>Consent to a therapeutic or assistive function shall be separate from consent to research, commercial training, advertising, disclosure to an employer, or other secondary use. A person shall not be required to accept unrelated data exploitation to obtain an otherwise available essential clinical function.</w:t>
      </w:r>
    </w:p>
    <w:p>
      <w:pPr>
        <w:pStyle w:val="LegalBody"/>
      </w:pPr>
      <w:r>
        <w:rPr>
          <w:b/>
        </w:rPr>
        <w:t xml:space="preserve">(c) Ongoing consent. </w:t>
      </w:r>
      <w:r>
        <w:t>Material changes in stimulation, inference capability, data sharing, or intended purpose require renewed consent unless a specific lawful clinical exception applies. A software update shall not silently expand the mental information collected or the intervention delivered.</w:t>
      </w:r>
    </w:p>
    <w:p>
      <w:pPr>
        <w:pStyle w:val="LegalBody"/>
      </w:pPr>
      <w:r>
        <w:rPr>
          <w:b/>
        </w:rPr>
        <w:t xml:space="preserve">(d) Support and capacity. </w:t>
      </w:r>
      <w:r>
        <w:t>The entity shall provide accessible explanation and decision support under section 203. A person's communication impairment shall not be presumed to prevent consent where an assistive method can establish a choice. Legal representation shall be verified and limited to its lawful scope.</w:t>
      </w:r>
    </w:p>
    <w:p>
      <w:pPr>
        <w:pStyle w:val="LegalBody"/>
      </w:pPr>
      <w:r>
        <w:rPr>
          <w:b/>
        </w:rPr>
        <w:t xml:space="preserve">(e) Withdrawal. </w:t>
      </w:r>
      <w:r>
        <w:t>The entity shall explain which effects are reversible, which data cannot practically be withdrawn from completed lawful research, and what clinical supervision is needed to discontinue use safely. Withdrawal shall not trigger punitive fees unrelated to disclosed reasonable costs or loss of unrelated services. A consent record shall identify the device and software version material to the decision.</w:t>
      </w:r>
    </w:p>
    <w:p>
      <w:bookmarkStart w:id="216" w:name="SEC_2004"/>
      <w:pPr>
        <w:pStyle w:val="Heading2"/>
      </w:pPr>
      <w:r>
        <w:t>SEC. 2004. EMPLOYMENT, EDUCATION, INSURANCE, AND COERCION.</w:t>
      </w:r>
      <w:bookmarkEnd w:id="216"/>
    </w:p>
    <w:p>
      <w:pPr>
        <w:pStyle w:val="LegalBody"/>
      </w:pPr>
      <w:r>
        <w:rPr>
          <w:b/>
        </w:rPr>
        <w:t xml:space="preserve">(a) Prohibited conditions. </w:t>
      </w:r>
      <w:r>
        <w:t>A covered entity shall not require neural monitoring or nontherapeutic neural intervention as a condition of ordinary employment, school participation, insurance access, housing, or receipt of an essential covered service. A nominally voluntary program is prohibited where refusal produces a materially adverse consequence unrelated to a lawful necessity.</w:t>
      </w:r>
    </w:p>
    <w:p>
      <w:pPr>
        <w:pStyle w:val="LegalBody"/>
      </w:pPr>
      <w:r>
        <w:rPr>
          <w:b/>
        </w:rPr>
        <w:t xml:space="preserve">(b) Narrow functional use. </w:t>
      </w:r>
      <w:r>
        <w:t>A person may voluntarily use neurotechnology as an accommodation, assistive communication tool, clinical treatment, or a specifically justified safety measure permitted by law. The entity shall use the least intrusive feasible method and shall not repurpose the resulting data for productivity, personality, or ideological scoring.</w:t>
      </w:r>
    </w:p>
    <w:p>
      <w:pPr>
        <w:pStyle w:val="LegalBody"/>
      </w:pPr>
      <w:r>
        <w:rPr>
          <w:b/>
        </w:rPr>
        <w:t xml:space="preserve">(c) Safety claims. </w:t>
      </w:r>
      <w:r>
        <w:t>An employer claiming that neural monitoring is necessary for a safety-critical task shall establish a concrete risk, independent validation, lack of a reasonably effective less intrusive alternative, and compliance with applicable disability and labor law. Ordinary performance optimization does not satisfy this standard.</w:t>
      </w:r>
    </w:p>
    <w:p>
      <w:pPr>
        <w:pStyle w:val="LegalBody"/>
      </w:pPr>
      <w:r>
        <w:rPr>
          <w:b/>
        </w:rPr>
        <w:t xml:space="preserve">(d) Insurers and employers. </w:t>
      </w:r>
      <w:r>
        <w:t>Neural data obtained through a clinical service or funded research shall not be sold or disclosed for underwriting or employment decisions without a separate specific legal authorization. General consent language is insufficient.</w:t>
      </w:r>
    </w:p>
    <w:p>
      <w:pPr>
        <w:pStyle w:val="LegalBody"/>
      </w:pPr>
      <w:r>
        <w:rPr>
          <w:b/>
        </w:rPr>
        <w:t xml:space="preserve">(e) Children. </w:t>
      </w:r>
      <w:r>
        <w:t>Nontherapeutic neural monitoring shall not be required to measure classroom attention, emotion, or obedience. Lawful assistive and clinical uses remain available with appropriate permission, developmental safeguards, and the child's participation to the extent feasible.</w:t>
      </w:r>
    </w:p>
    <w:p>
      <w:bookmarkStart w:id="217" w:name="SEC_2005"/>
      <w:pPr>
        <w:pStyle w:val="Heading2"/>
      </w:pPr>
      <w:r>
        <w:t>SEC. 2005. NEURAL DATA GOVERNANCE AND SECURITY.</w:t>
      </w:r>
      <w:bookmarkEnd w:id="217"/>
    </w:p>
    <w:p>
      <w:pPr>
        <w:pStyle w:val="LegalBody"/>
      </w:pPr>
      <w:r>
        <w:rPr>
          <w:b/>
        </w:rPr>
        <w:t xml:space="preserve">(a) Sensitive status. </w:t>
      </w:r>
      <w:r>
        <w:t>Neural data are sensitive data under titles XVIII and XXV. Processing shall be limited to a specified lawful purpose, with separate consent for an incompatible secondary use and strict access controls.</w:t>
      </w:r>
    </w:p>
    <w:p>
      <w:pPr>
        <w:pStyle w:val="LegalBody"/>
      </w:pPr>
      <w:r>
        <w:rPr>
          <w:b/>
        </w:rPr>
        <w:t xml:space="preserve">(b) Prohibited commercialization. </w:t>
      </w:r>
      <w:r>
        <w:t>A covered entity shall not sell identifiable neural data or use them for targeted advertising, political profiling, or manipulation of purchasing behavior. A transfer necessary to deliver a requested clinical or assistive service under a controlled processing agreement is not a sale merely because the service provider is paid.</w:t>
      </w:r>
    </w:p>
    <w:p>
      <w:pPr>
        <w:pStyle w:val="LegalBody"/>
      </w:pPr>
      <w:r>
        <w:rPr>
          <w:b/>
        </w:rPr>
        <w:t xml:space="preserve">(c) Inference. </w:t>
      </w:r>
      <w:r>
        <w:t>Derived information shall retain protection where it reveals a neural or mental characteristic or is reasonably linkable to the person. Removing the raw signal does not make an identifiable inference unprotected.</w:t>
      </w:r>
    </w:p>
    <w:p>
      <w:pPr>
        <w:pStyle w:val="LegalBody"/>
      </w:pPr>
      <w:r>
        <w:rPr>
          <w:b/>
        </w:rPr>
        <w:t xml:space="preserve">(d) Security. </w:t>
      </w:r>
      <w:r>
        <w:t>Entities shall employ safeguards proportionate to the intimacy and potential consequences of the data, including encryption, separation of identifiers, access logging, secure update mechanisms, and incident response. Remote control functions shall be authenticated and limited to authorized purposes.</w:t>
      </w:r>
    </w:p>
    <w:p>
      <w:pPr>
        <w:pStyle w:val="LegalBody"/>
      </w:pPr>
      <w:r>
        <w:rPr>
          <w:b/>
        </w:rPr>
        <w:t xml:space="preserve">(e) Rights. </w:t>
      </w:r>
      <w:r>
        <w:t>Individuals shall receive meaningful access to data and inferences, correction of material factual errors, and deletion where no lawful retention basis remains. An entity shall explain uncertainty and shall not present an algorithmic interpretation as an unquestionable fact about the person's inner life. Research access shall comply with independent review and enforceable restrictions on reidentification and secondary use.</w:t>
      </w:r>
    </w:p>
    <w:p>
      <w:bookmarkStart w:id="218" w:name="SEC_2006"/>
      <w:pPr>
        <w:pStyle w:val="Heading2"/>
      </w:pPr>
      <w:r>
        <w:t>SEC. 2006. CLINICAL, ASSISTIVE, AND RESEARCH APPLICATIONS.</w:t>
      </w:r>
      <w:bookmarkEnd w:id="218"/>
    </w:p>
    <w:p>
      <w:pPr>
        <w:pStyle w:val="LegalBody"/>
      </w:pPr>
      <w:r>
        <w:rPr>
          <w:b/>
        </w:rPr>
        <w:t xml:space="preserve">(a) Beneficial access. </w:t>
      </w:r>
      <w:r>
        <w:t>Agencies may support lawful research and access concerning communication, movement, sensory function, neurological conditions, rehabilitation, and other clinically justified uses. This title shall not be construed to disfavor a beneficial intervention solely because it directly interacts with the nervous system.</w:t>
      </w:r>
    </w:p>
    <w:p>
      <w:pPr>
        <w:pStyle w:val="LegalBody"/>
      </w:pPr>
      <w:r>
        <w:rPr>
          <w:b/>
        </w:rPr>
        <w:t xml:space="preserve">(b) Product law. </w:t>
      </w:r>
      <w:r>
        <w:t>Approval, clearance, investigational authorization, manufacturing, reporting, and professional use remain subject to applicable Food and Drug Administration and clinical requirements. Compliance with a consent provision does not legalize an otherwise unauthorized product or study.</w:t>
      </w:r>
    </w:p>
    <w:p>
      <w:pPr>
        <w:pStyle w:val="LegalBody"/>
      </w:pPr>
      <w:r>
        <w:rPr>
          <w:b/>
        </w:rPr>
        <w:t xml:space="preserve">(c) Evaluation. </w:t>
      </w:r>
      <w:r>
        <w:t>Research shall assess clinically meaningful outcomes, usability, durability, adverse effects, maintenance, and participant-defined function. A laboratory signal or demonstration of control shall not be represented as established real-world benefit without supporting evidence.</w:t>
      </w:r>
    </w:p>
    <w:p>
      <w:pPr>
        <w:pStyle w:val="LegalBody"/>
      </w:pPr>
      <w:r>
        <w:rPr>
          <w:b/>
        </w:rPr>
        <w:t xml:space="preserve">(d) Access. </w:t>
      </w:r>
      <w:r>
        <w:t>Studies shall consider disability, language, cognitive and communication variation, and practical access to follow-up. Participants shall receive information about whether continued access is available after a trial and who bears its cost.</w:t>
      </w:r>
    </w:p>
    <w:p>
      <w:pPr>
        <w:pStyle w:val="LegalBody"/>
      </w:pPr>
      <w:r>
        <w:rPr>
          <w:b/>
        </w:rPr>
        <w:t xml:space="preserve">(e) Independence. </w:t>
      </w:r>
      <w:r>
        <w:t>Consent and safety review shall be independent of commercial pressure to demonstrate success. A participant shall not be required to make public endorsements or surrender unrelated creative or communication content generated through an assistive device. Negative results and device failures shall be reported according to applicable research and product rules.</w:t>
      </w:r>
    </w:p>
    <w:p>
      <w:bookmarkStart w:id="219" w:name="SEC_2007"/>
      <w:pPr>
        <w:pStyle w:val="Heading2"/>
      </w:pPr>
      <w:r>
        <w:t>SEC. 2007. IMPLANTS, LONG-TERM SUPPORT, AND SPONSOR EXIT.</w:t>
      </w:r>
      <w:bookmarkEnd w:id="219"/>
    </w:p>
    <w:p>
      <w:pPr>
        <w:pStyle w:val="LegalBody"/>
      </w:pPr>
      <w:r>
        <w:rPr>
          <w:b/>
        </w:rPr>
        <w:t xml:space="preserve">(a) Lifecycle plan. </w:t>
      </w:r>
      <w:r>
        <w:t>Before providing an implanted or essential long-term neurotechnology in a covered program or commercial offering, the responsible entity shall establish a plan for maintenance, software support, cybersecurity, repair, consumables, clinical follow-up, and safe discontinuation or removal where appropriate.</w:t>
      </w:r>
    </w:p>
    <w:p>
      <w:pPr>
        <w:pStyle w:val="LegalBody"/>
      </w:pPr>
      <w:r>
        <w:rPr>
          <w:b/>
        </w:rPr>
        <w:t xml:space="preserve">(b) Financial responsibility. </w:t>
      </w:r>
      <w:r>
        <w:t>The plan shall identify responsible parties, expected costs, insurance or reserve arrangements where feasible, and limitations if the sponsor becomes insolvent. A promise of lifelong support shall not be made without a credible financial basis.</w:t>
      </w:r>
    </w:p>
    <w:p>
      <w:pPr>
        <w:pStyle w:val="LegalBody"/>
      </w:pPr>
      <w:r>
        <w:rPr>
          <w:b/>
        </w:rPr>
        <w:t xml:space="preserve">(c) Exit arrangements. </w:t>
      </w:r>
      <w:r>
        <w:t>Contracts shall provide appropriate access to technical documentation, interoperable data, and transition assistance for qualified successor providers, subject to safety and intellectual-property safeguards. A vendor shall not withhold essential support solely to force acceptance of unrelated data uses.</w:t>
      </w:r>
    </w:p>
    <w:p>
      <w:pPr>
        <w:pStyle w:val="LegalBody"/>
      </w:pPr>
      <w:r>
        <w:rPr>
          <w:b/>
        </w:rPr>
        <w:t xml:space="preserve">(d) Patient notice. </w:t>
      </w:r>
      <w:r>
        <w:t>Material changes in support, ownership, or product availability shall be communicated sufficiently early for clinical planning. Where immediate notice would be impossible, the entity shall act without unreasonable delay and coordinate urgent continuity.</w:t>
      </w:r>
    </w:p>
    <w:p>
      <w:pPr>
        <w:pStyle w:val="LegalBody"/>
      </w:pPr>
      <w:r>
        <w:rPr>
          <w:b/>
        </w:rPr>
        <w:t xml:space="preserve">(e) Evaluation. </w:t>
      </w:r>
      <w:r>
        <w:t>Regulators may require lifecycle information within their express product and consumer authorities. This section does not guarantee that every device can remain operational indefinitely or require unsafe continued use. It requires truthful commitments, advance planning, and proportionate measures to prevent avoidable abandonment of a person dependent on the technology.</w:t>
      </w:r>
    </w:p>
    <w:p>
      <w:bookmarkStart w:id="220" w:name="SEC_2008"/>
      <w:pPr>
        <w:pStyle w:val="Heading2"/>
      </w:pPr>
      <w:r>
        <w:t>SEC. 2008. NEURAL INFERENCE CLAIMS AND INDEPENDENT VALIDATION.</w:t>
      </w:r>
      <w:bookmarkEnd w:id="220"/>
    </w:p>
    <w:p>
      <w:pPr>
        <w:pStyle w:val="LegalBody"/>
      </w:pPr>
      <w:r>
        <w:rPr>
          <w:b/>
        </w:rPr>
        <w:t xml:space="preserve">(a) Claims. </w:t>
      </w:r>
      <w:r>
        <w:t>A commercial claim that neurotechnology detects deception, intent, attention, emotion, competence, diagnosis, or future behavior shall be substantiated for the specific use and population. The entity shall disclose material uncertainty, error rates, and conditions under which the inference is unreliable.</w:t>
      </w:r>
    </w:p>
    <w:p>
      <w:pPr>
        <w:pStyle w:val="LegalBody"/>
      </w:pPr>
      <w:r>
        <w:rPr>
          <w:b/>
        </w:rPr>
        <w:t xml:space="preserve">(b) High-impact use. </w:t>
      </w:r>
      <w:r>
        <w:t>Such an inference shall not be the sole basis for a high-impact decision under title XIX. A decisionmaker shall consider the legal permissibility, scientific validity, alternative evidence, and the individual's ability to contest the inference.</w:t>
      </w:r>
    </w:p>
    <w:p>
      <w:pPr>
        <w:pStyle w:val="LegalBody"/>
      </w:pPr>
      <w:r>
        <w:rPr>
          <w:b/>
        </w:rPr>
        <w:t xml:space="preserve">(c) Testing. </w:t>
      </w:r>
      <w:r>
        <w:t>Independent validation shall address realistic conditions, population variation, confounding signals, repeatability, and the consequences of false positive and false negative results. A selected laboratory demonstration is insufficient to substantiate a broad real-world claim.</w:t>
      </w:r>
    </w:p>
    <w:p>
      <w:pPr>
        <w:pStyle w:val="LegalBody"/>
      </w:pPr>
      <w:r>
        <w:rPr>
          <w:b/>
        </w:rPr>
        <w:t xml:space="preserve">(d) Expression. </w:t>
      </w:r>
      <w:r>
        <w:t>This section governs commercial representations and consequential use, not publication of a scientific hypothesis clearly identified as such. Researchers may investigate uncertain capabilities with appropriate ethics and safety review.</w:t>
      </w:r>
    </w:p>
    <w:p>
      <w:pPr>
        <w:pStyle w:val="LegalBody"/>
      </w:pPr>
      <w:r>
        <w:rPr>
          <w:b/>
        </w:rPr>
        <w:t xml:space="preserve">(e) Correction. </w:t>
      </w:r>
      <w:r>
        <w:t>A material invalidity finding shall be communicated to affected deployers and, where an individual decision was materially affected, to the individual through an appropriate process. An entity shall not continue using a discredited inference merely because it is described as proprietary or because a contract labels the result advisory.</w:t>
      </w:r>
    </w:p>
    <w:p>
      <w:bookmarkStart w:id="221" w:name="SEC_2009"/>
      <w:pPr>
        <w:pStyle w:val="Heading2"/>
      </w:pPr>
      <w:r>
        <w:t>SEC. 2009. INTERNATIONAL NEUROTECHNOLOGY COOPERATION.</w:t>
      </w:r>
      <w:bookmarkEnd w:id="221"/>
    </w:p>
    <w:p>
      <w:pPr>
        <w:pStyle w:val="LegalBody"/>
      </w:pPr>
      <w:r>
        <w:rPr>
          <w:b/>
        </w:rPr>
        <w:t xml:space="preserve">(a) Cooperation. </w:t>
      </w:r>
      <w:r>
        <w:t>The Secretary and Secretary of State may support research exchange, standards discussion, capacity building, and protection of participants across jurisdictions. Cooperation shall address therapeutic access, mental privacy, consent, discrimination, security, and long-term support.</w:t>
      </w:r>
    </w:p>
    <w:p>
      <w:pPr>
        <w:pStyle w:val="LegalBody"/>
      </w:pPr>
      <w:r>
        <w:rPr>
          <w:b/>
        </w:rPr>
        <w:t xml:space="preserve">(b) Legal status. </w:t>
      </w:r>
      <w:r>
        <w:t>International recommendations and ethical declarations may inform analysis but do not become binding United States law without the domestic legal action required for their implementation. A participating agency shall identify whether a referenced instrument is a treaty, recommendation, voluntary standard, or research publication.</w:t>
      </w:r>
    </w:p>
    <w:p>
      <w:pPr>
        <w:pStyle w:val="LegalBody"/>
      </w:pPr>
      <w:r>
        <w:rPr>
          <w:b/>
        </w:rPr>
        <w:t xml:space="preserve">(c) Reciprocity. </w:t>
      </w:r>
      <w:r>
        <w:t>Agreements shall provide fair scientific contribution, access to findings, appropriate local oversight, and protection against export of high-risk experimentation to populations with fewer resources. Host-country approval does not excuse a condition attached to Federal funding.</w:t>
      </w:r>
    </w:p>
    <w:p>
      <w:pPr>
        <w:pStyle w:val="LegalBody"/>
      </w:pPr>
      <w:r>
        <w:rPr>
          <w:b/>
        </w:rPr>
        <w:t xml:space="preserve">(d) Transfer. </w:t>
      </w:r>
      <w:r>
        <w:t>Data and devices shall be transferred only under applicable privacy, export, product, and security law. An agreement shall identify responsibility for follow-up and injury support rather than leave participants dependent on a foreign sponsor without recourse.</w:t>
      </w:r>
    </w:p>
    <w:p>
      <w:pPr>
        <w:pStyle w:val="LegalBody"/>
      </w:pPr>
      <w:r>
        <w:rPr>
          <w:b/>
        </w:rPr>
        <w:t xml:space="preserve">(e) Reporting. </w:t>
      </w:r>
      <w:r>
        <w:t>Public reports shall describe actual commitments, legal limits, and unresolved issues. Cooperation shall not be represented as authority to regulate every foreign deployment or as evidence that a global ethical consensus resolves all scientific and legal questions.</w:t>
      </w:r>
    </w:p>
    <w:p>
      <w:bookmarkStart w:id="222" w:name="SEC_2010"/>
      <w:pPr>
        <w:pStyle w:val="Heading2"/>
      </w:pPr>
      <w:r>
        <w:t>SEC. 2010. NEUROTECHNOLOGY ENFORCEMENT AND REVIEW.</w:t>
      </w:r>
      <w:bookmarkEnd w:id="222"/>
    </w:p>
    <w:p>
      <w:pPr>
        <w:pStyle w:val="LegalBody"/>
      </w:pPr>
      <w:r>
        <w:rPr>
          <w:b/>
        </w:rPr>
        <w:t xml:space="preserve">(a) Enforcement. </w:t>
      </w:r>
      <w:r>
        <w:t>The responsible agencies may investigate the duties assigned by section 2001 and seek remedies under title XXVIII. A violation shall be based on defined conduct, not a generalized conclusion that an innovation changes what it means to be human.</w:t>
      </w:r>
    </w:p>
    <w:p>
      <w:pPr>
        <w:pStyle w:val="LegalBody"/>
      </w:pPr>
      <w:r>
        <w:rPr>
          <w:b/>
        </w:rPr>
        <w:t xml:space="preserve">(b) Private rights. </w:t>
      </w:r>
      <w:r>
        <w:t>Individual claims are limited to the enumerated protections in section 2807, including specified nonconsensual collection, coercion, and prohibited commercialization where actual injury and other legal requirements are met.</w:t>
      </w:r>
    </w:p>
    <w:p>
      <w:pPr>
        <w:pStyle w:val="LegalBody"/>
      </w:pPr>
      <w:r>
        <w:rPr>
          <w:b/>
        </w:rPr>
        <w:t xml:space="preserve">(c) Evidence. </w:t>
      </w:r>
      <w:r>
        <w:t>Agencies shall maintain technical expertise and consult independent scientific advice while retaining governmental decision authority. A scientific advisory body shall not issue binding restrictions.</w:t>
      </w:r>
    </w:p>
    <w:p>
      <w:pPr>
        <w:pStyle w:val="LegalBody"/>
      </w:pPr>
      <w:r>
        <w:rPr>
          <w:b/>
        </w:rPr>
        <w:t xml:space="preserve">(d) Review. </w:t>
      </w:r>
      <w:r>
        <w:t>Within 4 years after enactment and every 3 years thereafter, the Secretary shall report developments, evidence, access, harms, compliance costs, and gaps requiring legislation. Reports shall distinguish capabilities demonstrated in research from those reliably available in practice.</w:t>
      </w:r>
    </w:p>
    <w:p>
      <w:pPr>
        <w:pStyle w:val="LegalBody"/>
      </w:pPr>
      <w:r>
        <w:rPr>
          <w:b/>
        </w:rPr>
        <w:t xml:space="preserve">(e) Preservation. </w:t>
      </w:r>
      <w:r>
        <w:t>This title does not diminish disability rights, lawful medical choice, research protections, constitutional privileges, or product-safety requirements. It does not create an unrestricted power to inspect a person's mind, and no exception shall be inferred solely from a claim of national competitiveness, administrative convenience, or aggregate economic benefit.</w:t>
      </w:r>
    </w:p>
    <w:p>
      <w:bookmarkStart w:id="223" w:name="TITLE_XXI"/>
      <w:pPr>
        <w:pStyle w:val="Heading1"/>
        <w:pageBreakBefore/>
      </w:pPr>
      <w:r>
        <w:t>TITLE XXI. GENETICS, BIOTECHNOLOGY, AND RESPONSIBLE HUMAN ENHANCEMENT</w:t>
      </w:r>
      <w:bookmarkEnd w:id="223"/>
    </w:p>
    <w:p>
      <w:bookmarkStart w:id="224" w:name="SEC_2101"/>
      <w:pPr>
        <w:pStyle w:val="Heading2"/>
      </w:pPr>
      <w:r>
        <w:t>SEC. 2101. SCOPE AND DEFINITIONS.</w:t>
      </w:r>
      <w:bookmarkEnd w:id="224"/>
    </w:p>
    <w:p>
      <w:pPr>
        <w:pStyle w:val="LegalBody"/>
      </w:pPr>
      <w:r>
        <w:rPr>
          <w:b/>
        </w:rPr>
        <w:t xml:space="preserve">(a) Scope. </w:t>
      </w:r>
      <w:r>
        <w:t>This title governs specified activities of Federal agencies, recipients in covered programs, and covered commercial entities offering genetic, reproductive, or human-enhancement interventions in or affecting interstate or foreign commerce. It does not regulate every private decision concerning health or reproduction.</w:t>
      </w:r>
    </w:p>
    <w:p>
      <w:pPr>
        <w:pStyle w:val="LegalBody"/>
      </w:pPr>
      <w:r>
        <w:rPr>
          <w:b/>
        </w:rPr>
        <w:t xml:space="preserve">(b) Somatic intervention. </w:t>
      </w:r>
      <w:r>
        <w:t>A somatic intervention is an intervention directed to an individual's nonreproductive cells or tissues and not intended to create a heritable genetic change in descendants. An incidental possibility of reproductive exposure shall be assessed under applicable safety law and does not alone convert every treatment into intentional heritable editing.</w:t>
      </w:r>
    </w:p>
    <w:p>
      <w:pPr>
        <w:pStyle w:val="LegalBody"/>
      </w:pPr>
      <w:r>
        <w:rPr>
          <w:b/>
        </w:rPr>
        <w:t xml:space="preserve">(c) Heritable clinical editing. </w:t>
      </w:r>
      <w:r>
        <w:t>Heritable clinical editing means intentional alteration of genetic material in a gamete or embryo followed by clinical use intended to establish a pregnancy in which the alteration may be transmitted to a descendant. Research without implantation remains subject to applicable research and funding law and is not authorized by this definition.</w:t>
      </w:r>
    </w:p>
    <w:p>
      <w:pPr>
        <w:pStyle w:val="LegalBody"/>
      </w:pPr>
      <w:r>
        <w:rPr>
          <w:b/>
        </w:rPr>
        <w:t xml:space="preserve">(d) Enhancement. </w:t>
      </w:r>
      <w:r>
        <w:t>Enhancement means an intervention principally intended to expand a chosen capability beyond treatment, rehabilitation, or prevention of a clinically identified condition. The distinction is functional and shall not be used to deny the dignity of a person who uses an enhancement.</w:t>
      </w:r>
    </w:p>
    <w:p>
      <w:pPr>
        <w:pStyle w:val="LegalBody"/>
      </w:pPr>
      <w:r>
        <w:rPr>
          <w:b/>
        </w:rPr>
        <w:t xml:space="preserve">(e) Administration. </w:t>
      </w:r>
      <w:r>
        <w:t>The Secretary and Food and Drug Administration shall administer clinical and product duties; the Federal Trade Commission shall administer nonclinical commercial claims and data practices. Core prohibitions take effect after 180 days; technical documentation duties take effect after 730 days unless an earlier existing requirement applies.</w:t>
      </w:r>
    </w:p>
    <w:p>
      <w:bookmarkStart w:id="225" w:name="SEC_2102"/>
      <w:pPr>
        <w:pStyle w:val="Heading2"/>
      </w:pPr>
      <w:r>
        <w:t>SEC. 2102. GENETIC PRIVACY, COUNSELING, AND INFORMED CHOICE.</w:t>
      </w:r>
      <w:bookmarkEnd w:id="225"/>
    </w:p>
    <w:p>
      <w:pPr>
        <w:pStyle w:val="LegalBody"/>
      </w:pPr>
      <w:r>
        <w:rPr>
          <w:b/>
        </w:rPr>
        <w:t xml:space="preserve">(a) Consent. </w:t>
      </w:r>
      <w:r>
        <w:t>A covered genetic service shall explain the purpose, scope, limits, possible incidental findings, family implications, data uses, retention, and availability of qualified counseling. Consent to one test does not authorize unrelated research or commercial use of a biological sample.</w:t>
      </w:r>
    </w:p>
    <w:p>
      <w:pPr>
        <w:pStyle w:val="LegalBody"/>
      </w:pPr>
      <w:r>
        <w:rPr>
          <w:b/>
        </w:rPr>
        <w:t xml:space="preserve">(b) Interpretation. </w:t>
      </w:r>
      <w:r>
        <w:t>Results shall distinguish analytical validity, clinical validity, clinical utility, and uncertainty. A probabilistic association shall not be presented as a diagnosis, destiny, or comprehensive measure of ancestry, identity, personality, or ability.</w:t>
      </w:r>
    </w:p>
    <w:p>
      <w:pPr>
        <w:pStyle w:val="LegalBody"/>
      </w:pPr>
      <w:r>
        <w:rPr>
          <w:b/>
        </w:rPr>
        <w:t xml:space="preserve">(c) Family information. </w:t>
      </w:r>
      <w:r>
        <w:t>A result concerning one person may have implications for relatives, but the service shall not disclose identifiable information to relatives, employers, insurers, or commercial recipients without a lawful basis. Counseling may assist voluntary communication without compelling it through a general program rule.</w:t>
      </w:r>
    </w:p>
    <w:p>
      <w:pPr>
        <w:pStyle w:val="LegalBody"/>
      </w:pPr>
      <w:r>
        <w:rPr>
          <w:b/>
        </w:rPr>
        <w:t xml:space="preserve">(d) Rights. </w:t>
      </w:r>
      <w:r>
        <w:t>Individuals shall have access to their results and applicable data rights, subject to lawful limitations. A right not to receive optional categories of findings shall be respected where consistent with the chosen service and applicable clinical duties.</w:t>
      </w:r>
    </w:p>
    <w:p>
      <w:pPr>
        <w:pStyle w:val="LegalBody"/>
      </w:pPr>
      <w:r>
        <w:rPr>
          <w:b/>
        </w:rPr>
        <w:t xml:space="preserve">(e) Samples. </w:t>
      </w:r>
      <w:r>
        <w:t>Collection, storage, future analysis, transfer, and destruction of biological material shall be specified. A provider shall not retain a sample indefinitely for unspecified future commercial uses. Existing genetic-nondiscrimination, health-privacy, research, and product law remain applicable and are not presumed to cover every possible use simply because they address some genetic information.</w:t>
      </w:r>
    </w:p>
    <w:p>
      <w:bookmarkStart w:id="226" w:name="SEC_2103"/>
      <w:pPr>
        <w:pStyle w:val="Heading2"/>
      </w:pPr>
      <w:r>
        <w:t>SEC. 2103. SOMATIC THERAPIES AND BENEFICIAL BIOMEDICAL INNOVATION.</w:t>
      </w:r>
      <w:bookmarkEnd w:id="226"/>
    </w:p>
    <w:p>
      <w:pPr>
        <w:pStyle w:val="LegalBody"/>
      </w:pPr>
      <w:r>
        <w:rPr>
          <w:b/>
        </w:rPr>
        <w:t xml:space="preserve">(a) Support. </w:t>
      </w:r>
      <w:r>
        <w:t>Agencies may finance lawful research, clinical infrastructure, workforce, and access coordination for somatic therapies and other biomedical interventions capable of improving health or function. Support shall be based on scientific merit, safety, feasibility, and the authorized program purpose.</w:t>
      </w:r>
    </w:p>
    <w:p>
      <w:pPr>
        <w:pStyle w:val="LegalBody"/>
      </w:pPr>
      <w:r>
        <w:rPr>
          <w:b/>
        </w:rPr>
        <w:t xml:space="preserve">(b) Product requirements. </w:t>
      </w:r>
      <w:r>
        <w:t>Investigational use, manufacturing, clinical trials, approval, labeling, and postmarket duties remain subject to applicable Food and Drug Administration law. This Act does not create an exemption from approval requirements or deem an intervention safe because participation is voluntary.</w:t>
      </w:r>
    </w:p>
    <w:p>
      <w:pPr>
        <w:pStyle w:val="LegalBody"/>
      </w:pPr>
      <w:r>
        <w:rPr>
          <w:b/>
        </w:rPr>
        <w:t xml:space="preserve">(c) Evidence. </w:t>
      </w:r>
      <w:r>
        <w:t>Studies shall examine meaningful benefit, adverse effects, durability, delivery, uncertainty, and follow-up. A biomarker change shall not automatically be treated as improved function or survival.</w:t>
      </w:r>
    </w:p>
    <w:p>
      <w:pPr>
        <w:pStyle w:val="LegalBody"/>
      </w:pPr>
      <w:r>
        <w:rPr>
          <w:b/>
        </w:rPr>
        <w:t xml:space="preserve">(d) Access. </w:t>
      </w:r>
      <w:r>
        <w:t>Research plans shall address representation, practical participation barriers, long-term monitoring, and what happens when a sponsor exits. Access conditions attached to public financing shall be explicit and consistent with intellectual-property and procurement law.</w:t>
      </w:r>
    </w:p>
    <w:p>
      <w:pPr>
        <w:pStyle w:val="LegalBody"/>
      </w:pPr>
      <w:r>
        <w:rPr>
          <w:b/>
        </w:rPr>
        <w:t xml:space="preserve">(e) Communication. </w:t>
      </w:r>
      <w:r>
        <w:t>Public materials shall distinguish approved uses, investigational uses, and unsubstantiated commercial claims. A program shall not exaggerate benefits to secure enrollment or discourage a lawful therapy solely because it modifies human biology. The rights of an individual receiving treatment shall not depend on whether the intervention is described as natural, artificial, restorative, or enhancing.</w:t>
      </w:r>
    </w:p>
    <w:p>
      <w:bookmarkStart w:id="227" w:name="SEC_2104"/>
      <w:pPr>
        <w:pStyle w:val="Heading2"/>
      </w:pPr>
      <w:r>
        <w:t>SEC. 2104. TIME-LIMITED RESTRICTION ON CLINICAL HERITABLE EDITING.</w:t>
      </w:r>
      <w:bookmarkEnd w:id="227"/>
    </w:p>
    <w:p>
      <w:pPr>
        <w:pStyle w:val="LegalBody"/>
      </w:pPr>
      <w:r>
        <w:rPr>
          <w:b/>
        </w:rPr>
        <w:t xml:space="preserve">(a) Prohibition. </w:t>
      </w:r>
      <w:r>
        <w:t>During the 5-year period beginning on the effective date of this section, a covered commercial entity or recipient shall not knowingly perform, offer to perform, or arrange clinical transfer of an intentionally edited human gamete or embryo for the purpose of establishing a pregnancy in which the genetic alteration may be inherited. The jurisdictional requirements of section 2101 shall be established.</w:t>
      </w:r>
    </w:p>
    <w:p>
      <w:pPr>
        <w:pStyle w:val="LegalBody"/>
      </w:pPr>
      <w:r>
        <w:rPr>
          <w:b/>
        </w:rPr>
        <w:t xml:space="preserve">(b) Effective date. </w:t>
      </w:r>
      <w:r>
        <w:t>This section takes effect 180 days after enactment. It applies prospectively to the specified clinical conduct and does not impose liability on a pregnant person, a person born following an intervention, or a descendant because of their status.</w:t>
      </w:r>
    </w:p>
    <w:p>
      <w:pPr>
        <w:pStyle w:val="LegalBody"/>
      </w:pPr>
      <w:r>
        <w:rPr>
          <w:b/>
        </w:rPr>
        <w:t xml:space="preserve">(c) Exclusions. </w:t>
      </w:r>
      <w:r>
        <w:t>The prohibition does not itself prohibit lawful nonimplantation research, ordinary assisted reproduction without intentional heritable editing, somatic treatment, or care of a person already pregnant. It does not authorize any research, expenditure, or procedure otherwise prohibited by law.</w:t>
      </w:r>
    </w:p>
    <w:p>
      <w:pPr>
        <w:pStyle w:val="LegalBody"/>
      </w:pPr>
      <w:r>
        <w:rPr>
          <w:b/>
        </w:rPr>
        <w:t xml:space="preserve">(d) Rights and care. </w:t>
      </w:r>
      <w:r>
        <w:t>No person shall be denied necessary lawful care, citizenship rights, disability protections, or other legal status because an intervention occurred in violation of this section. Participation in follow-up research shall not be compulsory merely because a person was born following such an intervention.</w:t>
      </w:r>
    </w:p>
    <w:p>
      <w:pPr>
        <w:pStyle w:val="LegalBody"/>
      </w:pPr>
      <w:r>
        <w:rPr>
          <w:b/>
        </w:rPr>
        <w:t xml:space="preserve">(e) Expiration. </w:t>
      </w:r>
      <w:r>
        <w:t>Expiration removes only this time-limited restriction. It does not approve an intervention, waive Food and Drug Administration requirements, eliminate another legal restriction, or establish a right to public financing. Continuation or replacement of this prohibition requires an Act of Congress; an agency may not renew it through general rulemaking authority under this Act.</w:t>
      </w:r>
    </w:p>
    <w:p>
      <w:bookmarkStart w:id="228" w:name="SEC_2105"/>
      <w:pPr>
        <w:pStyle w:val="Heading2"/>
      </w:pPr>
      <w:r>
        <w:t>SEC. 2105. REVIEW OF HERITABLE INTERVENTIONS AND FUTURE GENERATIONS.</w:t>
      </w:r>
      <w:bookmarkEnd w:id="228"/>
    </w:p>
    <w:p>
      <w:pPr>
        <w:pStyle w:val="LegalBody"/>
      </w:pPr>
      <w:r>
        <w:rPr>
          <w:b/>
        </w:rPr>
        <w:t xml:space="preserve">(a) Review. </w:t>
      </w:r>
      <w:r>
        <w:t>Not later than 3 years after the effective date of section 2104, the Secretary shall convene an independent scientific and ethical review under the advisory procedures of title III. The review shall assess evidence, technical uncertainty, clinical need, alternatives, consent limitations, intergenerational effects, disability concerns, and international developments.</w:t>
      </w:r>
    </w:p>
    <w:p>
      <w:pPr>
        <w:pStyle w:val="LegalBody"/>
      </w:pPr>
      <w:r>
        <w:rPr>
          <w:b/>
        </w:rPr>
        <w:t xml:space="preserve">(b) Participation. </w:t>
      </w:r>
      <w:r>
        <w:t>The review shall include relevant scientific disciplines, persons with disabilities, affected families, reproductive-health expertise, legal scholars, and perspectives from varied research settings. Participation shall not be limited to developers or opponents of a particular technology.</w:t>
      </w:r>
    </w:p>
    <w:p>
      <w:pPr>
        <w:pStyle w:val="LegalBody"/>
      </w:pPr>
      <w:r>
        <w:rPr>
          <w:b/>
        </w:rPr>
        <w:t xml:space="preserve">(c) Questions. </w:t>
      </w:r>
      <w:r>
        <w:t>The review shall distinguish prevention of serious disease, treatment, voluntary enhancement, and population-directed selection. It shall examine whether a proposed use can be evaluated responsibly and what cannot be known before descendants exist.</w:t>
      </w:r>
    </w:p>
    <w:p>
      <w:pPr>
        <w:pStyle w:val="LegalBody"/>
      </w:pPr>
      <w:r>
        <w:rPr>
          <w:b/>
        </w:rPr>
        <w:t xml:space="preserve">(d) Report. </w:t>
      </w:r>
      <w:r>
        <w:t>Not later than 4 years after the effective date of section 2104, the Secretary shall transmit a report to Congress identifying options, evidentiary conditions, rights implications, enforcement needs, and costs. The report shall not purport to authorize clinical deployment.</w:t>
      </w:r>
    </w:p>
    <w:p>
      <w:pPr>
        <w:pStyle w:val="LegalBody"/>
      </w:pPr>
      <w:r>
        <w:rPr>
          <w:b/>
        </w:rPr>
        <w:t xml:space="preserve">(e) Limits. </w:t>
      </w:r>
      <w:r>
        <w:t>No scientific body may determine the legal status or worth of a future person through a preferred genetic profile. A recommendation concerning a technology shall not be translated into a reproductive duty imposed on individuals. Congress retains responsibility for any continuation or replacement of the temporary restriction.</w:t>
      </w:r>
    </w:p>
    <w:p>
      <w:bookmarkStart w:id="229" w:name="SEC_2106"/>
      <w:pPr>
        <w:pStyle w:val="Heading2"/>
      </w:pPr>
      <w:r>
        <w:t>SEC. 2106. REPRODUCTIVE TECHNOLOGIES AND PATIENT SAFEGUARDS.</w:t>
      </w:r>
      <w:bookmarkEnd w:id="229"/>
    </w:p>
    <w:p>
      <w:pPr>
        <w:pStyle w:val="LegalBody"/>
      </w:pPr>
      <w:r>
        <w:rPr>
          <w:b/>
        </w:rPr>
        <w:t xml:space="preserve">(a) Covered services. </w:t>
      </w:r>
      <w:r>
        <w:t>A recipient or covered commercial provider of a lawful reproductive technology shall give accurate information about success measures, limitations, material risks, costs, storage, disposition, and available alternatives. Reported success rates shall identify the population, denominator, time period, and outcome measured.</w:t>
      </w:r>
    </w:p>
    <w:p>
      <w:pPr>
        <w:pStyle w:val="LegalBody"/>
      </w:pPr>
      <w:r>
        <w:rPr>
          <w:b/>
        </w:rPr>
        <w:t xml:space="preserve">(b) Consent. </w:t>
      </w:r>
      <w:r>
        <w:t>Permissions concerning treatment, storage, research, donation, commercial use, and disposition shall be distinguished. A provider shall not infer permission for research or sale from consent to clinical care.</w:t>
      </w:r>
    </w:p>
    <w:p>
      <w:pPr>
        <w:pStyle w:val="LegalBody"/>
      </w:pPr>
      <w:r>
        <w:rPr>
          <w:b/>
        </w:rPr>
        <w:t xml:space="preserve">(c) Records and continuity. </w:t>
      </w:r>
      <w:r>
        <w:t>Providers shall maintain reliable identification, chain of custody, security, backup, incident response, and closure plans for reproductive material. Material errors or loss shall be communicated promptly to affected persons and responsible authorities under applicable law.</w:t>
      </w:r>
    </w:p>
    <w:p>
      <w:pPr>
        <w:pStyle w:val="LegalBody"/>
      </w:pPr>
      <w:r>
        <w:rPr>
          <w:b/>
        </w:rPr>
        <w:t xml:space="preserve">(d) Privacy. </w:t>
      </w:r>
      <w:r>
        <w:t>Reproductive information shall receive sensitive-data protection. A provider shall not disclose it to unrelated commercial recipients or use it for targeted advertising without a separate lawful basis permitted by this Act.</w:t>
      </w:r>
    </w:p>
    <w:p>
      <w:pPr>
        <w:pStyle w:val="LegalBody"/>
      </w:pPr>
      <w:r>
        <w:rPr>
          <w:b/>
        </w:rPr>
        <w:t xml:space="preserve">(e) Legal boundaries. </w:t>
      </w:r>
      <w:r>
        <w:t>This section does not determine parentage, embryo status, abortion law, surrogacy legality, donor anonymity rules imposed by other law, or eligibility for public financing. Applicable law governs those questions. The section establishes specified transparency, consent, and stewardship duties for services that are otherwise lawful and does not create an authorization to perform a prohibited procedure.</w:t>
      </w:r>
    </w:p>
    <w:p>
      <w:bookmarkStart w:id="230" w:name="SEC_2107"/>
      <w:pPr>
        <w:pStyle w:val="Heading2"/>
      </w:pPr>
      <w:r>
        <w:t>SEC. 2107. VOLUNTARY ENHANCEMENT, COERCION, AND FAIR ACCESS RESEARCH.</w:t>
      </w:r>
      <w:bookmarkEnd w:id="230"/>
    </w:p>
    <w:p>
      <w:pPr>
        <w:pStyle w:val="LegalBody"/>
      </w:pPr>
      <w:r>
        <w:rPr>
          <w:b/>
        </w:rPr>
        <w:t xml:space="preserve">(a) Autonomy. </w:t>
      </w:r>
      <w:r>
        <w:t>A competent adult's lawful decision to use or decline an enhancement shall not diminish that person's protections under this Act. No covered employer, school, insurer, or recipient shall require a nontherapeutic genetic or invasive biological enhancement as a condition of ordinary participation or access.</w:t>
      </w:r>
    </w:p>
    <w:p>
      <w:pPr>
        <w:pStyle w:val="LegalBody"/>
      </w:pPr>
      <w:r>
        <w:rPr>
          <w:b/>
        </w:rPr>
        <w:t xml:space="preserve">(b) Safety. </w:t>
      </w:r>
      <w:r>
        <w:t>Consent does not replace product approval, qualified practice, research review, or safety requirements. A commercial claim shall be substantiated for the intended capability and population, with material uncertainty disclosed.</w:t>
      </w:r>
    </w:p>
    <w:p>
      <w:pPr>
        <w:pStyle w:val="LegalBody"/>
      </w:pPr>
      <w:r>
        <w:rPr>
          <w:b/>
        </w:rPr>
        <w:t xml:space="preserve">(c) Research. </w:t>
      </w:r>
      <w:r>
        <w:t>Agencies may study access, benefits, risks, reversibility, social pressure, disability implications, and the possibility that nominally voluntary use becomes practically coercive. Such research shall not presume that every enhancement is desirable or that every modification threatens human identity.</w:t>
      </w:r>
    </w:p>
    <w:p>
      <w:pPr>
        <w:pStyle w:val="LegalBody"/>
      </w:pPr>
      <w:r>
        <w:rPr>
          <w:b/>
        </w:rPr>
        <w:t xml:space="preserve">(d) Public financing. </w:t>
      </w:r>
      <w:r>
        <w:t>This Act does not establish an entitlement to enhancement at public expense. A research or demonstration award shall identify the public purpose, selection criteria, costs, and safeguards against preferential access based solely on wealth or institutional influence.</w:t>
      </w:r>
    </w:p>
    <w:p>
      <w:pPr>
        <w:pStyle w:val="LegalBody"/>
      </w:pPr>
      <w:r>
        <w:rPr>
          <w:b/>
        </w:rPr>
        <w:t xml:space="preserve">(e) Nonhierarchy. </w:t>
      </w:r>
      <w:r>
        <w:t>A provider shall not rank human worth by enhancement status or market an intervention through a false claim that unmodified persons are less human. Ordinary truthful discussion of performance differences remains protected. Participation in a study shall not obligate an individual to continue an enhancement or make public endorsements.</w:t>
      </w:r>
    </w:p>
    <w:p>
      <w:bookmarkStart w:id="231" w:name="SEC_2108"/>
      <w:pPr>
        <w:pStyle w:val="Heading2"/>
      </w:pPr>
      <w:r>
        <w:t>SEC. 2108. BIOBANKS, GENOMIC REPOSITORIES, AND BENEFIT SHARING.</w:t>
      </w:r>
      <w:bookmarkEnd w:id="231"/>
    </w:p>
    <w:p>
      <w:pPr>
        <w:pStyle w:val="LegalBody"/>
      </w:pPr>
      <w:r>
        <w:rPr>
          <w:b/>
        </w:rPr>
        <w:t xml:space="preserve">(a) Governance. </w:t>
      </w:r>
      <w:r>
        <w:t>A repository financed under this Act shall maintain consent records, provenance, access criteria, security, retention, withdrawal procedures, and independent oversight. Access shall be linked to an approved purpose and a responsible investigator.</w:t>
      </w:r>
    </w:p>
    <w:p>
      <w:pPr>
        <w:pStyle w:val="LegalBody"/>
      </w:pPr>
      <w:r>
        <w:rPr>
          <w:b/>
        </w:rPr>
        <w:t xml:space="preserve">(b) Secondary use. </w:t>
      </w:r>
      <w:r>
        <w:t>Broad research consent may be used only to the extent permitted by applicable law and shall clearly describe its scope and limits. It shall not authorize unrelated employment screening, insurance underwriting, advertising, or law-enforcement access without an independently lawful basis.</w:t>
      </w:r>
    </w:p>
    <w:p>
      <w:pPr>
        <w:pStyle w:val="LegalBody"/>
      </w:pPr>
      <w:r>
        <w:rPr>
          <w:b/>
        </w:rPr>
        <w:t xml:space="preserve">(c) Community interests. </w:t>
      </w:r>
      <w:r>
        <w:t>Projects involving Indigenous or other community-sensitive materials shall comply with applicable consent, consultation, and heritage requirements and section 406. Agreements shall address access, publication, commercial development, and return of findings.</w:t>
      </w:r>
    </w:p>
    <w:p>
      <w:pPr>
        <w:pStyle w:val="LegalBody"/>
      </w:pPr>
      <w:r>
        <w:rPr>
          <w:b/>
        </w:rPr>
        <w:t xml:space="preserve">(d) Benefit sharing. </w:t>
      </w:r>
      <w:r>
        <w:t>Publicly financed international collections shall provide fair scientific participation, appropriate capacity building, and access to results. A benefit-sharing agreement shall identify actual commitments rather than promise unspecified future profits or treatment.</w:t>
      </w:r>
    </w:p>
    <w:p>
      <w:pPr>
        <w:pStyle w:val="LegalBody"/>
      </w:pPr>
      <w:r>
        <w:rPr>
          <w:b/>
        </w:rPr>
        <w:t xml:space="preserve">(e) Stewardship. </w:t>
      </w:r>
      <w:r>
        <w:t>Closure, merger, sale, or insolvency shall not silently transfer samples and data to incompatible uses. A successor shall be bound by lawful restrictions, and participants shall receive notice where material rights or expectations change. The repository shall not claim that coded or deidentified genomic information is incapable of reidentification.</w:t>
      </w:r>
    </w:p>
    <w:p>
      <w:bookmarkStart w:id="232" w:name="SEC_2109"/>
      <w:pPr>
        <w:pStyle w:val="Heading2"/>
      </w:pPr>
      <w:r>
        <w:t>SEC. 2109. BIOSAFETY, BIOSECURITY, AND RESPONSIBLE PUBLIC COMMUNICATION.</w:t>
      </w:r>
      <w:bookmarkEnd w:id="232"/>
    </w:p>
    <w:p>
      <w:pPr>
        <w:pStyle w:val="LegalBody"/>
      </w:pPr>
      <w:r>
        <w:rPr>
          <w:b/>
        </w:rPr>
        <w:t xml:space="preserve">(a) Compliance. </w:t>
      </w:r>
      <w:r>
        <w:t>Research and development under this title shall comply with applicable biosafety, biosecurity, laboratory, occupational, environmental, and human-subjects requirements. An innovation or humanitarian designation does not waive those requirements.</w:t>
      </w:r>
    </w:p>
    <w:p>
      <w:pPr>
        <w:pStyle w:val="LegalBody"/>
      </w:pPr>
      <w:r>
        <w:rPr>
          <w:b/>
        </w:rPr>
        <w:t xml:space="preserve">(b) Risk review. </w:t>
      </w:r>
      <w:r>
        <w:t>Awardees shall assess foreseeable misuse and exposure risks appropriate to the work, maintain trained oversight, and report material incidents through applicable channels. Review shall protect legitimate research while addressing concrete risks rather than ideological disagreement.</w:t>
      </w:r>
    </w:p>
    <w:p>
      <w:pPr>
        <w:pStyle w:val="LegalBody"/>
      </w:pPr>
      <w:r>
        <w:rPr>
          <w:b/>
        </w:rPr>
        <w:t xml:space="preserve">(c) Information. </w:t>
      </w:r>
      <w:r>
        <w:t>Public communication shall support scientific understanding without disclosing operational information whose release is lawfully restricted or would create a demonstrable serious safety risk. Restrictions shall be specific, documented, and reviewable under applicable law.</w:t>
      </w:r>
    </w:p>
    <w:p>
      <w:pPr>
        <w:pStyle w:val="LegalBody"/>
      </w:pPr>
      <w:r>
        <w:rPr>
          <w:b/>
        </w:rPr>
        <w:t xml:space="preserve">(d) Whistleblowing. </w:t>
      </w:r>
      <w:r>
        <w:t>Personnel may report good-faith safety concerns without retaliation. Institutions shall preserve evidence and shall not conceal a material incident to protect commercial value or funding prospects.</w:t>
      </w:r>
    </w:p>
    <w:p>
      <w:pPr>
        <w:pStyle w:val="LegalBody"/>
      </w:pPr>
      <w:r>
        <w:rPr>
          <w:b/>
        </w:rPr>
        <w:t xml:space="preserve">(e) Limits. </w:t>
      </w:r>
      <w:r>
        <w:t>This section does not create a general censorship power over biological research, authorize secret human experimentation, or expand criminal liability by implication. Existing authorities remain controlling. Agencies shall distinguish a hypothetical misuse scenario from evidence of an actual threat and shall consider less restrictive protective measures where feasible.</w:t>
      </w:r>
    </w:p>
    <w:p>
      <w:bookmarkStart w:id="233" w:name="SEC_2110"/>
      <w:pPr>
        <w:pStyle w:val="Heading2"/>
      </w:pPr>
      <w:r>
        <w:t>SEC. 2110. BIOTECHNOLOGY ACCOUNTABILITY AND LEGAL REVIEW.</w:t>
      </w:r>
      <w:bookmarkEnd w:id="233"/>
    </w:p>
    <w:p>
      <w:pPr>
        <w:pStyle w:val="LegalBody"/>
      </w:pPr>
      <w:r>
        <w:rPr>
          <w:b/>
        </w:rPr>
        <w:t xml:space="preserve">(a) Reporting. </w:t>
      </w:r>
      <w:r>
        <w:t>The Secretary shall report annually on funded research, clinical translation, participant safeguards, access, long-term follow-up, commercialization commitments, and material incidents. Reports shall protect sensitive information and distinguish approved, investigational, and prohibited activities.</w:t>
      </w:r>
    </w:p>
    <w:p>
      <w:pPr>
        <w:pStyle w:val="LegalBody"/>
      </w:pPr>
      <w:r>
        <w:rPr>
          <w:b/>
        </w:rPr>
        <w:t xml:space="preserve">(b) Enforcement. </w:t>
      </w:r>
      <w:r>
        <w:t>Defined consent, coercion, commercialization, and temporary clinical restrictions shall be enforced under title XXVIII and applicable product law. No new criminal offense is created by this title. Liability for prohibited clinical conduct shall attach to responsible entities and actors, not to a child or patient because of resulting biological status.</w:t>
      </w:r>
    </w:p>
    <w:p>
      <w:pPr>
        <w:pStyle w:val="LegalBody"/>
      </w:pPr>
      <w:r>
        <w:rPr>
          <w:b/>
        </w:rPr>
        <w:t xml:space="preserve">(c) Review. </w:t>
      </w:r>
      <w:r>
        <w:t>The 5-year review shall assess scientific change, rights, costs, benefit distribution, and the need for specific legislation. The temporary restriction in section 2104 remains governed by its own expiration and congressional review provisions.</w:t>
      </w:r>
    </w:p>
    <w:p>
      <w:pPr>
        <w:pStyle w:val="LegalBody"/>
      </w:pPr>
      <w:r>
        <w:rPr>
          <w:b/>
        </w:rPr>
        <w:t xml:space="preserve">(d) Savings. </w:t>
      </w:r>
      <w:r>
        <w:t>This title does not repeal genetic-nondiscrimination law, privacy law, reproductive-health restrictions, research-funding limitations, or medical-product requirements except where an express provision states an independent additional duty.</w:t>
      </w:r>
    </w:p>
    <w:p>
      <w:pPr>
        <w:pStyle w:val="LegalBody"/>
      </w:pPr>
      <w:r>
        <w:rPr>
          <w:b/>
        </w:rPr>
        <w:t xml:space="preserve">(e) Construction. </w:t>
      </w:r>
      <w:r>
        <w:t>No agency may define an ideal genome, prescribe reproductive outcomes, or treat biological difference as diminished personhood. Equally, protection of autonomy does not require public financing or approval of an unsafe intervention. Decisions shall identify the specific legal authority, evidence, uncertainty, and individual rights involved.</w:t>
      </w:r>
    </w:p>
    <w:p>
      <w:bookmarkStart w:id="234" w:name="TITLE_XXII"/>
      <w:pPr>
        <w:pStyle w:val="Heading1"/>
        <w:pageBreakBefore/>
      </w:pPr>
      <w:r>
        <w:t>TITLE XXII. HUMAN COMPATIBILITY ASSESSMENT AND STAGED DEPLOYMENT</w:t>
      </w:r>
      <w:bookmarkEnd w:id="234"/>
    </w:p>
    <w:p>
      <w:bookmarkStart w:id="235" w:name="SEC_2201"/>
      <w:pPr>
        <w:pStyle w:val="Heading2"/>
      </w:pPr>
      <w:r>
        <w:t>SEC. 2201. PURPOSE, CLOSED SCOPE, AND NO GENERAL INNOVATION VETO.</w:t>
      </w:r>
      <w:bookmarkEnd w:id="235"/>
    </w:p>
    <w:p>
      <w:pPr>
        <w:pStyle w:val="LegalBody"/>
      </w:pPr>
      <w:r>
        <w:rPr>
          <w:b/>
        </w:rPr>
        <w:t xml:space="preserve">(a) Purpose. </w:t>
      </w:r>
      <w:r>
        <w:t>This title establishes additional assessment and narrowly limited protective procedures for specified large-scale or invasive deployments. It does not authorize an agency to suspend an innovation merely because it is novel, controversial, economically disruptive, or inconsistent with an official preference about human life.</w:t>
      </w:r>
    </w:p>
    <w:p>
      <w:pPr>
        <w:pStyle w:val="LegalBody"/>
      </w:pPr>
      <w:r>
        <w:rPr>
          <w:b/>
        </w:rPr>
        <w:t xml:space="preserve">(b) Covered deployment. </w:t>
      </w:r>
      <w:r>
        <w:t>A covered deployment is: (1) a commercial nonmedical neurotechnology directly recording or stimulating neural activity that is intended for at least 10,000 United States users in a 12-month period, or a nontherapeutic implanted neurotechnology regardless of volume; (2) a high-impact automated decision system under title XIX intended to make at least 100,000 covered decisions concerning United States individuals in a 12-month period; or (3) an invasive nontherapeutic augmentation offered commercially and intended to produce a substantially irreversible change in bodily function.</w:t>
      </w:r>
    </w:p>
    <w:p>
      <w:pPr>
        <w:pStyle w:val="LegalBody"/>
      </w:pPr>
      <w:r>
        <w:rPr>
          <w:b/>
        </w:rPr>
        <w:t xml:space="preserve">(c) Exclusions. </w:t>
      </w:r>
      <w:r>
        <w:t>Ordinary expressive works, general-purpose communication tools without a covered function, personal experimentation not offered commercially, and research not affecting real deployment decisions are excluded from this title, without exemption from other applicable law.</w:t>
      </w:r>
    </w:p>
    <w:p>
      <w:pPr>
        <w:pStyle w:val="LegalBody"/>
      </w:pPr>
      <w:r>
        <w:rPr>
          <w:b/>
        </w:rPr>
        <w:t xml:space="preserve">(d) Fixed categories. </w:t>
      </w:r>
      <w:r>
        <w:t>Agencies may clarify the stated functions and measurement of thresholds but may not add a category by rule or guidance. Aggregation may prevent deliberate evasion through affiliated entities or divided deployment.</w:t>
      </w:r>
    </w:p>
    <w:p>
      <w:pPr>
        <w:pStyle w:val="LegalBody"/>
      </w:pPr>
      <w:r>
        <w:rPr>
          <w:b/>
        </w:rPr>
        <w:t xml:space="preserve">(e) Existing approvals. </w:t>
      </w:r>
      <w:r>
        <w:t>A product's existing lawful approval shall be credited for issues actually evaluated. This title does not create a second medical approval system or legalize a use prohibited by title XXI or another law.</w:t>
      </w:r>
    </w:p>
    <w:p>
      <w:bookmarkStart w:id="236" w:name="SEC_2202"/>
      <w:pPr>
        <w:pStyle w:val="Heading2"/>
      </w:pPr>
      <w:r>
        <w:t>SEC. 2202. HUMAN COMPATIBILITY ASSESSMENT CONTENT.</w:t>
      </w:r>
      <w:bookmarkEnd w:id="236"/>
    </w:p>
    <w:p>
      <w:pPr>
        <w:pStyle w:val="LegalBody"/>
      </w:pPr>
      <w:r>
        <w:rPr>
          <w:b/>
        </w:rPr>
        <w:t xml:space="preserve">(a) Assessment. </w:t>
      </w:r>
      <w:r>
        <w:t>The responsible deployer shall prepare an assessment identifying intended use, affected population, expected benefits, material risks, reversibility, scale, uncertainty, accessibility, consent, privacy, human oversight, and effects on access to essential opportunities.</w:t>
      </w:r>
    </w:p>
    <w:p>
      <w:pPr>
        <w:pStyle w:val="LegalBody"/>
      </w:pPr>
      <w:r>
        <w:rPr>
          <w:b/>
        </w:rPr>
        <w:t xml:space="preserve">(b) Human dimensions. </w:t>
      </w:r>
      <w:r>
        <w:t>Relevant dimensions may include physical health, psychological functioning, developmental vulnerability, cognitive agency, social participation, discrimination, work conditions, and intergenerational effects. Only dimensions materially connected to the actual deployment need be analyzed; a checklist shall not substitute for causal reasoning.</w:t>
      </w:r>
    </w:p>
    <w:p>
      <w:pPr>
        <w:pStyle w:val="LegalBody"/>
      </w:pPr>
      <w:r>
        <w:rPr>
          <w:b/>
        </w:rPr>
        <w:t xml:space="preserve">(c) Alternatives. </w:t>
      </w:r>
      <w:r>
        <w:t>The assessment shall compare deployment, nondeployment, narrower deployment, additional safeguards, and an available alternative. It shall account for benefits forgone by delay, including treatment, accessibility, and correction of existing harmful practices.</w:t>
      </w:r>
    </w:p>
    <w:p>
      <w:pPr>
        <w:pStyle w:val="LegalBody"/>
      </w:pPr>
      <w:r>
        <w:rPr>
          <w:b/>
        </w:rPr>
        <w:t xml:space="preserve">(d) Evidence. </w:t>
      </w:r>
      <w:r>
        <w:t>Claims shall identify methods, populations, uncertainty, conflicts, and limitations. An assessment shall not treat absence of evidence as proof of safety or proof of harm. Where important uncertainty remains, the deployer shall explain how a staged test or monitoring plan can resolve it.</w:t>
      </w:r>
    </w:p>
    <w:p>
      <w:pPr>
        <w:pStyle w:val="LegalBody"/>
      </w:pPr>
      <w:r>
        <w:rPr>
          <w:b/>
        </w:rPr>
        <w:t xml:space="preserve">(e) Integration. </w:t>
      </w:r>
      <w:r>
        <w:t>Documentation prepared under titles XIX, XX, XXI, or applicable product law may satisfy overlapping elements. The agency shall accept equivalent information and shall request additional material only for a specified gap. The assessment shall be signed by a responsible official and retained for 6 years after the last covered deployment.</w:t>
      </w:r>
    </w:p>
    <w:p>
      <w:bookmarkStart w:id="237" w:name="SEC_2203"/>
      <w:pPr>
        <w:pStyle w:val="Heading2"/>
      </w:pPr>
      <w:r>
        <w:t>SEC. 2203. PREDEPLOYMENT NOTICE AND STAGED IMPLEMENTATION.</w:t>
      </w:r>
      <w:bookmarkEnd w:id="237"/>
    </w:p>
    <w:p>
      <w:pPr>
        <w:pStyle w:val="LegalBody"/>
      </w:pPr>
      <w:r>
        <w:rPr>
          <w:b/>
        </w:rPr>
        <w:t xml:space="preserve">(a) Notice. </w:t>
      </w:r>
      <w:r>
        <w:t>At least 90 days before a new covered deployment, the deployer shall submit an assessment summary and compliance contact to the responsible agency. A system already lawfully operating on the effective date shall submit within 180 days after that date and need not cease solely because the filing period is open.</w:t>
      </w:r>
    </w:p>
    <w:p>
      <w:pPr>
        <w:pStyle w:val="LegalBody"/>
      </w:pPr>
      <w:r>
        <w:rPr>
          <w:b/>
        </w:rPr>
        <w:t xml:space="preserve">(b) No automatic license. </w:t>
      </w:r>
      <w:r>
        <w:t>Submission is a notice requirement, not a general licensing regime. After the notice period, deployment may proceed if otherwise lawful unless a court or agency has issued a valid order under an independently applicable authority or this title's narrow procedures.</w:t>
      </w:r>
    </w:p>
    <w:p>
      <w:pPr>
        <w:pStyle w:val="LegalBody"/>
      </w:pPr>
      <w:r>
        <w:rPr>
          <w:b/>
        </w:rPr>
        <w:t xml:space="preserve">(c) Staging. </w:t>
      </w:r>
      <w:r>
        <w:t>A deployer shall identify feasible stages, monitoring, stopping criteria, and rollback or continuity arrangements where uncertainty concerns a material risk. A staged plan may be unnecessary where the assessment explains why an established use does not present a material unresolved deployment risk.</w:t>
      </w:r>
    </w:p>
    <w:p>
      <w:pPr>
        <w:pStyle w:val="LegalBody"/>
      </w:pPr>
      <w:r>
        <w:rPr>
          <w:b/>
        </w:rPr>
        <w:t xml:space="preserve">(d) Agency response. </w:t>
      </w:r>
      <w:r>
        <w:t>Within 60 days after a complete submission, the agency may identify a specific information deficiency, offer nonbinding mitigation advice, or initiate a lawful protective proceeding. A request shall be proportionate and shall not restart the 90-day period indefinitely. One extension of up to 30 days is permitted for a material deficiency preventing assessment, with written reasons.</w:t>
      </w:r>
    </w:p>
    <w:p>
      <w:pPr>
        <w:pStyle w:val="LegalBody"/>
      </w:pPr>
      <w:r>
        <w:rPr>
          <w:b/>
        </w:rPr>
        <w:t xml:space="preserve">(e) Public summary. </w:t>
      </w:r>
      <w:r>
        <w:t>A nonconfidential summary shall describe function, principal benefits and risks, safeguards, and contact. Personal data, legitimate trade secrets, and security-sensitive details shall be protected. Public disclosure shall not require publication of source code merely because the system is consequential.</w:t>
      </w:r>
    </w:p>
    <w:p>
      <w:bookmarkStart w:id="238" w:name="SEC_2204"/>
      <w:pPr>
        <w:pStyle w:val="Heading2"/>
      </w:pPr>
      <w:r>
        <w:t>SEC. 2204. MATERIALITY, BENEFITS OF INNOVATION, AND PROPORTIONALITY.</w:t>
      </w:r>
      <w:bookmarkEnd w:id="238"/>
    </w:p>
    <w:p>
      <w:pPr>
        <w:pStyle w:val="LegalBody"/>
      </w:pPr>
      <w:r>
        <w:rPr>
          <w:b/>
        </w:rPr>
        <w:t xml:space="preserve">(a) Required analysis. </w:t>
      </w:r>
      <w:r>
        <w:t>Before imposing a restriction under this title, the agency shall identify the specific conduct, credible mechanism of harm, probability and severity, affected population, uncertainty, expected duration, and connection to a statutory protection.</w:t>
      </w:r>
    </w:p>
    <w:p>
      <w:pPr>
        <w:pStyle w:val="LegalBody"/>
      </w:pPr>
      <w:r>
        <w:rPr>
          <w:b/>
        </w:rPr>
        <w:t xml:space="preserve">(b) Benefits. </w:t>
      </w:r>
      <w:r>
        <w:t>The agency shall expressly consider the consequences of delay or restriction, including lost access to beneficial treatment or assistance, persistence of an inferior existing process, costs, competition, and effects on persons already dependent on the product.</w:t>
      </w:r>
    </w:p>
    <w:p>
      <w:pPr>
        <w:pStyle w:val="LegalBody"/>
      </w:pPr>
      <w:r>
        <w:rPr>
          <w:b/>
        </w:rPr>
        <w:t xml:space="preserve">(c) Alternatives. </w:t>
      </w:r>
      <w:r>
        <w:t>The agency shall assess warning, improved consent, restricted use, additional human review, technical correction, independent testing, a smaller pilot, and other less burdensome measures. A broader restriction requires reasons why a narrower measure is insufficient.</w:t>
      </w:r>
    </w:p>
    <w:p>
      <w:pPr>
        <w:pStyle w:val="LegalBody"/>
      </w:pPr>
      <w:r>
        <w:rPr>
          <w:b/>
        </w:rPr>
        <w:t xml:space="preserve">(d) Evidence standard. </w:t>
      </w:r>
      <w:r>
        <w:t>A concern based solely on conjecture, moral disapproval, a disputed lawful viewpoint, or a generalized fear of technological change is insufficient. The agency need not wait for an injury to occur where credible evidence establishes a substantial risk meeting the applicable order standard.</w:t>
      </w:r>
    </w:p>
    <w:p>
      <w:pPr>
        <w:pStyle w:val="LegalBody"/>
      </w:pPr>
      <w:r>
        <w:rPr>
          <w:b/>
        </w:rPr>
        <w:t xml:space="preserve">(e) Distribution. </w:t>
      </w:r>
      <w:r>
        <w:t>Aggregate benefit shall not automatically excuse violation of an individual's statutory right. Conversely, an unquantified possibility of harm shall not automatically outweigh substantial demonstrated benefit. The decision shall explain the legal rule and evidentiary judgment rather than conceal a policy choice behind a numerical score.</w:t>
      </w:r>
    </w:p>
    <w:p>
      <w:bookmarkStart w:id="239" w:name="SEC_2205"/>
      <w:pPr>
        <w:pStyle w:val="Heading2"/>
      </w:pPr>
      <w:r>
        <w:t>SEC. 2205. ORDINARY PROTECTIVE PROCEEDINGS.</w:t>
      </w:r>
      <w:bookmarkEnd w:id="239"/>
    </w:p>
    <w:p>
      <w:pPr>
        <w:pStyle w:val="LegalBody"/>
      </w:pPr>
      <w:r>
        <w:rPr>
          <w:b/>
        </w:rPr>
        <w:t xml:space="preserve">(a) Notice. </w:t>
      </w:r>
      <w:r>
        <w:t>Where the responsible agency finds reasonable grounds that a covered deployment violates a specific duty of this Act and presents a substantial risk of serious harm, it may issue a notice proposing corrective action. The notice shall identify evidence, legal grounds, proposed scope, alternatives, and a response period of at least 30 days unless section 2206 applies.</w:t>
      </w:r>
    </w:p>
    <w:p>
      <w:pPr>
        <w:pStyle w:val="LegalBody"/>
      </w:pPr>
      <w:r>
        <w:rPr>
          <w:b/>
        </w:rPr>
        <w:t xml:space="preserve">(b) Response. </w:t>
      </w:r>
      <w:r>
        <w:t>The entity may submit evidence, propose mitigation, challenge factual or legal premises, and request an informal conference. Confidential evidence may be handled through protective procedures, but the entity shall receive enough information to contest the basis meaningfully.</w:t>
      </w:r>
    </w:p>
    <w:p>
      <w:pPr>
        <w:pStyle w:val="LegalBody"/>
      </w:pPr>
      <w:r>
        <w:rPr>
          <w:b/>
        </w:rPr>
        <w:t xml:space="preserve">(c) Decision. </w:t>
      </w:r>
      <w:r>
        <w:t>The agency may require correction of documentation or a compliance plan within its express administrative authority. A coercive order suspending otherwise lawful commercial deployment under this title shall be sought in Federal district court.</w:t>
      </w:r>
    </w:p>
    <w:p>
      <w:pPr>
        <w:pStyle w:val="LegalBody"/>
      </w:pPr>
      <w:r>
        <w:rPr>
          <w:b/>
        </w:rPr>
        <w:t xml:space="preserve">(d) Court standard. </w:t>
      </w:r>
      <w:r>
        <w:t>The court may grant prospective relief upon proof of a violation, substantial risk of serious harm, and satisfaction of applicable equitable standards. The government shall address the requirements of section 2204. A court shall not presume irreparable harm solely because an agency uses the term human compatibility.</w:t>
      </w:r>
    </w:p>
    <w:p>
      <w:pPr>
        <w:pStyle w:val="LegalBody"/>
      </w:pPr>
      <w:r>
        <w:rPr>
          <w:b/>
        </w:rPr>
        <w:t xml:space="preserve">(e) Duration. </w:t>
      </w:r>
      <w:r>
        <w:t>Relief shall be tailored and periodically reviewable. A temporary deployment suspension under this title shall not exceed 180 days initially and may be extended once for not more than 180 additional days upon new findings. Continued restrictions beyond that period require another independently applicable legal authority or further legislation.</w:t>
      </w:r>
    </w:p>
    <w:p>
      <w:bookmarkStart w:id="240" w:name="SEC_2206"/>
      <w:pPr>
        <w:pStyle w:val="Heading2"/>
      </w:pPr>
      <w:r>
        <w:t>SEC. 2206. EMERGENCY INTERIM ORDERS.</w:t>
      </w:r>
      <w:bookmarkEnd w:id="240"/>
    </w:p>
    <w:p>
      <w:pPr>
        <w:pStyle w:val="LegalBody"/>
      </w:pPr>
      <w:r>
        <w:rPr>
          <w:b/>
        </w:rPr>
        <w:t xml:space="preserve">(a) Threshold. </w:t>
      </w:r>
      <w:r>
        <w:t>The responsible agency head may issue an emergency interim order limited to stopping a specifically identified deployment where clear and convincing evidence establishes an imminent substantial risk of death, serious physical injury, or comparably grave unlawful deprivation of an essential liberty, and delay to obtain ordinary relief would materially increase that risk.</w:t>
      </w:r>
    </w:p>
    <w:p>
      <w:pPr>
        <w:pStyle w:val="LegalBody"/>
      </w:pPr>
      <w:r>
        <w:rPr>
          <w:b/>
        </w:rPr>
        <w:t xml:space="preserve">(b) Limits. </w:t>
      </w:r>
      <w:r>
        <w:t>The order shall identify the evidence, covered conduct, affected persons, duration, immediate alternatives considered, and measures preserving beneficial essential functions where safe. It shall not suppress lawful expression or halt unrelated products of the entity.</w:t>
      </w:r>
    </w:p>
    <w:p>
      <w:pPr>
        <w:pStyle w:val="LegalBody"/>
      </w:pPr>
      <w:r>
        <w:rPr>
          <w:b/>
        </w:rPr>
        <w:t xml:space="preserve">(c) Judicial filing. </w:t>
      </w:r>
      <w:r>
        <w:t>The agency shall seek review and continuation in Federal district court within 72 hours after issuance. If it does not, the order expires. The order may remain effective for no more than 14 days without judicial continuation, and the entity may seek immediate review at any time.</w:t>
      </w:r>
    </w:p>
    <w:p>
      <w:pPr>
        <w:pStyle w:val="LegalBody"/>
      </w:pPr>
      <w:r>
        <w:rPr>
          <w:b/>
        </w:rPr>
        <w:t xml:space="preserve">(d) Hearing. </w:t>
      </w:r>
      <w:r>
        <w:t>The entity shall receive prompt access to the material basis and an opportunity to be heard, subject to lawful protective treatment of confidential information. The government bears the burden of sustaining the order.</w:t>
      </w:r>
    </w:p>
    <w:p>
      <w:pPr>
        <w:pStyle w:val="LegalBody"/>
      </w:pPr>
      <w:r>
        <w:rPr>
          <w:b/>
        </w:rPr>
        <w:t xml:space="preserve">(e) Continuation. </w:t>
      </w:r>
      <w:r>
        <w:t>A court may continue relief under section 2205 within that section's overall duration limits. Reissuing an emergency order on substantially the same facts shall not restart the clock. Existing emergency powers under other statutes remain available only on their own legal terms and shall not be presumed expanded by this section.</w:t>
      </w:r>
    </w:p>
    <w:p>
      <w:bookmarkStart w:id="241" w:name="SEC_2207"/>
      <w:pPr>
        <w:pStyle w:val="Heading2"/>
      </w:pPr>
      <w:r>
        <w:t>SEC. 2207. SANDBOXES, PILOTS, AND NO RIGHTS WAIVER.</w:t>
      </w:r>
      <w:bookmarkEnd w:id="241"/>
    </w:p>
    <w:p>
      <w:pPr>
        <w:pStyle w:val="LegalBody"/>
      </w:pPr>
      <w:r>
        <w:rPr>
          <w:b/>
        </w:rPr>
        <w:t xml:space="preserve">(a) Demonstrations. </w:t>
      </w:r>
      <w:r>
        <w:t>Agencies may establish supervised testing arrangements for covered technologies where a defined uncertainty can be studied through limited deployment. Participation shall be voluntary for the entity and shall comply with applicable product, research, labor, privacy, and civil-rights law.</w:t>
      </w:r>
    </w:p>
    <w:p>
      <w:pPr>
        <w:pStyle w:val="LegalBody"/>
      </w:pPr>
      <w:r>
        <w:rPr>
          <w:b/>
        </w:rPr>
        <w:t xml:space="preserve">(b) Protocol. </w:t>
      </w:r>
      <w:r>
        <w:t>A pilot shall identify participants, duration, scale, consent, comparison, monitoring, adverse-event reporting, stopping rules, responsible personnel, and post-pilot continuity. Where the activity constitutes research, required independent review shall occur before enrollment.</w:t>
      </w:r>
    </w:p>
    <w:p>
      <w:pPr>
        <w:pStyle w:val="LegalBody"/>
      </w:pPr>
      <w:r>
        <w:rPr>
          <w:b/>
        </w:rPr>
        <w:t xml:space="preserve">(c) No blanket exemption. </w:t>
      </w:r>
      <w:r>
        <w:t>A sandbox designation does not waive a statute, create immunity, or authorize conduct prohibited outside the sandbox. Any waiver must rest on a separate express legal authority and shall identify the requirement waived, reasons, duration, and safeguards.</w:t>
      </w:r>
    </w:p>
    <w:p>
      <w:pPr>
        <w:pStyle w:val="LegalBody"/>
      </w:pPr>
      <w:r>
        <w:rPr>
          <w:b/>
        </w:rPr>
        <w:t xml:space="preserve">(d) Participant protection. </w:t>
      </w:r>
      <w:r>
        <w:t>Essential services shall not be conditioned on joining an experimental system where an appropriate alternative is available. Compensation shall not conceal risk or require surrender of legal rights.</w:t>
      </w:r>
    </w:p>
    <w:p>
      <w:pPr>
        <w:pStyle w:val="LegalBody"/>
      </w:pPr>
      <w:r>
        <w:rPr>
          <w:b/>
        </w:rPr>
        <w:t xml:space="preserve">(e) Learning. </w:t>
      </w:r>
      <w:r>
        <w:t>Results, including failure and adverse effects, shall be reported through an accessible summary. The agency shall distinguish evidence generated by the pilot from promotional claims. Successful completion does not establish universal safety, guarantee approval, or entitle the sponsor to a government contract or continuation funding.</w:t>
      </w:r>
    </w:p>
    <w:p>
      <w:bookmarkStart w:id="242" w:name="SEC_2208"/>
      <w:pPr>
        <w:pStyle w:val="Heading2"/>
      </w:pPr>
      <w:r>
        <w:t>SEC. 2208. INDEPENDENT TESTING AND ASSESSOR INTEGRITY.</w:t>
      </w:r>
      <w:bookmarkEnd w:id="242"/>
    </w:p>
    <w:p>
      <w:pPr>
        <w:pStyle w:val="LegalBody"/>
      </w:pPr>
      <w:r>
        <w:rPr>
          <w:b/>
        </w:rPr>
        <w:t xml:space="preserve">(a) Assessors. </w:t>
      </w:r>
      <w:r>
        <w:t>Where independent testing is required by this Act or a lawful order, the assessor shall possess relevant competence, resources, independence, and security capacity. Selection criteria shall be public and shall not depend on agreement with a desired outcome.</w:t>
      </w:r>
    </w:p>
    <w:p>
      <w:pPr>
        <w:pStyle w:val="LegalBody"/>
      </w:pPr>
      <w:r>
        <w:rPr>
          <w:b/>
        </w:rPr>
        <w:t xml:space="preserve">(b) Conflicts. </w:t>
      </w:r>
      <w:r>
        <w:t>Material financial interests and prior consulting relationships shall be disclosed. Compensation shall not be contingent on a favorable finding. The assessor shall not audit a function it substantially designed without an independently justified safeguard and disclosure.</w:t>
      </w:r>
    </w:p>
    <w:p>
      <w:pPr>
        <w:pStyle w:val="LegalBody"/>
      </w:pPr>
      <w:r>
        <w:rPr>
          <w:b/>
        </w:rPr>
        <w:t xml:space="preserve">(c) Access. </w:t>
      </w:r>
      <w:r>
        <w:t>The entity shall provide information reasonably necessary for the specified assessment under appropriate confidentiality and security terms. The assessor shall not use access for unrelated commercial development or personal-data collection.</w:t>
      </w:r>
    </w:p>
    <w:p>
      <w:pPr>
        <w:pStyle w:val="LegalBody"/>
      </w:pPr>
      <w:r>
        <w:rPr>
          <w:b/>
        </w:rPr>
        <w:t xml:space="preserve">(d) Methods. </w:t>
      </w:r>
      <w:r>
        <w:t>Reports shall identify tests, populations, assumptions, limitations, uncertainty, and unresolved questions. An overall label shall not replace a description of what was and was not examined.</w:t>
      </w:r>
    </w:p>
    <w:p>
      <w:pPr>
        <w:pStyle w:val="LegalBody"/>
      </w:pPr>
      <w:r>
        <w:rPr>
          <w:b/>
        </w:rPr>
        <w:t xml:space="preserve">(e) Accountability. </w:t>
      </w:r>
      <w:r>
        <w:t>Agencies may reject an inadequate assessment with reasons and permit correction. An assessor's approval is not legal immunity, and a negative assessment is not by itself a binding prohibition. Deliberate falsification or concealment may be referred under applicable law and addressed through contract or civil remedies authorized by title XXVIII.</w:t>
      </w:r>
    </w:p>
    <w:p>
      <w:bookmarkStart w:id="243" w:name="SEC_2209"/>
      <w:pPr>
        <w:pStyle w:val="Heading2"/>
      </w:pPr>
      <w:r>
        <w:t>SEC. 2209. PUBLIC PARTICIPATION, CONFIDENTIALITY, AND REVIEW.</w:t>
      </w:r>
      <w:bookmarkEnd w:id="243"/>
    </w:p>
    <w:p>
      <w:pPr>
        <w:pStyle w:val="LegalBody"/>
      </w:pPr>
      <w:r>
        <w:rPr>
          <w:b/>
        </w:rPr>
        <w:t xml:space="preserve">(a) Participation. </w:t>
      </w:r>
      <w:r>
        <w:t>For a proposed nonemergency restriction materially affecting access or livelihoods, the agency shall provide an accessible opportunity for affected persons, workers, developers, clinicians, and other relevant parties to submit evidence. Participation shall not become a referendum on an individual's rights.</w:t>
      </w:r>
    </w:p>
    <w:p>
      <w:pPr>
        <w:pStyle w:val="LegalBody"/>
      </w:pPr>
      <w:r>
        <w:rPr>
          <w:b/>
        </w:rPr>
        <w:t xml:space="preserve">(b) Record. </w:t>
      </w:r>
      <w:r>
        <w:t>The agency shall maintain a decision record identifying evidence, alternatives, legal authority, comments, responses, and uncertainties. A public version shall exclude protected personal data and legitimately confidential information while explaining the decision meaningfully.</w:t>
      </w:r>
    </w:p>
    <w:p>
      <w:pPr>
        <w:pStyle w:val="LegalBody"/>
      </w:pPr>
      <w:r>
        <w:rPr>
          <w:b/>
        </w:rPr>
        <w:t xml:space="preserve">(c) Trade secrets. </w:t>
      </w:r>
      <w:r>
        <w:t>Confidential business information shall be protected under applicable law. An entity shall specifically justify a confidentiality claim; a blanket assertion covering the entire assessment is insufficient. Protective access may be provided to a court or qualified reviewer.</w:t>
      </w:r>
    </w:p>
    <w:p>
      <w:pPr>
        <w:pStyle w:val="LegalBody"/>
      </w:pPr>
      <w:r>
        <w:rPr>
          <w:b/>
        </w:rPr>
        <w:t xml:space="preserve">(d) Judicial review. </w:t>
      </w:r>
      <w:r>
        <w:t>Final agency action remains reviewable under chapter 7 of title 5, United States Code, and specific relief under this title is subject to district-court jurisdiction. Courts shall exercise independent judgment on legal questions as required by law.</w:t>
      </w:r>
    </w:p>
    <w:p>
      <w:pPr>
        <w:pStyle w:val="LegalBody"/>
      </w:pPr>
      <w:r>
        <w:rPr>
          <w:b/>
        </w:rPr>
        <w:t xml:space="preserve">(e) No private veto. </w:t>
      </w:r>
      <w:r>
        <w:t>A complaint or public objection does not automatically stay deployment. An agency shall apply the statutory standard and shall not delegate binding authority to an advisory board, industry group, or private association.</w:t>
      </w:r>
    </w:p>
    <w:p>
      <w:bookmarkStart w:id="244" w:name="SEC_2210"/>
      <w:pPr>
        <w:pStyle w:val="Heading2"/>
      </w:pPr>
      <w:r>
        <w:t>SEC. 2210. REVIEW OF THE COMPATIBILITY SYSTEM.</w:t>
      </w:r>
      <w:bookmarkEnd w:id="244"/>
    </w:p>
    <w:p>
      <w:pPr>
        <w:pStyle w:val="LegalBody"/>
      </w:pPr>
      <w:r>
        <w:rPr>
          <w:b/>
        </w:rPr>
        <w:t xml:space="preserve">(a) Evaluation. </w:t>
      </w:r>
      <w:r>
        <w:t>After 3 years of operational implementation, the Director shall commission an independent evaluation of assessments, delays, corrective actions, benefits preserved, harms prevented where credibly measurable, compliance costs, and effects on small entities and research.</w:t>
      </w:r>
    </w:p>
    <w:p>
      <w:pPr>
        <w:pStyle w:val="LegalBody"/>
      </w:pPr>
      <w:r>
        <w:rPr>
          <w:b/>
        </w:rPr>
        <w:t xml:space="preserve">(b) Indicators. </w:t>
      </w:r>
      <w:r>
        <w:t>Reports shall distinguish filings, completed reviews, substantiated violations, emergency orders, court outcomes, and voluntary changes. The number of restrictions is not a performance target, and an absence of restrictions is not proof of success.</w:t>
      </w:r>
    </w:p>
    <w:p>
      <w:pPr>
        <w:pStyle w:val="LegalBody"/>
      </w:pPr>
      <w:r>
        <w:rPr>
          <w:b/>
        </w:rPr>
        <w:t xml:space="preserve">(c) Legal limits. </w:t>
      </w:r>
      <w:r>
        <w:t>Agencies shall identify requests for powers not conferred by this Act and refer them to Congress. A review shall not enlarge the closed categories or renew an expired suspension authority.</w:t>
      </w:r>
    </w:p>
    <w:p>
      <w:pPr>
        <w:pStyle w:val="LegalBody"/>
      </w:pPr>
      <w:r>
        <w:rPr>
          <w:b/>
        </w:rPr>
        <w:t xml:space="preserve">(d) Funding. </w:t>
      </w:r>
      <w:r>
        <w:t>Administration shall be financed from the technology safeguards account and applicable accountability resources in section 2903. Regulated entities bear their own ordinary compliance costs unless a specific authorized assistance program provides otherwise.</w:t>
      </w:r>
    </w:p>
    <w:p>
      <w:pPr>
        <w:pStyle w:val="LegalBody"/>
      </w:pPr>
      <w:r>
        <w:rPr>
          <w:b/>
        </w:rPr>
        <w:t xml:space="preserve">(e) Construction. </w:t>
      </w:r>
      <w:r>
        <w:t>The compatibility framework supplements defined rights and safety duties. It neither guarantees that innovation will be harmless nor establishes a presumption against progress. Every coercive action shall identify who must do what, the legal basis, the evidence, the duration, the review route, and the conditions for lifting the restriction.</w:t>
      </w:r>
    </w:p>
    <w:p>
      <w:bookmarkStart w:id="245" w:name="TITLE_XXIII"/>
      <w:pPr>
        <w:pStyle w:val="Heading1"/>
        <w:pageBreakBefore/>
      </w:pPr>
      <w:r>
        <w:t>TITLE XXIII. HUMAN DIGNITY IN INSTITUTIONS, PUBLIC SERVICES, AND EMERGENCIES</w:t>
      </w:r>
      <w:bookmarkEnd w:id="245"/>
    </w:p>
    <w:p>
      <w:bookmarkStart w:id="246" w:name="SEC_2301"/>
      <w:pPr>
        <w:pStyle w:val="Heading2"/>
      </w:pPr>
      <w:r>
        <w:t>SEC. 2301. COVERED INSTITUTIONS AND RESPONSIBLE AUTHORITIES.</w:t>
      </w:r>
      <w:bookmarkEnd w:id="246"/>
    </w:p>
    <w:p>
      <w:pPr>
        <w:pStyle w:val="LegalBody"/>
      </w:pPr>
      <w:r>
        <w:rPr>
          <w:b/>
        </w:rPr>
        <w:t xml:space="preserve">(a) Coverage. </w:t>
      </w:r>
      <w:r>
        <w:t>This title applies to Federal residential, custodial, medical, and emergency-service institutions and to activities financed under this Act in other institutions. It does not subject every State or private institution to Federal control merely because people reside there.</w:t>
      </w:r>
    </w:p>
    <w:p>
      <w:pPr>
        <w:pStyle w:val="LegalBody"/>
      </w:pPr>
      <w:r>
        <w:rPr>
          <w:b/>
        </w:rPr>
        <w:t xml:space="preserve">(b) Responsibility. </w:t>
      </w:r>
      <w:r>
        <w:t>The head of the Federal department operating an institution remains responsible for compliance. The Secretary shall coordinate health-related standards; the Attorney General, Secretary of Homeland Security, Secretary of Veterans Affairs, and other agency heads shall implement duties within their respective institutions and legal authorities.</w:t>
      </w:r>
    </w:p>
    <w:p>
      <w:pPr>
        <w:pStyle w:val="LegalBody"/>
      </w:pPr>
      <w:r>
        <w:rPr>
          <w:b/>
        </w:rPr>
        <w:t xml:space="preserve">(c) Minimum conditions. </w:t>
      </w:r>
      <w:r>
        <w:t>Covered institutions shall maintain lawful access to essential water, nutrition, sanitation, necessary healthcare, safe temperature, communication appropriate to the setting, and reasonable disability accommodation. This Act does not reduce any constitutional or statutory minimum.</w:t>
      </w:r>
    </w:p>
    <w:p>
      <w:pPr>
        <w:pStyle w:val="LegalBody"/>
      </w:pPr>
      <w:r>
        <w:rPr>
          <w:b/>
        </w:rPr>
        <w:t xml:space="preserve">(d) Limits. </w:t>
      </w:r>
      <w:r>
        <w:t>A restriction necessary for a lawful custodial or emergency purpose shall be individualized where practicable, proportionate, documented, and subject to the review required by law. Institutional convenience alone does not establish necessity.</w:t>
      </w:r>
    </w:p>
    <w:p>
      <w:pPr>
        <w:pStyle w:val="LegalBody"/>
      </w:pPr>
      <w:r>
        <w:rPr>
          <w:b/>
        </w:rPr>
        <w:t xml:space="preserve">(e) Funding. </w:t>
      </w:r>
      <w:r>
        <w:t>Improvements may be financed from the health, work and care, environment, or accountability accounts according to purpose and lawful availability. Lack of a discretionary award under this Act does not excuse a preexisting constitutional duty. This title creates no new authority to arrest, detain, search, commit, or impose medical treatment.</w:t>
      </w:r>
    </w:p>
    <w:p>
      <w:bookmarkStart w:id="247" w:name="SEC_2302"/>
      <w:pPr>
        <w:pStyle w:val="Heading2"/>
      </w:pPr>
      <w:r>
        <w:t>SEC. 2302. HUMAN ACCESS TO ESSENTIAL FEDERAL SERVICES.</w:t>
      </w:r>
      <w:bookmarkEnd w:id="247"/>
    </w:p>
    <w:p>
      <w:pPr>
        <w:pStyle w:val="LegalBody"/>
      </w:pPr>
      <w:r>
        <w:rPr>
          <w:b/>
        </w:rPr>
        <w:t xml:space="preserve">(a) Access route. </w:t>
      </w:r>
      <w:r>
        <w:t>A Federal agency administering an essential service shall maintain a reasonable route to a competent human for an unresolved problem involving eligibility, identity, disability access, material factual error, or service interruption. The route may be telephone, assisted digital, mail, or in-person according to the service.</w:t>
      </w:r>
    </w:p>
    <w:p>
      <w:pPr>
        <w:pStyle w:val="LegalBody"/>
      </w:pPr>
      <w:r>
        <w:rPr>
          <w:b/>
        </w:rPr>
        <w:t xml:space="preserve">(b) No digital-only exclusion. </w:t>
      </w:r>
      <w:r>
        <w:t>An individual shall not be denied access solely because the individual lacks a smartphone, broadband, biometric credential, commercial account, or ability to use an automated interface where an alternative lawful verification method is feasible.</w:t>
      </w:r>
    </w:p>
    <w:p>
      <w:pPr>
        <w:pStyle w:val="LegalBody"/>
      </w:pPr>
      <w:r>
        <w:rPr>
          <w:b/>
        </w:rPr>
        <w:t xml:space="preserve">(c) Service standards. </w:t>
      </w:r>
      <w:r>
        <w:t>Agencies shall publish expected response intervals, escalation criteria, and urgent procedures. A referral to another automated menu does not satisfy a promise of human review. Staff shall have authority or an effective referral path to resolve the issue.</w:t>
      </w:r>
    </w:p>
    <w:p>
      <w:pPr>
        <w:pStyle w:val="LegalBody"/>
      </w:pPr>
      <w:r>
        <w:rPr>
          <w:b/>
        </w:rPr>
        <w:t xml:space="preserve">(d) Existing law. </w:t>
      </w:r>
      <w:r>
        <w:t>This section supplements and does not alter substantive eligibility, statutory filing deadlines, jurisdictional limits, or notice and hearing rights under another law. Agencies shall provide reasonable assistance within those limits and shall not falsely advise that a technical failure changes a legal requirement.</w:t>
      </w:r>
    </w:p>
    <w:p>
      <w:pPr>
        <w:pStyle w:val="LegalBody"/>
      </w:pPr>
      <w:r>
        <w:rPr>
          <w:b/>
        </w:rPr>
        <w:t xml:space="preserve">(e) Evaluation. </w:t>
      </w:r>
      <w:r>
        <w:t>Reports shall include unresolved contacts, waiting, accessibility, repeat referrals, and actual resolution. Lower staffing cost or call volume shall not be treated as success where the reduction reflects abandonment of attempts to obtain a lawful service.</w:t>
      </w:r>
    </w:p>
    <w:p>
      <w:bookmarkStart w:id="248" w:name="SEC_2303"/>
      <w:pPr>
        <w:pStyle w:val="Heading2"/>
      </w:pPr>
      <w:r>
        <w:t>SEC. 2303. DIGNITY AND HEALTH IN FEDERAL CUSTODY.</w:t>
      </w:r>
      <w:bookmarkEnd w:id="248"/>
    </w:p>
    <w:p>
      <w:pPr>
        <w:pStyle w:val="LegalBody"/>
      </w:pPr>
      <w:r>
        <w:rPr>
          <w:b/>
        </w:rPr>
        <w:t xml:space="preserve">(a) Conditions. </w:t>
      </w:r>
      <w:r>
        <w:t>Federal custodial authorities shall assess access to necessary healthcare, medication continuity, disability support, sanitation, safe sleep conditions, movement consistent with security, and protection from abuse. An assessment shall identify actual operational deficiencies and a funded correction plan within existing and available new authority.</w:t>
      </w:r>
    </w:p>
    <w:p>
      <w:pPr>
        <w:pStyle w:val="LegalBody"/>
      </w:pPr>
      <w:r>
        <w:rPr>
          <w:b/>
        </w:rPr>
        <w:t xml:space="preserve">(b) Clinical independence. </w:t>
      </w:r>
      <w:r>
        <w:t>Qualified clinicians shall make clinical recommendations without pressure to disregard medical need for disciplinary convenience. Security officials may impose a lawful restriction but shall document the reason and consider a safe alternative for necessary care.</w:t>
      </w:r>
    </w:p>
    <w:p>
      <w:pPr>
        <w:pStyle w:val="LegalBody"/>
      </w:pPr>
      <w:r>
        <w:rPr>
          <w:b/>
        </w:rPr>
        <w:t xml:space="preserve">(c) Communication. </w:t>
      </w:r>
      <w:r>
        <w:t>Persons shall receive accessible information about health services, complaints, legal contact, and emergency assistance. Interpretation and communication aids shall be provided where required for meaningful access.</w:t>
      </w:r>
    </w:p>
    <w:p>
      <w:pPr>
        <w:pStyle w:val="LegalBody"/>
      </w:pPr>
      <w:r>
        <w:rPr>
          <w:b/>
        </w:rPr>
        <w:t xml:space="preserve">(d) Research and technology. </w:t>
      </w:r>
      <w:r>
        <w:t>Custody shall not be used to secure coerced participation in research, neural monitoring, genetic testing, or nontherapeutic intervention. Applicable additional research protections for prisoners and other vulnerable persons remain controlling.</w:t>
      </w:r>
    </w:p>
    <w:p>
      <w:pPr>
        <w:pStyle w:val="LegalBody"/>
      </w:pPr>
      <w:r>
        <w:rPr>
          <w:b/>
        </w:rPr>
        <w:t xml:space="preserve">(e) Limits and review. </w:t>
      </w:r>
      <w:r>
        <w:t>This section does not determine release, immigration status, sentence, or the merits of a criminal case. Existing exhaustion, habeas, jurisdictional, and judicial-review provisions remain applicable. A private remedy arises only where expressly provided by law; the Act does not create a new damages action against individual Federal officers by implication.</w:t>
      </w:r>
    </w:p>
    <w:p>
      <w:bookmarkStart w:id="249" w:name="SEC_2304"/>
      <w:pPr>
        <w:pStyle w:val="Heading2"/>
      </w:pPr>
      <w:r>
        <w:t>SEC. 2304. RESIDENTIAL CARE, COMMUNICATION, AND PERSONAL LIFE.</w:t>
      </w:r>
      <w:bookmarkEnd w:id="249"/>
    </w:p>
    <w:p>
      <w:pPr>
        <w:pStyle w:val="LegalBody"/>
      </w:pPr>
      <w:r>
        <w:rPr>
          <w:b/>
        </w:rPr>
        <w:t xml:space="preserve">(a) Covered services. </w:t>
      </w:r>
      <w:r>
        <w:t>A residential program financed under this Act shall provide reasonable privacy, access to personal possessions, communication with chosen persons, meaningful activity, and participation in care planning, subject to individualized lawful safety limits.</w:t>
      </w:r>
    </w:p>
    <w:p>
      <w:pPr>
        <w:pStyle w:val="LegalBody"/>
      </w:pPr>
      <w:r>
        <w:rPr>
          <w:b/>
        </w:rPr>
        <w:t xml:space="preserve">(b) Restrictions. </w:t>
      </w:r>
      <w:r>
        <w:t>A restriction shall identify the risk, less restrictive alternatives, duration, and review date. A blanket rule shall be assessed for whether it is necessary for all residents or merely simplifies administration.</w:t>
      </w:r>
    </w:p>
    <w:p>
      <w:pPr>
        <w:pStyle w:val="LegalBody"/>
      </w:pPr>
      <w:r>
        <w:rPr>
          <w:b/>
        </w:rPr>
        <w:t xml:space="preserve">(c) Communication. </w:t>
      </w:r>
      <w:r>
        <w:t>Residents shall have confidential access to complaint, advocacy, and legal-assistance channels. Staff shall not monitor a protected communication or remove an assistive device to prevent reporting.</w:t>
      </w:r>
    </w:p>
    <w:p>
      <w:pPr>
        <w:pStyle w:val="LegalBody"/>
      </w:pPr>
      <w:r>
        <w:rPr>
          <w:b/>
        </w:rPr>
        <w:t xml:space="preserve">(d) Relationships. </w:t>
      </w:r>
      <w:r>
        <w:t>Programs shall respect lawful relationships and personal choices. A resident's age or disability does not by itself justify prohibition of all intimacy, visitors, or private communication. Applicable consent, safeguarding, and facility law remain controlling.</w:t>
      </w:r>
    </w:p>
    <w:p>
      <w:pPr>
        <w:pStyle w:val="LegalBody"/>
      </w:pPr>
      <w:r>
        <w:rPr>
          <w:b/>
        </w:rPr>
        <w:t xml:space="preserve">(e) Evaluation. </w:t>
      </w:r>
      <w:r>
        <w:t>Oversight shall include direct accessible input from residents, not only management reports. Inspections shall examine actual conditions, staff practices, and complaint outcomes. A program shall not stage temporary improvements solely for inspection or retaliate against a resident or worker who provides accurate information about ordinary conditions.</w:t>
      </w:r>
    </w:p>
    <w:p>
      <w:bookmarkStart w:id="250" w:name="SEC_2305"/>
      <w:pPr>
        <w:pStyle w:val="Heading2"/>
      </w:pPr>
      <w:r>
        <w:t>SEC. 2305. DISASTER SHELTERS AND CONTINUITY OF HUMAN NEEDS.</w:t>
      </w:r>
      <w:bookmarkEnd w:id="250"/>
    </w:p>
    <w:p>
      <w:pPr>
        <w:pStyle w:val="LegalBody"/>
      </w:pPr>
      <w:r>
        <w:rPr>
          <w:b/>
        </w:rPr>
        <w:t xml:space="preserve">(a) Plans. </w:t>
      </w:r>
      <w:r>
        <w:t>Federal emergency programs and recipients using assistance for shelters shall plan for water, food, sanitation, sleep, temperature, accessibility, essential medication, communication, privacy, and safeguarding. Plans shall account for children, older persons, disability, pregnancy, language, and people separated from support networks.</w:t>
      </w:r>
    </w:p>
    <w:p>
      <w:pPr>
        <w:pStyle w:val="LegalBody"/>
      </w:pPr>
      <w:r>
        <w:rPr>
          <w:b/>
        </w:rPr>
        <w:t xml:space="preserve">(b) Access. </w:t>
      </w:r>
      <w:r>
        <w:t>Shelter procedures shall use lawful eligibility and security requirements without unnecessary documentation barriers. A person shall not be required to disclose unrelated medical or immigration information where it is not necessary for the service.</w:t>
      </w:r>
    </w:p>
    <w:p>
      <w:pPr>
        <w:pStyle w:val="LegalBody"/>
      </w:pPr>
      <w:r>
        <w:rPr>
          <w:b/>
        </w:rPr>
        <w:t xml:space="preserve">(c) Continuity. </w:t>
      </w:r>
      <w:r>
        <w:t>Plans shall identify backup power for essential devices, refrigeration where medically needed, transport, referral, and continuity of caregiving. A service animal shall be accommodated as required by law.</w:t>
      </w:r>
    </w:p>
    <w:p>
      <w:pPr>
        <w:pStyle w:val="LegalBody"/>
      </w:pPr>
      <w:r>
        <w:rPr>
          <w:b/>
        </w:rPr>
        <w:t xml:space="preserve">(d) Safety. </w:t>
      </w:r>
      <w:r>
        <w:t>Staff shall have procedures for abuse, harassment, missing persons, urgent clinical needs, and confidential help. Public announcements shall not disclose a person's sensitive status unnecessarily.</w:t>
      </w:r>
    </w:p>
    <w:p>
      <w:pPr>
        <w:pStyle w:val="LegalBody"/>
      </w:pPr>
      <w:r>
        <w:rPr>
          <w:b/>
        </w:rPr>
        <w:t xml:space="preserve">(e) Evaluation. </w:t>
      </w:r>
      <w:r>
        <w:t>After a material activation, the responsible agency shall assess access failures, unmet needs, operational costs, and corrective actions. An emergency does not eliminate privacy, consent, or nondiscrimination duties except to the extent a specific lawful emergency authority permits a necessary and proportionate deviation.</w:t>
      </w:r>
    </w:p>
    <w:p>
      <w:bookmarkStart w:id="251" w:name="SEC_2306"/>
      <w:pPr>
        <w:pStyle w:val="Heading2"/>
      </w:pPr>
      <w:r>
        <w:t>SEC. 2306. RELOCATION, DISPLACEMENT, AND SERVICE CONTINUITY.</w:t>
      </w:r>
      <w:bookmarkEnd w:id="251"/>
    </w:p>
    <w:p>
      <w:pPr>
        <w:pStyle w:val="LegalBody"/>
      </w:pPr>
      <w:r>
        <w:rPr>
          <w:b/>
        </w:rPr>
        <w:t xml:space="preserve">(a) Coordination. </w:t>
      </w:r>
      <w:r>
        <w:t>Programs may support continuity when people are displaced by disaster, housing loss, institutional closure, or other disruption within an authorized service. Assistance shall identify records, medication, communication, schooling, equipment, and trusted contacts needed for transition.</w:t>
      </w:r>
    </w:p>
    <w:p>
      <w:pPr>
        <w:pStyle w:val="LegalBody"/>
      </w:pPr>
      <w:r>
        <w:rPr>
          <w:b/>
        </w:rPr>
        <w:t xml:space="preserve">(b) Individual planning. </w:t>
      </w:r>
      <w:r>
        <w:t>A plan shall consider the person's preferences, disability, family and chosen support, transport, and actual availability of the receiving service. A referral is not a completed transition where the destination cannot accept or support the person.</w:t>
      </w:r>
    </w:p>
    <w:p>
      <w:pPr>
        <w:pStyle w:val="LegalBody"/>
      </w:pPr>
      <w:r>
        <w:rPr>
          <w:b/>
        </w:rPr>
        <w:t xml:space="preserve">(c) Records. </w:t>
      </w:r>
      <w:r>
        <w:t>Information shall be transferred through a lawful, secure process, with minimum necessary disclosure. A missing digital account shall not prevent access to essential information where an authorized alternative can establish identity.</w:t>
      </w:r>
    </w:p>
    <w:p>
      <w:pPr>
        <w:pStyle w:val="LegalBody"/>
      </w:pPr>
      <w:r>
        <w:rPr>
          <w:b/>
        </w:rPr>
        <w:t xml:space="preserve">(d) Legal status. </w:t>
      </w:r>
      <w:r>
        <w:t>This section does not create immigration status, alter asylum procedures, or expand benefit eligibility. Agencies shall provide accurate information and refer legal questions to qualified assistance rather than infer an entitlement from a humanitarian purpose.</w:t>
      </w:r>
    </w:p>
    <w:p>
      <w:pPr>
        <w:pStyle w:val="LegalBody"/>
      </w:pPr>
      <w:r>
        <w:rPr>
          <w:b/>
        </w:rPr>
        <w:t xml:space="preserve">(e) Accountability. </w:t>
      </w:r>
      <w:r>
        <w:t>Recipients shall track failed handoffs, avoidable interruption, and complaints. A closure or evacuation shall not be declared complete until responsibility for affected persons and essential records is identified, subject to the institution's actual legal duties and available emergency authority.</w:t>
      </w:r>
    </w:p>
    <w:p>
      <w:bookmarkStart w:id="252" w:name="SEC_2307"/>
      <w:pPr>
        <w:pStyle w:val="Heading2"/>
      </w:pPr>
      <w:r>
        <w:t>SEC. 2307. EMERGENCY POWERS, NECESSITY, AND RIGHTS.</w:t>
      </w:r>
      <w:bookmarkEnd w:id="252"/>
    </w:p>
    <w:p>
      <w:pPr>
        <w:pStyle w:val="LegalBody"/>
      </w:pPr>
      <w:r>
        <w:rPr>
          <w:b/>
        </w:rPr>
        <w:t xml:space="preserve">(a) No new general power. </w:t>
      </w:r>
      <w:r>
        <w:t>This Act does not confer a general emergency authority to suspend civil liberties, compel association, restrict lawful speech, impose quarantine, or collect sensitive information. Any such action requires a separate specific legal basis.</w:t>
      </w:r>
    </w:p>
    <w:p>
      <w:pPr>
        <w:pStyle w:val="LegalBody"/>
      </w:pPr>
      <w:r>
        <w:rPr>
          <w:b/>
        </w:rPr>
        <w:t xml:space="preserve">(b) Covered actions. </w:t>
      </w:r>
      <w:r>
        <w:t>An agency using assistance under this Act during an emergency shall identify the legal authority, purpose, affected population, necessity, duration, and review route for a material restriction. The agency shall use a less intrusive feasible alternative where consistent with the governing law.</w:t>
      </w:r>
    </w:p>
    <w:p>
      <w:pPr>
        <w:pStyle w:val="LegalBody"/>
      </w:pPr>
      <w:r>
        <w:rPr>
          <w:b/>
        </w:rPr>
        <w:t xml:space="preserve">(c) Time limits. </w:t>
      </w:r>
      <w:r>
        <w:t>Temporary administrative measures shall include an expiration or review date. Continuation shall require a documented reassessment rather than automatic renewal based solely on the original declaration.</w:t>
      </w:r>
    </w:p>
    <w:p>
      <w:pPr>
        <w:pStyle w:val="LegalBody"/>
      </w:pPr>
      <w:r>
        <w:rPr>
          <w:b/>
        </w:rPr>
        <w:t xml:space="preserve">(d) Data. </w:t>
      </w:r>
      <w:r>
        <w:t>Emergency collection shall be limited to the response need. Data shall not be retained for unrelated profiling after the purpose ends without a separate lawful basis. Necessary records for audit, public health, or legal accountability may be preserved with appropriate restrictions.</w:t>
      </w:r>
    </w:p>
    <w:p>
      <w:pPr>
        <w:pStyle w:val="LegalBody"/>
      </w:pPr>
      <w:r>
        <w:rPr>
          <w:b/>
        </w:rPr>
        <w:t xml:space="preserve">(e) Review. </w:t>
      </w:r>
      <w:r>
        <w:t>Agencies shall publish a post-emergency account of material measures, effects, costs, and rights concerns. Protected information may be withheld under law, but a generalized security claim shall not conceal the existence of a restriction or prevent lawful judicial and legislative oversight.</w:t>
      </w:r>
    </w:p>
    <w:p>
      <w:bookmarkStart w:id="253" w:name="SEC_2308"/>
      <w:pPr>
        <w:pStyle w:val="Heading2"/>
      </w:pPr>
      <w:r>
        <w:t>SEC. 2308. INSTITUTIONAL WORKFORCE AND HUMAN CONTACT.</w:t>
      </w:r>
      <w:bookmarkEnd w:id="253"/>
    </w:p>
    <w:p>
      <w:pPr>
        <w:pStyle w:val="LegalBody"/>
      </w:pPr>
      <w:r>
        <w:rPr>
          <w:b/>
        </w:rPr>
        <w:t xml:space="preserve">(a) Capacity. </w:t>
      </w:r>
      <w:r>
        <w:t>A covered institution shall assess whether staffing, training, supervision, and schedules are sufficient to deliver legally required care and services. A grant may support correction of documented capacity gaps within available resources.</w:t>
      </w:r>
    </w:p>
    <w:p>
      <w:pPr>
        <w:pStyle w:val="LegalBody"/>
      </w:pPr>
      <w:r>
        <w:rPr>
          <w:b/>
        </w:rPr>
        <w:t xml:space="preserve">(b) Technology. </w:t>
      </w:r>
      <w:r>
        <w:t>Automation may assist scheduling, records, logistics, communication, and care, but shall not be treated as equivalent to necessary human judgment or contact without appropriate evidence. Residents and users shall have a route to a responsible person when a system fails.</w:t>
      </w:r>
    </w:p>
    <w:p>
      <w:pPr>
        <w:pStyle w:val="LegalBody"/>
      </w:pPr>
      <w:r>
        <w:rPr>
          <w:b/>
        </w:rPr>
        <w:t xml:space="preserve">(c) Staff conditions. </w:t>
      </w:r>
      <w:r>
        <w:t>Programs shall consider fatigue, injury, harassment, moral distress, and administrative burden. A staff wellness activity shall not substitute for correction of unsafe conditions or unlawful work practices.</w:t>
      </w:r>
    </w:p>
    <w:p>
      <w:pPr>
        <w:pStyle w:val="LegalBody"/>
      </w:pPr>
      <w:r>
        <w:rPr>
          <w:b/>
        </w:rPr>
        <w:t xml:space="preserve">(d) Training. </w:t>
      </w:r>
      <w:r>
        <w:t>Personnel shall receive practical preparation for accessibility, de-escalation, consent, confidentiality, cultural and language needs, and reporting. Training shall be evaluated through competence and practice rather than attendance alone.</w:t>
      </w:r>
    </w:p>
    <w:p>
      <w:pPr>
        <w:pStyle w:val="LegalBody"/>
      </w:pPr>
      <w:r>
        <w:rPr>
          <w:b/>
        </w:rPr>
        <w:t xml:space="preserve">(e) Evaluation. </w:t>
      </w:r>
      <w:r>
        <w:t>Reports shall include missed care, turnover, vacancies, complaints, and service interruptions. Staffing reductions attributed to technology shall be supported by evidence that required services remain available and safe. Institutions shall not count remote monitoring as direct care where the person needs physical assistance or a meaningful human response.</w:t>
      </w:r>
    </w:p>
    <w:p>
      <w:bookmarkStart w:id="254" w:name="SEC_2309"/>
      <w:pPr>
        <w:pStyle w:val="Heading2"/>
      </w:pPr>
      <w:r>
        <w:t>SEC. 2309. INSPECTION, COMPLAINTS, AND INDEPENDENT ACCESS.</w:t>
      </w:r>
      <w:bookmarkEnd w:id="254"/>
    </w:p>
    <w:p>
      <w:pPr>
        <w:pStyle w:val="LegalBody"/>
      </w:pPr>
      <w:r>
        <w:rPr>
          <w:b/>
        </w:rPr>
        <w:t xml:space="preserve">(a) Oversight. </w:t>
      </w:r>
      <w:r>
        <w:t>Existing Inspectors General, ombudsmen, licensing bodies, and other authorized oversight entities retain access and authority. Award conditions shall permit inspection of funded activities and relevant records consistent with privacy and legal protections.</w:t>
      </w:r>
    </w:p>
    <w:p>
      <w:pPr>
        <w:pStyle w:val="LegalBody"/>
      </w:pPr>
      <w:r>
        <w:rPr>
          <w:b/>
        </w:rPr>
        <w:t xml:space="preserve">(b) Complaints. </w:t>
      </w:r>
      <w:r>
        <w:t>Residents, users, families where authorized, workers, and advocates may report concerns through accessible confidential channels. A person shall not be required to complain first to an alleged abuser or waive another remedy.</w:t>
      </w:r>
    </w:p>
    <w:p>
      <w:pPr>
        <w:pStyle w:val="LegalBody"/>
      </w:pPr>
      <w:r>
        <w:rPr>
          <w:b/>
        </w:rPr>
        <w:t xml:space="preserve">(c) Evidence. </w:t>
      </w:r>
      <w:r>
        <w:t>Investigators shall preserve records, interview affected persons where appropriate, and distinguish verified findings from allegations. A lack of written documentation shall not automatically defeat a credible complaint where the institution controlled the records.</w:t>
      </w:r>
    </w:p>
    <w:p>
      <w:pPr>
        <w:pStyle w:val="LegalBody"/>
      </w:pPr>
      <w:r>
        <w:rPr>
          <w:b/>
        </w:rPr>
        <w:t xml:space="preserve">(d) Correction. </w:t>
      </w:r>
      <w:r>
        <w:t>Findings shall identify the responsible party, required action, deadline, and follow-up. Serious ongoing harm may justify immediate protective action under applicable law, with prompt process and continuity measures.</w:t>
      </w:r>
    </w:p>
    <w:p>
      <w:pPr>
        <w:pStyle w:val="LegalBody"/>
      </w:pPr>
      <w:r>
        <w:rPr>
          <w:b/>
        </w:rPr>
        <w:t xml:space="preserve">(e) Transparency. </w:t>
      </w:r>
      <w:r>
        <w:t>Public summaries shall describe systemic findings and correction without identifying complainants or disclosing protected clinical information. Agencies shall not publish a simplistic institutional human-worth ranking. Oversight shall concern lawful conditions, service quality, and rights, not whether residents display a preferred emotional or social behavior.</w:t>
      </w:r>
    </w:p>
    <w:p>
      <w:bookmarkStart w:id="255" w:name="SEC_2310"/>
      <w:pPr>
        <w:pStyle w:val="Heading2"/>
      </w:pPr>
      <w:r>
        <w:t>SEC. 2310. INSTITUTIONAL REVIEW AND FUNDING LIMITS.</w:t>
      </w:r>
      <w:bookmarkEnd w:id="255"/>
    </w:p>
    <w:p>
      <w:pPr>
        <w:pStyle w:val="LegalBody"/>
      </w:pPr>
      <w:r>
        <w:rPr>
          <w:b/>
        </w:rPr>
        <w:t xml:space="preserve">(a) Review. </w:t>
      </w:r>
      <w:r>
        <w:t>The Director shall coordinate a 3-year review of institutional and public-service implementation, including access, health continuity, privacy, staffing, technology, complaints, and emergency readiness.</w:t>
      </w:r>
    </w:p>
    <w:p>
      <w:pPr>
        <w:pStyle w:val="LegalBody"/>
      </w:pPr>
      <w:r>
        <w:rPr>
          <w:b/>
        </w:rPr>
        <w:t xml:space="preserve">(b) Costs. </w:t>
      </w:r>
      <w:r>
        <w:t>Reports shall distinguish existing legal obligations, new duties under this Act, grant-financed improvements, and unmet resource needs. Agencies shall not count a previously required constitutional protection as a newly created discretionary benefit.</w:t>
      </w:r>
    </w:p>
    <w:p>
      <w:pPr>
        <w:pStyle w:val="LegalBody"/>
      </w:pPr>
      <w:r>
        <w:rPr>
          <w:b/>
        </w:rPr>
        <w:t xml:space="preserve">(c) Corrective planning. </w:t>
      </w:r>
      <w:r>
        <w:t>Where an agency identifies a duty it cannot meet with available resources, it shall take lawful immediate protective steps, seek available reprogramming or appropriations as permitted, and report the shortfall. This subsection does not authorize expenditure in violation of appropriations law or excuse an enforceable legal duty.</w:t>
      </w:r>
    </w:p>
    <w:p>
      <w:pPr>
        <w:pStyle w:val="LegalBody"/>
      </w:pPr>
      <w:r>
        <w:rPr>
          <w:b/>
        </w:rPr>
        <w:t xml:space="preserve">(d) Legal preservation. </w:t>
      </w:r>
      <w:r>
        <w:t>Existing causes of action, immunity, exhaustion, jurisdictional rules, and remedies remain as provided by law except for the express provisions of title XXVIII. No broad waiver or new detention authority shall be inferred.</w:t>
      </w:r>
    </w:p>
    <w:p>
      <w:pPr>
        <w:pStyle w:val="LegalBody"/>
      </w:pPr>
      <w:r>
        <w:rPr>
          <w:b/>
        </w:rPr>
        <w:t xml:space="preserve">(e) Continuity. </w:t>
      </w:r>
      <w:r>
        <w:t>Programs ending under the funding sunset shall preserve records, lawful complaint routes, and transition responsibilities. The end of a grant does not end an institution's independent obligations to persons in its custody or care.</w:t>
      </w:r>
    </w:p>
    <w:p>
      <w:bookmarkStart w:id="256" w:name="TITLE_XXIV"/>
      <w:pPr>
        <w:pStyle w:val="Heading1"/>
        <w:pageBreakBefore/>
      </w:pPr>
      <w:r>
        <w:t>TITLE XXIV. GLOBAL COOPERATION, SHARED KNOWLEDGE, AND FUTURE GENERATIONS</w:t>
      </w:r>
      <w:bookmarkEnd w:id="256"/>
    </w:p>
    <w:p>
      <w:bookmarkStart w:id="257" w:name="SEC_2401"/>
      <w:pPr>
        <w:pStyle w:val="Heading2"/>
      </w:pPr>
      <w:r>
        <w:t>SEC. 2401. INTERNATIONAL HUMAN CAPABILITY PARTNERSHIPS.</w:t>
      </w:r>
      <w:bookmarkEnd w:id="257"/>
    </w:p>
    <w:p>
      <w:pPr>
        <w:pStyle w:val="LegalBody"/>
      </w:pPr>
      <w:r>
        <w:rPr>
          <w:b/>
        </w:rPr>
        <w:t xml:space="preserve">(a) Program. </w:t>
      </w:r>
      <w:r>
        <w:t>The Secretary of State, in coordination with agencies possessing relevant lawful foreign-assistance and scientific authority, may establish cooperative programs concerning human development, public health, accessible environments, research ethics, responsible technology, and institutional capacity.</w:t>
      </w:r>
    </w:p>
    <w:p>
      <w:pPr>
        <w:pStyle w:val="LegalBody"/>
      </w:pPr>
      <w:r>
        <w:rPr>
          <w:b/>
        </w:rPr>
        <w:t xml:space="preserve">(b) Scope. </w:t>
      </w:r>
      <w:r>
        <w:t>Assistance may support joint research, training, technical cooperation, local delivery capacity, translation, and shared evaluation. Programs shall be undertaken through lawful grants, contracts, or agreements and shall respect host-country law and applicable United States restrictions.</w:t>
      </w:r>
    </w:p>
    <w:p>
      <w:pPr>
        <w:pStyle w:val="LegalBody"/>
      </w:pPr>
      <w:r>
        <w:rPr>
          <w:b/>
        </w:rPr>
        <w:t xml:space="preserve">(c) No global jurisdiction. </w:t>
      </w:r>
      <w:r>
        <w:t>This title does not create a world legislature, impose United States domestic law on every foreign person, or authorize an international body to exercise Federal regulatory power. Domestic implementation of any international commitment shall follow the Constitution and applicable statutes.</w:t>
      </w:r>
    </w:p>
    <w:p>
      <w:pPr>
        <w:pStyle w:val="LegalBody"/>
      </w:pPr>
      <w:r>
        <w:rPr>
          <w:b/>
        </w:rPr>
        <w:t xml:space="preserve">(d) Funding. </w:t>
      </w:r>
      <w:r>
        <w:t>Activities shall be financed from the global cooperation account in section 2903. Existing foreign-assistance, sanctions, procurement, export, and human-rights conditions remain applicable unless expressly amended, which this title does not do.</w:t>
      </w:r>
    </w:p>
    <w:p>
      <w:pPr>
        <w:pStyle w:val="LegalBody"/>
      </w:pPr>
      <w:r>
        <w:rPr>
          <w:b/>
        </w:rPr>
        <w:t xml:space="preserve">(e) Purpose. </w:t>
      </w:r>
      <w:r>
        <w:t>Partnerships shall identify reciprocal benefits, local priorities, responsible institutions, measurable deliverables, and sustainability. A project shall not be justified solely by exporting a United States institutional model without assessing whether it fits the receiving legal, cultural, economic, and environmental setting.</w:t>
      </w:r>
    </w:p>
    <w:p>
      <w:bookmarkStart w:id="258" w:name="SEC_2402"/>
      <w:pPr>
        <w:pStyle w:val="Heading2"/>
      </w:pPr>
      <w:r>
        <w:t>SEC. 2402. EQUITABLE RESEARCH PARTNERSHIPS AND LOCAL CAPACITY.</w:t>
      </w:r>
      <w:bookmarkEnd w:id="258"/>
    </w:p>
    <w:p>
      <w:pPr>
        <w:pStyle w:val="LegalBody"/>
      </w:pPr>
      <w:r>
        <w:rPr>
          <w:b/>
        </w:rPr>
        <w:t xml:space="preserve">(a) Participation. </w:t>
      </w:r>
      <w:r>
        <w:t>International research supported under this Act shall include meaningful participation by qualified institutions and researchers in the settings where data are collected or interventions occur. Participation shall extend, where appropriate, to question formation, methods, analysis, authorship, and access to results.</w:t>
      </w:r>
    </w:p>
    <w:p>
      <w:pPr>
        <w:pStyle w:val="LegalBody"/>
      </w:pPr>
      <w:r>
        <w:rPr>
          <w:b/>
        </w:rPr>
        <w:t xml:space="preserve">(b) Resources. </w:t>
      </w:r>
      <w:r>
        <w:t>A partnership budget shall identify local personnel, infrastructure, training, administration, and long-term stewardship. At least 40 percent of an international partnership award shall ordinarily support implementation and capacity in partner-country institutions. The Secretary of State may approve a documented exception where specialized facilities, safety, or feasibility require a different allocation.</w:t>
      </w:r>
    </w:p>
    <w:p>
      <w:pPr>
        <w:pStyle w:val="LegalBody"/>
      </w:pPr>
      <w:r>
        <w:rPr>
          <w:b/>
        </w:rPr>
        <w:t xml:space="preserve">(c) Fair terms. </w:t>
      </w:r>
      <w:r>
        <w:t>Agreements shall specify intellectual contribution, compensation, data access, publication, equipment ownership, dispute resolution, and responsibilities after funding ends. A foreign institution shall not be treated solely as a recruitment site or source of biological material.</w:t>
      </w:r>
    </w:p>
    <w:p>
      <w:pPr>
        <w:pStyle w:val="LegalBody"/>
      </w:pPr>
      <w:r>
        <w:rPr>
          <w:b/>
        </w:rPr>
        <w:t xml:space="preserve">(d) Ethics. </w:t>
      </w:r>
      <w:r>
        <w:t>Applicable United States funding protections and host-country review shall be satisfied before research begins. A lower-cost jurisdiction shall not be used to avoid consent, safety, or participant protections.</w:t>
      </w:r>
    </w:p>
    <w:p>
      <w:pPr>
        <w:pStyle w:val="LegalBody"/>
      </w:pPr>
      <w:r>
        <w:rPr>
          <w:b/>
        </w:rPr>
        <w:t xml:space="preserve">(e) Evaluation. </w:t>
      </w:r>
      <w:r>
        <w:t>Reports shall assess durable capacity, scientific contribution, access to findings, and fulfillment of commitments. Counting foreign participants or coauthors alone shall not establish an equitable partnership where actual decision authority and resources remain entirely elsewhere.</w:t>
      </w:r>
    </w:p>
    <w:p>
      <w:bookmarkStart w:id="259" w:name="SEC_2403"/>
      <w:pPr>
        <w:pStyle w:val="Heading2"/>
      </w:pPr>
      <w:r>
        <w:t>SEC. 2403. COMPARATIVE LAW AND CONTEXT-SENSITIVE ADAPTATION.</w:t>
      </w:r>
      <w:bookmarkEnd w:id="259"/>
    </w:p>
    <w:p>
      <w:pPr>
        <w:pStyle w:val="LegalBody"/>
      </w:pPr>
      <w:r>
        <w:rPr>
          <w:b/>
        </w:rPr>
        <w:t xml:space="preserve">(a) Research. </w:t>
      </w:r>
      <w:r>
        <w:t>Agencies may commission comparative analysis of relevant legal and institutional models, including well-being duties, work and rest protections, social-connection policy, digital rights, neurotechnology, disability, public health, and data governance.</w:t>
      </w:r>
    </w:p>
    <w:p>
      <w:pPr>
        <w:pStyle w:val="LegalBody"/>
      </w:pPr>
      <w:r>
        <w:rPr>
          <w:b/>
        </w:rPr>
        <w:t xml:space="preserve">(b) Required distinctions. </w:t>
      </w:r>
      <w:r>
        <w:t>An analysis shall identify jurisdiction, legal instrument, effective date, scope, enforcement, funding, institutional context, and evidence of implementation. A bill, recommendation, voluntary framework, treaty, and enacted statute shall not be described interchangeably.</w:t>
      </w:r>
    </w:p>
    <w:p>
      <w:pPr>
        <w:pStyle w:val="LegalBody"/>
      </w:pPr>
      <w:r>
        <w:rPr>
          <w:b/>
        </w:rPr>
        <w:t xml:space="preserve">(c) Transferability. </w:t>
      </w:r>
      <w:r>
        <w:t>Studies shall assess constitutional authority, administrative capacity, fiscal conditions, cultural and linguistic context, enforcement incentives, and unintended effects. Adoption elsewhere does not prove effectiveness or constitutional validity in the United States.</w:t>
      </w:r>
    </w:p>
    <w:p>
      <w:pPr>
        <w:pStyle w:val="LegalBody"/>
      </w:pPr>
      <w:r>
        <w:rPr>
          <w:b/>
        </w:rPr>
        <w:t xml:space="preserve">(d) Public materials. </w:t>
      </w:r>
      <w:r>
        <w:t>The Secretary of State may publish adaptation guides explaining which provisions of this Act are specific to the United States and which functions could be implemented through different lawful institutions. Guides shall not claim that a single text can be transplanted without legal review.</w:t>
      </w:r>
    </w:p>
    <w:p>
      <w:pPr>
        <w:pStyle w:val="LegalBody"/>
      </w:pPr>
      <w:r>
        <w:rPr>
          <w:b/>
        </w:rPr>
        <w:t xml:space="preserve">(e) Independence. </w:t>
      </w:r>
      <w:r>
        <w:t>Comparative research shall include documented limitations and differing results without assigning an overall political ranking to countries or systems. It may compare concrete mechanisms and evidence. Recommendations for domestic legal change remain recommendations until enacted through the appropriate legislative process.</w:t>
      </w:r>
    </w:p>
    <w:p>
      <w:bookmarkStart w:id="260" w:name="SEC_2404"/>
      <w:pPr>
        <w:pStyle w:val="Heading2"/>
      </w:pPr>
      <w:r>
        <w:t>SEC. 2404. GLOBAL HEALTH, DEVELOPMENT, AND ONE HEALTH COOPERATION.</w:t>
      </w:r>
      <w:bookmarkEnd w:id="260"/>
    </w:p>
    <w:p>
      <w:pPr>
        <w:pStyle w:val="LegalBody"/>
      </w:pPr>
      <w:r>
        <w:rPr>
          <w:b/>
        </w:rPr>
        <w:t xml:space="preserve">(a) Activities. </w:t>
      </w:r>
      <w:r>
        <w:t>Partnerships may support primary-care capacity, maternal and child health, mental-health services, disability access, nutrition, safe water, workforce, disease prevention, and One Health coordination where consistent with lawful foreign-assistance purposes.</w:t>
      </w:r>
    </w:p>
    <w:p>
      <w:pPr>
        <w:pStyle w:val="LegalBody"/>
      </w:pPr>
      <w:r>
        <w:rPr>
          <w:b/>
        </w:rPr>
        <w:t xml:space="preserve">(b) Local systems. </w:t>
      </w:r>
      <w:r>
        <w:t>Projects shall strengthen sustainable local institutions and avoid parallel delivery systems that cannot continue after external funding ends. Where emergency parallel services are necessary, the agreement shall identify transition and integration arrangements.</w:t>
      </w:r>
    </w:p>
    <w:p>
      <w:pPr>
        <w:pStyle w:val="LegalBody"/>
      </w:pPr>
      <w:r>
        <w:rPr>
          <w:b/>
        </w:rPr>
        <w:t xml:space="preserve">(c) Workforce. </w:t>
      </w:r>
      <w:r>
        <w:t>Programs shall assess whether recruitment or procurement would weaken essential local capacity. Training and exchange shall include return, retention, or reciprocal arrangements where appropriate and voluntary, without restricting a person's lawful mobility.</w:t>
      </w:r>
    </w:p>
    <w:p>
      <w:pPr>
        <w:pStyle w:val="LegalBody"/>
      </w:pPr>
      <w:r>
        <w:rPr>
          <w:b/>
        </w:rPr>
        <w:t xml:space="preserve">(d) Evidence. </w:t>
      </w:r>
      <w:r>
        <w:t>Interventions shall be adapted and evaluated for the setting. A result from a high-income urban system shall not be presumed applicable where transport, staffing, language, financing, or disease patterns differ materially.</w:t>
      </w:r>
    </w:p>
    <w:p>
      <w:pPr>
        <w:pStyle w:val="LegalBody"/>
      </w:pPr>
      <w:r>
        <w:rPr>
          <w:b/>
        </w:rPr>
        <w:t xml:space="preserve">(e) Accountability. </w:t>
      </w:r>
      <w:r>
        <w:t>Agreements shall identify delivery responsibility, procurement integrity, participant safeguards, monitoring, and remedies for misuse. Assistance shall not require an individual to adopt a political or religious belief. This section does not authorize a clinical intervention or research activity prohibited by applicable law.</w:t>
      </w:r>
    </w:p>
    <w:p>
      <w:bookmarkStart w:id="261" w:name="SEC_2405"/>
      <w:pPr>
        <w:pStyle w:val="Heading2"/>
      </w:pPr>
      <w:r>
        <w:t>SEC. 2405. TECHNOLOGY ACCESS, STANDARDS, AND RESPONSIBLE TRANSFER.</w:t>
      </w:r>
      <w:bookmarkEnd w:id="261"/>
    </w:p>
    <w:p>
      <w:pPr>
        <w:pStyle w:val="LegalBody"/>
      </w:pPr>
      <w:r>
        <w:rPr>
          <w:b/>
        </w:rPr>
        <w:t xml:space="preserve">(a) Cooperation. </w:t>
      </w:r>
      <w:r>
        <w:t>Agencies may support interoperability, accessibility, safety testing, cybersecurity, and responsible transfer of technologies serving the purposes of this Act. Projects shall consider maintenance, training, repair, connectivity, consumables, and local technical capacity.</w:t>
      </w:r>
    </w:p>
    <w:p>
      <w:pPr>
        <w:pStyle w:val="LegalBody"/>
      </w:pPr>
      <w:r>
        <w:rPr>
          <w:b/>
        </w:rPr>
        <w:t xml:space="preserve">(b) Intellectual property. </w:t>
      </w:r>
      <w:r>
        <w:t>Agreements shall comply with applicable intellectual-property and Federal research law. Public financing may carry lawful access or licensing conditions stated in advance, but this title does not automatically waive patents, copyrights, trade secrets, or treaty obligations.</w:t>
      </w:r>
    </w:p>
    <w:p>
      <w:pPr>
        <w:pStyle w:val="LegalBody"/>
      </w:pPr>
      <w:r>
        <w:rPr>
          <w:b/>
        </w:rPr>
        <w:t xml:space="preserve">(c) Fit for setting. </w:t>
      </w:r>
      <w:r>
        <w:t>A technology shall not be donated or exported as humanitarian assistance if the sponsor knows it cannot be safely operated, maintained, or legally used in the receiving setting without resources not provided or credibly available.</w:t>
      </w:r>
    </w:p>
    <w:p>
      <w:pPr>
        <w:pStyle w:val="LegalBody"/>
      </w:pPr>
      <w:r>
        <w:rPr>
          <w:b/>
        </w:rPr>
        <w:t xml:space="preserve">(d) Data and surveillance. </w:t>
      </w:r>
      <w:r>
        <w:t>Assistance shall not enable unlawful surveillance, coercive neural monitoring, genetic discrimination, or repression of lawful expression. A claimed development benefit does not excuse a specifically prohibited use.</w:t>
      </w:r>
    </w:p>
    <w:p>
      <w:pPr>
        <w:pStyle w:val="LegalBody"/>
      </w:pPr>
      <w:r>
        <w:rPr>
          <w:b/>
        </w:rPr>
        <w:t xml:space="preserve">(e) Evaluation. </w:t>
      </w:r>
      <w:r>
        <w:t>Reports shall assess actual use, continuity, accessibility, safety, and dependency on suppliers. Equipment shipped is not equivalent to capability established. Export controls, sanctions, product law, and security requirements remain applicable, and an international standard does not become binding domestic law merely because an agency participates in its development.</w:t>
      </w:r>
    </w:p>
    <w:p>
      <w:bookmarkStart w:id="262" w:name="SEC_2406"/>
      <w:pPr>
        <w:pStyle w:val="Heading2"/>
      </w:pPr>
      <w:r>
        <w:t>SEC. 2406. CROSS-BORDER DATA AND COMMUNITY STEWARDSHIP.</w:t>
      </w:r>
      <w:bookmarkEnd w:id="262"/>
    </w:p>
    <w:p>
      <w:pPr>
        <w:pStyle w:val="LegalBody"/>
      </w:pPr>
      <w:r>
        <w:rPr>
          <w:b/>
        </w:rPr>
        <w:t xml:space="preserve">(a) Agreements. </w:t>
      </w:r>
      <w:r>
        <w:t>International data sharing shall identify the lawful basis, purposes, categories, responsible controllers, security, access, retention, onward transfer, redress, and disposition when the project ends. A broad scientific-cooperation agreement is not sufficient authorization for unrestricted personal-data transfer.</w:t>
      </w:r>
    </w:p>
    <w:p>
      <w:pPr>
        <w:pStyle w:val="LegalBody"/>
      </w:pPr>
      <w:r>
        <w:rPr>
          <w:b/>
        </w:rPr>
        <w:t xml:space="preserve">(b) Local rights. </w:t>
      </w:r>
      <w:r>
        <w:t>Projects shall respect applicable data-protection, Indigenous, heritage, and community-consent requirements. A transfer shall not strip data of a restriction that attached at collection.</w:t>
      </w:r>
    </w:p>
    <w:p>
      <w:pPr>
        <w:pStyle w:val="LegalBody"/>
      </w:pPr>
      <w:r>
        <w:rPr>
          <w:b/>
        </w:rPr>
        <w:t xml:space="preserve">(c) Access. </w:t>
      </w:r>
      <w:r>
        <w:t>Researchers shall receive access proportionate to an approved question. Secure remote analysis or aggregate sharing shall be considered where it can reduce privacy risks and infrastructure burdens.</w:t>
      </w:r>
    </w:p>
    <w:p>
      <w:pPr>
        <w:pStyle w:val="LegalBody"/>
      </w:pPr>
      <w:r>
        <w:rPr>
          <w:b/>
        </w:rPr>
        <w:t xml:space="preserve">(d) Benefit and capacity. </w:t>
      </w:r>
      <w:r>
        <w:t>Agreements shall provide appropriate access to results, documentation, and usable tools for partner institutions. Data extraction without reciprocal scientific benefit shall not be presented as capacity building.</w:t>
      </w:r>
    </w:p>
    <w:p>
      <w:pPr>
        <w:pStyle w:val="LegalBody"/>
      </w:pPr>
      <w:r>
        <w:rPr>
          <w:b/>
        </w:rPr>
        <w:t xml:space="preserve">(e) Legal conflict. </w:t>
      </w:r>
      <w:r>
        <w:t>Where requirements conflict, the responsible agencies shall seek a lawful resolution before transfer. A recipient shall not evade a prohibition by routing data through an intermediary jurisdiction. Reports shall identify material limitations and shall not claim that deidentification eliminates every reidentification risk, particularly for genomic or detailed behavioral data.</w:t>
      </w:r>
    </w:p>
    <w:p>
      <w:bookmarkStart w:id="263" w:name="SEC_2407"/>
      <w:pPr>
        <w:pStyle w:val="Heading2"/>
      </w:pPr>
      <w:r>
        <w:t>SEC. 2407. HUMANITARIAN DISPLACEMENT AND CROSS-BORDER CONTINUITY.</w:t>
      </w:r>
      <w:bookmarkEnd w:id="263"/>
    </w:p>
    <w:p>
      <w:pPr>
        <w:pStyle w:val="LegalBody"/>
      </w:pPr>
      <w:r>
        <w:rPr>
          <w:b/>
        </w:rPr>
        <w:t xml:space="preserve">(a) Activities. </w:t>
      </w:r>
      <w:r>
        <w:t>Within lawful foreign-assistance authority, partnerships may support continuity of essential care, disability assistance, education, family communication, and safe referral for persons displaced by disaster, conflict, persecution, or environmental disruption.</w:t>
      </w:r>
    </w:p>
    <w:p>
      <w:pPr>
        <w:pStyle w:val="LegalBody"/>
      </w:pPr>
      <w:r>
        <w:rPr>
          <w:b/>
        </w:rPr>
        <w:t xml:space="preserve">(b) Safeguards. </w:t>
      </w:r>
      <w:r>
        <w:t>Programs shall minimize documentation barriers consistent with law, protect sensitive status and location information, and avoid disclosure that could expose a person to violence or exploitation. Assistance shall not be conditioned on participation in research or public storytelling.</w:t>
      </w:r>
    </w:p>
    <w:p>
      <w:pPr>
        <w:pStyle w:val="LegalBody"/>
      </w:pPr>
      <w:r>
        <w:rPr>
          <w:b/>
        </w:rPr>
        <w:t xml:space="preserve">(c) Coordination. </w:t>
      </w:r>
      <w:r>
        <w:t>Agreements shall identify responsible local and international partners, referral capacity, interpretation, transport, records, and safeguarding. A referral shall not be treated as completed assistance where the receiving service is inaccessible or unavailable.</w:t>
      </w:r>
    </w:p>
    <w:p>
      <w:pPr>
        <w:pStyle w:val="LegalBody"/>
      </w:pPr>
      <w:r>
        <w:rPr>
          <w:b/>
        </w:rPr>
        <w:t xml:space="preserve">(d) Legal limits. </w:t>
      </w:r>
      <w:r>
        <w:t>This section does not establish immigration status, alter asylum or refugee adjudication, create a right to enter the United States, or amend domestic benefit eligibility. Agencies shall distinguish humanitarian assistance from legal status decisions.</w:t>
      </w:r>
    </w:p>
    <w:p>
      <w:pPr>
        <w:pStyle w:val="LegalBody"/>
      </w:pPr>
      <w:r>
        <w:rPr>
          <w:b/>
        </w:rPr>
        <w:t xml:space="preserve">(e) Evaluation. </w:t>
      </w:r>
      <w:r>
        <w:t>Measures shall include reliable service, continuity, safety, accessibility, and participant experience. Reports shall protect identities and acknowledge constraints. A project shall not collect detailed personal histories merely to demonstrate impact where aggregate evidence can establish delivery and need.</w:t>
      </w:r>
    </w:p>
    <w:p>
      <w:bookmarkStart w:id="264" w:name="SEC_2408"/>
      <w:pPr>
        <w:pStyle w:val="Heading2"/>
      </w:pPr>
      <w:r>
        <w:t>SEC. 2408. FUTURE GENERATIONS AND LONG-HORIZON ASSESSMENT.</w:t>
      </w:r>
      <w:bookmarkEnd w:id="264"/>
    </w:p>
    <w:p>
      <w:pPr>
        <w:pStyle w:val="LegalBody"/>
      </w:pPr>
      <w:r>
        <w:rPr>
          <w:b/>
        </w:rPr>
        <w:t xml:space="preserve">(a) Assessment. </w:t>
      </w:r>
      <w:r>
        <w:t>Major strategies under this Act shall consider reasonably foreseeable effects on future generations, including environmental durability, public debt, institutional capacity, scientific knowledge, irreversible biological interventions, and long-lived technology dependence.</w:t>
      </w:r>
    </w:p>
    <w:p>
      <w:pPr>
        <w:pStyle w:val="LegalBody"/>
      </w:pPr>
      <w:r>
        <w:rPr>
          <w:b/>
        </w:rPr>
        <w:t xml:space="preserve">(b) Methods. </w:t>
      </w:r>
      <w:r>
        <w:t>Long-horizon analysis shall use transparent scenarios, sensitivity analysis, and explicit uncertainty. A projection over decades or centuries shall not be presented as a reliable forecast merely because it contains precise numbers.</w:t>
      </w:r>
    </w:p>
    <w:p>
      <w:pPr>
        <w:pStyle w:val="LegalBody"/>
      </w:pPr>
      <w:r>
        <w:rPr>
          <w:b/>
        </w:rPr>
        <w:t xml:space="preserve">(c) Present rights. </w:t>
      </w:r>
      <w:r>
        <w:t>Consideration of future generations does not authorize coercive reproduction, denial of present individuals' rights, or assignment of a preferred genetic or cultural identity to descendants. Current and future interests shall be discussed without treating either as automatically decisive in every case.</w:t>
      </w:r>
    </w:p>
    <w:p>
      <w:pPr>
        <w:pStyle w:val="LegalBody"/>
      </w:pPr>
      <w:r>
        <w:rPr>
          <w:b/>
        </w:rPr>
        <w:t xml:space="preserve">(d) Fiscal limits. </w:t>
      </w:r>
      <w:r>
        <w:t>This Act appropriates only the amounts and periods specified in title XXIX. A long-term vision does not bind future Congresses to appropriations not enacted or establish a perpetual funding guarantee.</w:t>
      </w:r>
    </w:p>
    <w:p>
      <w:pPr>
        <w:pStyle w:val="LegalBody"/>
      </w:pPr>
      <w:r>
        <w:rPr>
          <w:b/>
        </w:rPr>
        <w:t xml:space="preserve">(e) Participation. </w:t>
      </w:r>
      <w:r>
        <w:t>Agencies may seek interdisciplinary and public input, including younger persons through appropriate safeguards. An advisory representative of future generations shall have no power to override elected institutions, courts, or individual rights. Reports shall identify choices requiring further legislation rather than imply that an analytical framework itself has legal force.</w:t>
      </w:r>
    </w:p>
    <w:p>
      <w:bookmarkStart w:id="265" w:name="SEC_2409"/>
      <w:pPr>
        <w:pStyle w:val="Heading2"/>
      </w:pPr>
      <w:r>
        <w:t>SEC. 2409. HUMAN LIFE IN EXTREME AND EMERGING ENVIRONMENTS.</w:t>
      </w:r>
      <w:bookmarkEnd w:id="265"/>
    </w:p>
    <w:p>
      <w:pPr>
        <w:pStyle w:val="LegalBody"/>
      </w:pPr>
      <w:r>
        <w:rPr>
          <w:b/>
        </w:rPr>
        <w:t xml:space="preserve">(a) Research. </w:t>
      </w:r>
      <w:r>
        <w:t>The National Aeronautics and Space Administration, National Science Foundation, and relevant agencies may support research concerning human health, cooperation, autonomy, communication, and care in space, polar, maritime, remote, disaster, and other demanding environments, within their lawful missions.</w:t>
      </w:r>
    </w:p>
    <w:p>
      <w:pPr>
        <w:pStyle w:val="LegalBody"/>
      </w:pPr>
      <w:r>
        <w:rPr>
          <w:b/>
        </w:rPr>
        <w:t xml:space="preserve">(b) Questions. </w:t>
      </w:r>
      <w:r>
        <w:t>Studies may address isolation, confinement, altered schedules, radiation where relevant, reduced mobility, resource limits, team dynamics, medical access, and dependence on autonomous systems. Findings shall identify the specific environment and limits on application to ordinary life.</w:t>
      </w:r>
    </w:p>
    <w:p>
      <w:pPr>
        <w:pStyle w:val="LegalBody"/>
      </w:pPr>
      <w:r>
        <w:rPr>
          <w:b/>
        </w:rPr>
        <w:t xml:space="preserve">(c) Ethics. </w:t>
      </w:r>
      <w:r>
        <w:t>Participants shall receive appropriate information, safety oversight, communication, and support. Operational necessity shall not be used to justify research that violates applicable consent or human-subjects requirements.</w:t>
      </w:r>
    </w:p>
    <w:p>
      <w:pPr>
        <w:pStyle w:val="LegalBody"/>
      </w:pPr>
      <w:r>
        <w:rPr>
          <w:b/>
        </w:rPr>
        <w:t xml:space="preserve">(d) Translation. </w:t>
      </w:r>
      <w:r>
        <w:t>Research may inform accessible technology, remote care, resilient infrastructure, and emergency planning. Agencies shall distinguish demonstrated transferable benefits from speculative future applications.</w:t>
      </w:r>
    </w:p>
    <w:p>
      <w:pPr>
        <w:pStyle w:val="LegalBody"/>
      </w:pPr>
      <w:r>
        <w:rPr>
          <w:b/>
        </w:rPr>
        <w:t xml:space="preserve">(e) Funding and limits. </w:t>
      </w:r>
      <w:r>
        <w:t>Activities shall use the science and evidence account or another lawful appropriation without double charging. This section does not triple an agency's budget, authorize a settlement program, allocate extraterrestrial property, or create jurisdiction beyond existing space and maritime law. Long-duration projects shall disclose dependence on future appropriations and include realistic continuity and termination plans.</w:t>
      </w:r>
    </w:p>
    <w:p>
      <w:bookmarkStart w:id="266" w:name="SEC_2410"/>
      <w:pPr>
        <w:pStyle w:val="Heading2"/>
      </w:pPr>
      <w:r>
        <w:t>SEC. 2410. INTERNATIONAL ACCOUNTABILITY AND NONBINDING MODEL ADAPTATION.</w:t>
      </w:r>
      <w:bookmarkEnd w:id="266"/>
    </w:p>
    <w:p>
      <w:pPr>
        <w:pStyle w:val="LegalBody"/>
      </w:pPr>
      <w:r>
        <w:rPr>
          <w:b/>
        </w:rPr>
        <w:t xml:space="preserve">(a) Reporting. </w:t>
      </w:r>
      <w:r>
        <w:t>The Secretary of State shall publish an annual account of agreements, obligations, partners, deliverables, safeguards, local capacity, and material failures. Protected information may be withheld under applicable law with an explanation of the basis.</w:t>
      </w:r>
    </w:p>
    <w:p>
      <w:pPr>
        <w:pStyle w:val="LegalBody"/>
      </w:pPr>
      <w:r>
        <w:rPr>
          <w:b/>
        </w:rPr>
        <w:t xml:space="preserve">(b) Audit. </w:t>
      </w:r>
      <w:r>
        <w:t>Agreements shall provide appropriate audit access, financial controls, anti-corruption measures, and remedies for misuse. Local partners shall receive clear requirements and reasonable technical assistance rather than incompatible reporting demands from multiple United States agencies.</w:t>
      </w:r>
    </w:p>
    <w:p>
      <w:pPr>
        <w:pStyle w:val="LegalBody"/>
      </w:pPr>
      <w:r>
        <w:rPr>
          <w:b/>
        </w:rPr>
        <w:t xml:space="preserve">(c) Model materials. </w:t>
      </w:r>
      <w:r>
        <w:t>Agencies may publish translations and functional adaptation notes for this Act. Such materials shall state that domestic enactment, constitutional review, institutional assignment, financing, and local participation are necessary in each adopting jurisdiction.</w:t>
      </w:r>
    </w:p>
    <w:p>
      <w:pPr>
        <w:pStyle w:val="LegalBody"/>
      </w:pPr>
      <w:r>
        <w:rPr>
          <w:b/>
        </w:rPr>
        <w:t xml:space="preserve">(d) Review. </w:t>
      </w:r>
      <w:r>
        <w:t>The 5-year evaluation shall examine reciprocity, sustainability, legal compliance, scientific value, access, and effects on local systems. It shall not equate the number of agreements with demonstrated human benefit.</w:t>
      </w:r>
    </w:p>
    <w:p>
      <w:pPr>
        <w:pStyle w:val="LegalBody"/>
      </w:pPr>
      <w:r>
        <w:rPr>
          <w:b/>
        </w:rPr>
        <w:t xml:space="preserve">(e) Sovereignty and rights. </w:t>
      </w:r>
      <w:r>
        <w:t>Cooperation shall respect lawful self-government and individual rights. No international advisory body created or supported under this Act may impose binding domestic rules, levy taxes, determine individual eligibility, or exercise enforcement authority without a separate lawful basis approved through the constitutionally required process.</w:t>
      </w:r>
    </w:p>
    <w:p>
      <w:bookmarkStart w:id="267" w:name="TITLE_XXV"/>
      <w:pPr>
        <w:pStyle w:val="Heading1"/>
        <w:pageBreakBefore/>
      </w:pPr>
      <w:r>
        <w:t>TITLE XXV. DATA GOVERNANCE, STATISTICS, AND HUMAN CONDITIONS MEASUREMENT</w:t>
      </w:r>
      <w:bookmarkEnd w:id="267"/>
    </w:p>
    <w:p>
      <w:bookmarkStart w:id="268" w:name="SEC_2501"/>
      <w:pPr>
        <w:pStyle w:val="Heading2"/>
      </w:pPr>
      <w:r>
        <w:t>SEC. 2501. HUMAN CONDITIONS DASHBOARD.</w:t>
      </w:r>
      <w:bookmarkEnd w:id="268"/>
    </w:p>
    <w:p>
      <w:pPr>
        <w:pStyle w:val="LegalBody"/>
      </w:pPr>
      <w:r>
        <w:rPr>
          <w:b/>
        </w:rPr>
        <w:t xml:space="preserve">(a) Establishment. </w:t>
      </w:r>
      <w:r>
        <w:t>The Director, in coordination with Federal statistical agencies, shall publish a multidimensional dashboard describing population conditions relevant to this Act. The dashboard shall use existing reliable data where possible and shall identify gaps requiring proportionate new collection.</w:t>
      </w:r>
    </w:p>
    <w:p>
      <w:pPr>
        <w:pStyle w:val="LegalBody"/>
      </w:pPr>
      <w:r>
        <w:rPr>
          <w:b/>
        </w:rPr>
        <w:t xml:space="preserve">(b) Domains. </w:t>
      </w:r>
      <w:r>
        <w:t>Measures may address health and function, development, learning, material security, care, time use, sleep, movement, relationships, accessibility, culture, environment, digital agency, service quality, and subjective experience. Selection shall be based on relevance, validity, feasibility, and privacy.</w:t>
      </w:r>
    </w:p>
    <w:p>
      <w:pPr>
        <w:pStyle w:val="LegalBody"/>
      </w:pPr>
      <w:r>
        <w:rPr>
          <w:b/>
        </w:rPr>
        <w:t xml:space="preserve">(c) No single human score. </w:t>
      </w:r>
      <w:r>
        <w:t>The dashboard shall not assign an individual human-value score, collapse all dimensions into a mandatory personal ranking, or determine eligibility for a benefit. A composite research measure may be studied only with transparent methods and shall not acquire legal effect without an express statute.</w:t>
      </w:r>
    </w:p>
    <w:p>
      <w:pPr>
        <w:pStyle w:val="LegalBody"/>
      </w:pPr>
      <w:r>
        <w:rPr>
          <w:b/>
        </w:rPr>
        <w:t xml:space="preserve">(d) Context. </w:t>
      </w:r>
      <w:r>
        <w:t>Each measure shall identify the population, period, method, uncertainty, limitations, and whether it describes an outcome, input, or process. A change shall not be attributed to this Act without an appropriate evaluation design.</w:t>
      </w:r>
    </w:p>
    <w:p>
      <w:pPr>
        <w:pStyle w:val="LegalBody"/>
      </w:pPr>
      <w:r>
        <w:rPr>
          <w:b/>
        </w:rPr>
        <w:t xml:space="preserve">(e) Funding. </w:t>
      </w:r>
      <w:r>
        <w:t>Statistics and evaluation shall be financed from the data and evaluation account. Publication shall be accessible, searchable, downloadable where lawful, and accompanied by plain-language interpretation without political endorsement or unsupported claims of success.</w:t>
      </w:r>
    </w:p>
    <w:p>
      <w:bookmarkStart w:id="269" w:name="SEC_2502"/>
      <w:pPr>
        <w:pStyle w:val="Heading2"/>
      </w:pPr>
      <w:r>
        <w:t>SEC. 2502. MEASURE SELECTION, VALIDATION, AND DISAGGREGATION.</w:t>
      </w:r>
      <w:bookmarkEnd w:id="269"/>
    </w:p>
    <w:p>
      <w:pPr>
        <w:pStyle w:val="LegalBody"/>
      </w:pPr>
      <w:r>
        <w:rPr>
          <w:b/>
        </w:rPr>
        <w:t xml:space="preserve">(a) Selection process. </w:t>
      </w:r>
      <w:r>
        <w:t>The Director shall publish proposed core measures for comment, obtain independent methodological review, and explain inclusion and exclusion. A measure shall have a defined purpose and shall not be retained solely because it is easy to collect.</w:t>
      </w:r>
    </w:p>
    <w:p>
      <w:pPr>
        <w:pStyle w:val="LegalBody"/>
      </w:pPr>
      <w:r>
        <w:rPr>
          <w:b/>
        </w:rPr>
        <w:t xml:space="preserve">(b) Validation. </w:t>
      </w:r>
      <w:r>
        <w:t>Instruments shall be assessed for relevant ages, languages, disabilities, cultures, and settings. Translation alone does not establish equivalent meaning. Where comparability is limited, the limitation shall be displayed rather than concealed through a common scale.</w:t>
      </w:r>
    </w:p>
    <w:p>
      <w:pPr>
        <w:pStyle w:val="LegalBody"/>
      </w:pPr>
      <w:r>
        <w:rPr>
          <w:b/>
        </w:rPr>
        <w:t xml:space="preserve">(c) Disaggregation. </w:t>
      </w:r>
      <w:r>
        <w:t>Data may be disaggregated where necessary to identify unequal access or effects, using lawful voluntary collection, adequate sample size, and privacy protection. Small groups shall not be exposed through overly detailed cross-tabulation.</w:t>
      </w:r>
    </w:p>
    <w:p>
      <w:pPr>
        <w:pStyle w:val="LegalBody"/>
      </w:pPr>
      <w:r>
        <w:rPr>
          <w:b/>
        </w:rPr>
        <w:t xml:space="preserve">(d) Interpretation. </w:t>
      </w:r>
      <w:r>
        <w:t>Group differences shall not be treated as inherent biological differences without evidence or used to infer an individual's preferences or abilities. Adjustment methods shall be transparent and shall not erase a disparity merely because it correlates with a social condition.</w:t>
      </w:r>
    </w:p>
    <w:p>
      <w:pPr>
        <w:pStyle w:val="LegalBody"/>
      </w:pPr>
      <w:r>
        <w:rPr>
          <w:b/>
        </w:rPr>
        <w:t xml:space="preserve">(e) Review. </w:t>
      </w:r>
      <w:r>
        <w:t>Measures shall be reviewed at least every 3 years. A revised measure shall include a bridge or explanation where possible so that a methodological change is not mistaken for a real change in human conditions.</w:t>
      </w:r>
    </w:p>
    <w:p>
      <w:bookmarkStart w:id="270" w:name="SEC_2503"/>
      <w:pPr>
        <w:pStyle w:val="Heading2"/>
      </w:pPr>
      <w:r>
        <w:t>SEC. 2503. VOLUNTARY SURVEYS AND PARTICIPANT BURDEN.</w:t>
      </w:r>
      <w:bookmarkEnd w:id="270"/>
    </w:p>
    <w:p>
      <w:pPr>
        <w:pStyle w:val="LegalBody"/>
      </w:pPr>
      <w:r>
        <w:rPr>
          <w:b/>
        </w:rPr>
        <w:t xml:space="preserve">(a) General rule. </w:t>
      </w:r>
      <w:r>
        <w:t>New surveys under this Act concerning subjective well-being, relationships, beliefs, time use, or intimate experience shall be voluntary. A respondent may skip a question or stop without losing a benefit or being classified as noncompliant.</w:t>
      </w:r>
    </w:p>
    <w:p>
      <w:pPr>
        <w:pStyle w:val="LegalBody"/>
      </w:pPr>
      <w:r>
        <w:rPr>
          <w:b/>
        </w:rPr>
        <w:t xml:space="preserve">(b) Notice. </w:t>
      </w:r>
      <w:r>
        <w:t>The survey shall explain purpose, sponsor, expected time, data use, confidentiality, retention, and contact. It shall distinguish research or statistics from an application necessary to obtain a service.</w:t>
      </w:r>
    </w:p>
    <w:p>
      <w:pPr>
        <w:pStyle w:val="LegalBody"/>
      </w:pPr>
      <w:r>
        <w:rPr>
          <w:b/>
        </w:rPr>
        <w:t xml:space="preserve">(c) Burden. </w:t>
      </w:r>
      <w:r>
        <w:t>Agencies shall use sampling and existing sources where appropriate, coordinate collections, and assess fatigue. Repeated requests to the same small community shall be justified and, where practicable, coordinated with community input.</w:t>
      </w:r>
    </w:p>
    <w:p>
      <w:pPr>
        <w:pStyle w:val="LegalBody"/>
      </w:pPr>
      <w:r>
        <w:rPr>
          <w:b/>
        </w:rPr>
        <w:t xml:space="preserve">(d) Accessibility. </w:t>
      </w:r>
      <w:r>
        <w:t>Surveys shall provide language and communication access and alternatives to digital response. Assistance shall preserve the respondent's own answer rather than substitute another person's judgment unless the instrument expressly measures a proxy response.</w:t>
      </w:r>
    </w:p>
    <w:p>
      <w:pPr>
        <w:pStyle w:val="LegalBody"/>
      </w:pPr>
      <w:r>
        <w:rPr>
          <w:b/>
        </w:rPr>
        <w:t xml:space="preserve">(e) Interpretation. </w:t>
      </w:r>
      <w:r>
        <w:t>Nonresponse and selection effects shall be reported. A decline in participation shall not be treated as evidence of improved or worsened well-being without analysis. Compensation may reimburse reasonable time and expense but shall not be conditioned on a preferred answer or completion of sensitive questions.</w:t>
      </w:r>
    </w:p>
    <w:p>
      <w:bookmarkStart w:id="271" w:name="SEC_2504"/>
      <w:pPr>
        <w:pStyle w:val="Heading2"/>
      </w:pPr>
      <w:r>
        <w:t>SEC. 2504. FEDERAL AND RECIPIENT DATA MINIMIZATION.</w:t>
      </w:r>
      <w:bookmarkEnd w:id="271"/>
    </w:p>
    <w:p>
      <w:pPr>
        <w:pStyle w:val="LegalBody"/>
      </w:pPr>
      <w:r>
        <w:rPr>
          <w:b/>
        </w:rPr>
        <w:t xml:space="preserve">(a) Purpose. </w:t>
      </w:r>
      <w:r>
        <w:t>A Federal agency or recipient shall collect personal data under this Act only for a specified authorized program, lawful administration, approved research, necessary evaluation, or a specific legal duty. The agency shall document why less detailed or aggregate information is insufficient.</w:t>
      </w:r>
    </w:p>
    <w:p>
      <w:pPr>
        <w:pStyle w:val="LegalBody"/>
      </w:pPr>
      <w:r>
        <w:rPr>
          <w:b/>
        </w:rPr>
        <w:t xml:space="preserve">(b) Sensitive information. </w:t>
      </w:r>
      <w:r>
        <w:t>Sensitive data shall receive heightened access, security, and retention controls. Collection of genetic, neural, precise location, intimate relationship, or belief information requires a specific necessity and lawful basis; general interest in human flourishing is insufficient.</w:t>
      </w:r>
    </w:p>
    <w:p>
      <w:pPr>
        <w:pStyle w:val="LegalBody"/>
      </w:pPr>
      <w:r>
        <w:rPr>
          <w:b/>
        </w:rPr>
        <w:t xml:space="preserve">(c) Separation. </w:t>
      </w:r>
      <w:r>
        <w:t>Service records, research data, statistical information, and enforcement records shall be separated where their purposes and legal protections differ. A shared technology platform does not merge the legal authority for use.</w:t>
      </w:r>
    </w:p>
    <w:p>
      <w:pPr>
        <w:pStyle w:val="LegalBody"/>
      </w:pPr>
      <w:r>
        <w:rPr>
          <w:b/>
        </w:rPr>
        <w:t xml:space="preserve">(d) Retention. </w:t>
      </w:r>
      <w:r>
        <w:t>Schedules shall identify operational need, audit, research reproducibility, legal holds, and eventual deletion or archival treatment. Indefinite retention for unspecified future usefulness is prohibited.</w:t>
      </w:r>
    </w:p>
    <w:p>
      <w:pPr>
        <w:pStyle w:val="LegalBody"/>
      </w:pPr>
      <w:r>
        <w:rPr>
          <w:b/>
        </w:rPr>
        <w:t xml:space="preserve">(e) Existing protections. </w:t>
      </w:r>
      <w:r>
        <w:t>The Privacy Act, applicable statistical confidentiality law, health and student privacy law, records statutes, and other protections remain controlling. This Act does not create a blanket exception to those laws or authorize access merely because another participating agency requests it.</w:t>
      </w:r>
    </w:p>
    <w:p>
      <w:bookmarkStart w:id="272" w:name="SEC_2505"/>
      <w:pPr>
        <w:pStyle w:val="Heading2"/>
      </w:pPr>
      <w:r>
        <w:t>SEC. 2505. LINKAGE, REIDENTIFICATION, AND CONTROLLED RESEARCH ACCESS.</w:t>
      </w:r>
      <w:bookmarkEnd w:id="272"/>
    </w:p>
    <w:p>
      <w:pPr>
        <w:pStyle w:val="LegalBody"/>
      </w:pPr>
      <w:r>
        <w:rPr>
          <w:b/>
        </w:rPr>
        <w:t xml:space="preserve">(a) Linkage review. </w:t>
      </w:r>
      <w:r>
        <w:t>Before linking datasets, the responsible agency shall document the question, legal basis, necessity, identifiers, risks, access controls, and whether a less intrusive method can answer the question. A linkage shall not proceed solely because technically possible.</w:t>
      </w:r>
    </w:p>
    <w:p>
      <w:pPr>
        <w:pStyle w:val="LegalBody"/>
      </w:pPr>
      <w:r>
        <w:rPr>
          <w:b/>
        </w:rPr>
        <w:t xml:space="preserve">(b) Controlled access. </w:t>
      </w:r>
      <w:r>
        <w:t>Sensitive linked data shall ordinarily be analyzed in a secure environment with approved users, logging, output review, and restrictions on copying. Public release shall use appropriate disclosure limitation.</w:t>
      </w:r>
    </w:p>
    <w:p>
      <w:pPr>
        <w:pStyle w:val="LegalBody"/>
      </w:pPr>
      <w:r>
        <w:rPr>
          <w:b/>
        </w:rPr>
        <w:t xml:space="preserve">(c) Reidentification. </w:t>
      </w:r>
      <w:r>
        <w:t>A recipient or researcher shall not attempt to identify a person from protected deidentified data except for an expressly authorized security or validation test under controlled conditions. Results of such a test shall be reported responsibly and shall not be used to contact or profile the person.</w:t>
      </w:r>
    </w:p>
    <w:p>
      <w:pPr>
        <w:pStyle w:val="LegalBody"/>
      </w:pPr>
      <w:r>
        <w:rPr>
          <w:b/>
        </w:rPr>
        <w:t xml:space="preserve">(d) Derived models. </w:t>
      </w:r>
      <w:r>
        <w:t>Models and synthetic datasets shall be assessed for leakage and reidentification before release. Their label shall not create a presumption that no personal information can be inferred.</w:t>
      </w:r>
    </w:p>
    <w:p>
      <w:pPr>
        <w:pStyle w:val="LegalBody"/>
      </w:pPr>
      <w:r>
        <w:rPr>
          <w:b/>
        </w:rPr>
        <w:t xml:space="preserve">(e) Accountability. </w:t>
      </w:r>
      <w:r>
        <w:t>Access agreements shall provide sanctions, revocation, audit, and deletion or return where lawful. An agreement does not authorize a use prohibited by the original consent or governing statute. Agencies shall publish a registry of approved linkage projects with enough information for accountability without revealing protected details.</w:t>
      </w:r>
    </w:p>
    <w:p>
      <w:bookmarkStart w:id="273" w:name="SEC_2506"/>
      <w:pPr>
        <w:pStyle w:val="Heading2"/>
      </w:pPr>
      <w:r>
        <w:t>SEC. 2506. INDIVIDUAL INFORMATION RIGHTS IN COVERED PROGRAMS.</w:t>
      </w:r>
      <w:bookmarkEnd w:id="273"/>
    </w:p>
    <w:p>
      <w:pPr>
        <w:pStyle w:val="LegalBody"/>
      </w:pPr>
      <w:r>
        <w:rPr>
          <w:b/>
        </w:rPr>
        <w:t xml:space="preserve">(a) Access and correction. </w:t>
      </w:r>
      <w:r>
        <w:t>A participant shall have a reasonable means to obtain information about personal records used in a covered program and request correction of material factual errors, subject to applicable law. Existing stronger access and amendment procedures remain controlling.</w:t>
      </w:r>
    </w:p>
    <w:p>
      <w:pPr>
        <w:pStyle w:val="LegalBody"/>
      </w:pPr>
      <w:r>
        <w:rPr>
          <w:b/>
        </w:rPr>
        <w:t xml:space="preserve">(b) Explanation. </w:t>
      </w:r>
      <w:r>
        <w:t>Where a record or inference materially affects an individual decision, the recipient shall explain the relevant information and the route to contest it. A proprietary classification does not eliminate the duty to provide a meaningful account under title XIX where applicable.</w:t>
      </w:r>
    </w:p>
    <w:p>
      <w:pPr>
        <w:pStyle w:val="LegalBody"/>
      </w:pPr>
      <w:r>
        <w:rPr>
          <w:b/>
        </w:rPr>
        <w:t xml:space="preserve">(c) Procedure. </w:t>
      </w:r>
      <w:r>
        <w:t>Requests shall be acknowledged promptly and resolved within 45 days unless another law provides a different controlling deadline. A complex request may receive one explained extension of up to 45 days. Verification shall be proportionate and accessible.</w:t>
      </w:r>
    </w:p>
    <w:p>
      <w:pPr>
        <w:pStyle w:val="LegalBody"/>
      </w:pPr>
      <w:r>
        <w:rPr>
          <w:b/>
        </w:rPr>
        <w:t xml:space="preserve">(d) Limits. </w:t>
      </w:r>
      <w:r>
        <w:t>The recipient may protect another person's information, privileged material, security details, and records subject to a legal restriction, while providing the remainder and an explanation. A deletion request does not require destruction of a record that law requires to be retained.</w:t>
      </w:r>
    </w:p>
    <w:p>
      <w:pPr>
        <w:pStyle w:val="LegalBody"/>
      </w:pPr>
      <w:r>
        <w:rPr>
          <w:b/>
        </w:rPr>
        <w:t xml:space="preserve">(e) No retaliation. </w:t>
      </w:r>
      <w:r>
        <w:t>Seeking access, correction, or explanation shall not itself affect eligibility or service quality. A participant shall not be charged an unreasonable fee or required to purchase access through a commercial vendor to exercise a right concerning a publicly financed program record.</w:t>
      </w:r>
    </w:p>
    <w:p>
      <w:bookmarkStart w:id="274" w:name="SEC_2507"/>
      <w:pPr>
        <w:pStyle w:val="Heading2"/>
      </w:pPr>
      <w:r>
        <w:t>SEC. 2507. SECURITY, INCIDENT RESPONSE, AND VENDOR CONTROL.</w:t>
      </w:r>
      <w:bookmarkEnd w:id="274"/>
    </w:p>
    <w:p>
      <w:pPr>
        <w:pStyle w:val="LegalBody"/>
      </w:pPr>
      <w:r>
        <w:rPr>
          <w:b/>
        </w:rPr>
        <w:t xml:space="preserve">(a) Safeguards. </w:t>
      </w:r>
      <w:r>
        <w:t>Agencies and recipients shall maintain security proportionate to data sensitivity and system consequence, including access management, encryption where appropriate, secure development, vulnerability response, backup, recovery, and personnel training.</w:t>
      </w:r>
    </w:p>
    <w:p>
      <w:pPr>
        <w:pStyle w:val="LegalBody"/>
      </w:pPr>
      <w:r>
        <w:rPr>
          <w:b/>
        </w:rPr>
        <w:t xml:space="preserve">(b) Vendors. </w:t>
      </w:r>
      <w:r>
        <w:t>Contracts shall specify permitted processing, security, subcontracting, incident notice, audit, retention, return, deletion, and continuity. A vendor shall not use program data for unrelated commercial training, advertising, or sale.</w:t>
      </w:r>
    </w:p>
    <w:p>
      <w:pPr>
        <w:pStyle w:val="LegalBody"/>
      </w:pPr>
      <w:r>
        <w:rPr>
          <w:b/>
        </w:rPr>
        <w:t xml:space="preserve">(c) Incidents. </w:t>
      </w:r>
      <w:r>
        <w:t>A recipient shall notify the funding agency of a confirmed material security incident without unreasonable delay and ordinarily within 72 hours, with supplemental facts as available. Agencies shall follow applicable Federal incident requirements and coordinate individual notice where a substantial risk of harm exists.</w:t>
      </w:r>
    </w:p>
    <w:p>
      <w:pPr>
        <w:pStyle w:val="LegalBody"/>
      </w:pPr>
      <w:r>
        <w:rPr>
          <w:b/>
        </w:rPr>
        <w:t xml:space="preserve">(d) Individual notice. </w:t>
      </w:r>
      <w:r>
        <w:t>Notice shall explain affected information, known consequences, protective steps, assistance, and uncertainty. Delay shall occur only on a specific lawful basis and shall be documented. Existing shorter or additional duties remain in effect.</w:t>
      </w:r>
    </w:p>
    <w:p>
      <w:pPr>
        <w:pStyle w:val="LegalBody"/>
      </w:pPr>
      <w:r>
        <w:rPr>
          <w:b/>
        </w:rPr>
        <w:t xml:space="preserve">(e) Recovery. </w:t>
      </w:r>
      <w:r>
        <w:t>Plans shall preserve essential service during an outage without bypassing necessary safeguards. A person shall not lose a lawful benefit solely because a vendor failed to retain or transmit a record where the agency can establish eligibility through another authorized method. Procurement shall include tested exit and data-recovery arrangements.</w:t>
      </w:r>
    </w:p>
    <w:p>
      <w:bookmarkStart w:id="275" w:name="SEC_2508"/>
      <w:pPr>
        <w:pStyle w:val="Heading2"/>
      </w:pPr>
      <w:r>
        <w:t>SEC. 2508. PROHIBITED SCORES AND INCOMPATIBLE USES.</w:t>
      </w:r>
      <w:bookmarkEnd w:id="275"/>
    </w:p>
    <w:p>
      <w:pPr>
        <w:pStyle w:val="LegalBody"/>
      </w:pPr>
      <w:r>
        <w:rPr>
          <w:b/>
        </w:rPr>
        <w:t xml:space="preserve">(a) Human-value scoring. </w:t>
      </w:r>
      <w:r>
        <w:t>No agency or recipient shall create or use an individualized score purporting to measure a person's overall worth, humanity, civic deservingness, or conformity to an ideal life for purposes of allocating rights or unrelated essential benefits.</w:t>
      </w:r>
    </w:p>
    <w:p>
      <w:pPr>
        <w:pStyle w:val="LegalBody"/>
      </w:pPr>
      <w:r>
        <w:rPr>
          <w:b/>
        </w:rPr>
        <w:t xml:space="preserve">(b) Incompatible use. </w:t>
      </w:r>
      <w:r>
        <w:t>Data collected for voluntary research, social support, culture, sleep, movement, or well-being evaluation shall not be repurposed for general law-enforcement profiling, employment discipline, insurance underwriting, or ideological screening without a separate specific legal authorization and applicable safeguards.</w:t>
      </w:r>
    </w:p>
    <w:p>
      <w:pPr>
        <w:pStyle w:val="LegalBody"/>
      </w:pPr>
      <w:r>
        <w:rPr>
          <w:b/>
        </w:rPr>
        <w:t xml:space="preserve">(c) Permissible measures. </w:t>
      </w:r>
      <w:r>
        <w:t>Valid clinical tools, lawful eligibility calculations, research instruments, and service-priority criteria remain permissible when used for their defined purpose, with appropriate validation, explanation, and review. A tool shall not be relabeled to evade subsection (a).</w:t>
      </w:r>
    </w:p>
    <w:p>
      <w:pPr>
        <w:pStyle w:val="LegalBody"/>
      </w:pPr>
      <w:r>
        <w:rPr>
          <w:b/>
        </w:rPr>
        <w:t xml:space="preserve">(d) Population monitoring. </w:t>
      </w:r>
      <w:r>
        <w:t>Aggregate reporting may identify needs and disparities but shall not establish collective guilt or diminished rights for a community. A neighborhood indicator shall not be treated as an individual's diagnosis or conduct history.</w:t>
      </w:r>
    </w:p>
    <w:p>
      <w:pPr>
        <w:pStyle w:val="LegalBody"/>
      </w:pPr>
      <w:r>
        <w:rPr>
          <w:b/>
        </w:rPr>
        <w:t xml:space="preserve">(e) Enforcement. </w:t>
      </w:r>
      <w:r>
        <w:t>Violations shall be addressed under title XXVIII and applicable privacy law. Agencies shall examine both the formal label and actual use of a score. A claim that a ranking improves efficiency does not authorize a prohibited use.</w:t>
      </w:r>
    </w:p>
    <w:p>
      <w:bookmarkStart w:id="276" w:name="SEC_2509"/>
      <w:pPr>
        <w:pStyle w:val="Heading2"/>
      </w:pPr>
      <w:r>
        <w:t>SEC. 2509. EVALUATION DESIGN, CAUSAL CLAIMS, AND PUBLIC ACCURACY.</w:t>
      </w:r>
      <w:bookmarkEnd w:id="276"/>
    </w:p>
    <w:p>
      <w:pPr>
        <w:pStyle w:val="LegalBody"/>
      </w:pPr>
      <w:r>
        <w:rPr>
          <w:b/>
        </w:rPr>
        <w:t xml:space="preserve">(a) Plans. </w:t>
      </w:r>
      <w:r>
        <w:t>Major programs shall establish an evaluation plan before implementation, including questions, baseline, outcomes, comparison, sampling, timing, costs, adverse effects, and publication. A plan shall distinguish implementation monitoring from causal evaluation.</w:t>
      </w:r>
    </w:p>
    <w:p>
      <w:pPr>
        <w:pStyle w:val="LegalBody"/>
      </w:pPr>
      <w:r>
        <w:rPr>
          <w:b/>
        </w:rPr>
        <w:t xml:space="preserve">(b) Methods. </w:t>
      </w:r>
      <w:r>
        <w:t>Randomized, quasi-experimental, longitudinal, qualitative, and mixed methods may be used according to the question and ethical constraints. The evaluator shall explain why the chosen design supports the claims made and what it cannot establish.</w:t>
      </w:r>
    </w:p>
    <w:p>
      <w:pPr>
        <w:pStyle w:val="LegalBody"/>
      </w:pPr>
      <w:r>
        <w:rPr>
          <w:b/>
        </w:rPr>
        <w:t xml:space="preserve">(c) Independence. </w:t>
      </w:r>
      <w:r>
        <w:t>Evaluation contracts shall preserve publication of valid findings and disclose conflicts. A recipient shall not select outcomes after observing results without identifying the analysis as exploratory.</w:t>
      </w:r>
    </w:p>
    <w:p>
      <w:pPr>
        <w:pStyle w:val="LegalBody"/>
      </w:pPr>
      <w:r>
        <w:rPr>
          <w:b/>
        </w:rPr>
        <w:t xml:space="preserve">(d) Claims. </w:t>
      </w:r>
      <w:r>
        <w:t>Public reports shall distinguish correlation, attribution, modeled effects, and observed outcomes. Relative changes shall be accompanied by appropriate baseline information. Uncertainty and unsuccessful findings shall not be omitted from an executive summary where material.</w:t>
      </w:r>
    </w:p>
    <w:p>
      <w:pPr>
        <w:pStyle w:val="LegalBody"/>
      </w:pPr>
      <w:r>
        <w:rPr>
          <w:b/>
        </w:rPr>
        <w:t xml:space="preserve">(e) Financial effects. </w:t>
      </w:r>
      <w:r>
        <w:t>Savings shall identify the payer, time period, assumptions, and whether resources were actually released. Avoided hypothetical costs shall not be treated as cash available for appropriation. Evaluation shall consider displacement of services, private burden, and unequal effects rather than report an average alone.</w:t>
      </w:r>
    </w:p>
    <w:p>
      <w:bookmarkStart w:id="277" w:name="SEC_2510"/>
      <w:pPr>
        <w:pStyle w:val="Heading2"/>
      </w:pPr>
      <w:r>
        <w:t>SEC. 2510. STATISTICAL INDEPENDENCE AND DASHBOARD GOVERNANCE.</w:t>
      </w:r>
      <w:bookmarkEnd w:id="277"/>
    </w:p>
    <w:p>
      <w:pPr>
        <w:pStyle w:val="LegalBody"/>
      </w:pPr>
      <w:r>
        <w:rPr>
          <w:b/>
        </w:rPr>
        <w:t xml:space="preserve">(a) Governance. </w:t>
      </w:r>
      <w:r>
        <w:t>The Director shall establish a methods committee of relevant statistical and scientific officials, with advisory input under title III. Statistical decisions shall be based on methods and data quality rather than a desired political result.</w:t>
      </w:r>
    </w:p>
    <w:p>
      <w:pPr>
        <w:pStyle w:val="LegalBody"/>
      </w:pPr>
      <w:r>
        <w:rPr>
          <w:b/>
        </w:rPr>
        <w:t xml:space="preserve">(b) Publication schedule. </w:t>
      </w:r>
      <w:r>
        <w:t>Core releases shall follow a published schedule. A material delay shall be explained. An unfavorable finding shall not be suppressed or rescheduled solely to avoid public criticism.</w:t>
      </w:r>
    </w:p>
    <w:p>
      <w:pPr>
        <w:pStyle w:val="LegalBody"/>
      </w:pPr>
      <w:r>
        <w:rPr>
          <w:b/>
        </w:rPr>
        <w:t xml:space="preserve">(c) Corrections. </w:t>
      </w:r>
      <w:r>
        <w:t>Revisions shall be dated, explained, and archived. Users shall be able to distinguish a data correction, methodological change, and actual population change.</w:t>
      </w:r>
    </w:p>
    <w:p>
      <w:pPr>
        <w:pStyle w:val="LegalBody"/>
      </w:pPr>
      <w:r>
        <w:rPr>
          <w:b/>
        </w:rPr>
        <w:t xml:space="preserve">(d) Access. </w:t>
      </w:r>
      <w:r>
        <w:t>Public products shall include accessible narratives, definitions, downloadable aggregate data, and machine-readable metadata where lawful. A dashboard shall not require disclosure of a user's identity or browsing interests to view public statistics.</w:t>
      </w:r>
    </w:p>
    <w:p>
      <w:pPr>
        <w:pStyle w:val="LegalBody"/>
      </w:pPr>
      <w:r>
        <w:rPr>
          <w:b/>
        </w:rPr>
        <w:t xml:space="preserve">(e) Review. </w:t>
      </w:r>
      <w:r>
        <w:t>At least every 3 years, an independent review shall assess validity, burden, privacy, usefulness, and misuse. The review shall recommend removal of redundant or misleading measures. No dashboard finding automatically changes eligibility, appropriations, regulatory scope, or an individual's legal rights; such changes require the legal action independently prescribed by this Act or other law.</w:t>
      </w:r>
    </w:p>
    <w:p>
      <w:bookmarkStart w:id="278" w:name="TITLE_XXVI"/>
      <w:pPr>
        <w:pStyle w:val="Heading1"/>
        <w:pageBreakBefore/>
      </w:pPr>
      <w:r>
        <w:t>TITLE XXVI. PUBLIC PARTICIPATION, FEDERALISM, AND TRIBAL SELF-GOVERNMENT</w:t>
      </w:r>
      <w:bookmarkEnd w:id="278"/>
    </w:p>
    <w:p>
      <w:bookmarkStart w:id="279" w:name="SEC_2601"/>
      <w:pPr>
        <w:pStyle w:val="Heading2"/>
      </w:pPr>
      <w:r>
        <w:t>SEC. 2601. ACCESSIBLE PUBLIC PARTICIPATION.</w:t>
      </w:r>
      <w:bookmarkEnd w:id="279"/>
    </w:p>
    <w:p>
      <w:pPr>
        <w:pStyle w:val="LegalBody"/>
      </w:pPr>
      <w:r>
        <w:rPr>
          <w:b/>
        </w:rPr>
        <w:t xml:space="preserve">(a) Participation plan. </w:t>
      </w:r>
      <w:r>
        <w:t>Each lead agency shall maintain a plan for accessible participation in major strategies, rules, and program design under this Act. The plan shall identify affected groups, notice methods, language and disability access, comment periods, and how input will be considered.</w:t>
      </w:r>
    </w:p>
    <w:p>
      <w:pPr>
        <w:pStyle w:val="LegalBody"/>
      </w:pPr>
      <w:r>
        <w:rPr>
          <w:b/>
        </w:rPr>
        <w:t xml:space="preserve">(b) Multiple channels. </w:t>
      </w:r>
      <w:r>
        <w:t>Agencies shall provide reasonable nondigital participation and shall not require a commercial account, public disclosure of a diagnosis, or unnecessary identity documentation to submit a comment. Authentication may be used where necessary to verify a specific legal role or prevent fraud, with proportionate alternatives.</w:t>
      </w:r>
    </w:p>
    <w:p>
      <w:pPr>
        <w:pStyle w:val="LegalBody"/>
      </w:pPr>
      <w:r>
        <w:rPr>
          <w:b/>
        </w:rPr>
        <w:t xml:space="preserve">(c) Information. </w:t>
      </w:r>
      <w:r>
        <w:t>Notices shall explain the decision under consideration, legal authority, evidence, costs, alternatives, and constraints. Promotional summaries alone are insufficient where meaningful comment requires understanding tradeoffs.</w:t>
      </w:r>
    </w:p>
    <w:p>
      <w:pPr>
        <w:pStyle w:val="LegalBody"/>
      </w:pPr>
      <w:r>
        <w:rPr>
          <w:b/>
        </w:rPr>
        <w:t xml:space="preserve">(d) Response. </w:t>
      </w:r>
      <w:r>
        <w:t>Final decisions shall address material comments and explain changes or reasons for declining a proposal. An agency need not respond separately to identical submissions but shall not disregard a substantive issue because it was raised by a person without professional credentials.</w:t>
      </w:r>
    </w:p>
    <w:p>
      <w:pPr>
        <w:pStyle w:val="LegalBody"/>
      </w:pPr>
      <w:r>
        <w:rPr>
          <w:b/>
        </w:rPr>
        <w:t xml:space="preserve">(e) Limits. </w:t>
      </w:r>
      <w:r>
        <w:t>Participation informs lawful governmental decisions; it does not confer a veto, replace required adjudication, or permit a majority to waive an individual's statutory rights. Agencies shall distinguish public preferences, empirical evidence, legal requirements, and budget constraints.</w:t>
      </w:r>
    </w:p>
    <w:p>
      <w:bookmarkStart w:id="280" w:name="SEC_2602"/>
      <w:pPr>
        <w:pStyle w:val="Heading2"/>
      </w:pPr>
      <w:r>
        <w:t>SEC. 2602. STATE AND LOCAL COOPERATION.</w:t>
      </w:r>
      <w:bookmarkEnd w:id="280"/>
    </w:p>
    <w:p>
      <w:pPr>
        <w:pStyle w:val="LegalBody"/>
      </w:pPr>
      <w:r>
        <w:rPr>
          <w:b/>
        </w:rPr>
        <w:t xml:space="preserve">(a) Voluntary agreements. </w:t>
      </w:r>
      <w:r>
        <w:t>Agencies may enter cooperative agreements with States and local governments for eligible services, research, infrastructure, and evaluation. The agreement shall identify responsibilities, funding, data use, reporting, dispute resolution, and termination.</w:t>
      </w:r>
    </w:p>
    <w:p>
      <w:pPr>
        <w:pStyle w:val="LegalBody"/>
      </w:pPr>
      <w:r>
        <w:rPr>
          <w:b/>
        </w:rPr>
        <w:t xml:space="preserve">(b) Clear conditions. </w:t>
      </w:r>
      <w:r>
        <w:t>Before acceptance, the recipient shall receive all material conditions, including rights, financial controls, maintenance, records, and remedies. A condition shall relate to the funded activity and shall not be expanded retroactively through guidance.</w:t>
      </w:r>
    </w:p>
    <w:p>
      <w:pPr>
        <w:pStyle w:val="LegalBody"/>
      </w:pPr>
      <w:r>
        <w:rPr>
          <w:b/>
        </w:rPr>
        <w:t xml:space="preserve">(c) No commandeering. </w:t>
      </w:r>
      <w:r>
        <w:t>A State or locality is not required to legislate, administer, or enforce a Federal program. Declining assistance shall not reduce an unrelated existing Federal program or trigger a penalty outside the offered award.</w:t>
      </w:r>
    </w:p>
    <w:p>
      <w:pPr>
        <w:pStyle w:val="LegalBody"/>
      </w:pPr>
      <w:r>
        <w:rPr>
          <w:b/>
        </w:rPr>
        <w:t xml:space="preserve">(d) Flexibility. </w:t>
      </w:r>
      <w:r>
        <w:t>Agencies may permit equivalent local delivery methods where statutory objectives and minimum protections are met. Flexibility shall concern implementation, not waiver of individual rights, consent, financial integrity, or required evaluation.</w:t>
      </w:r>
    </w:p>
    <w:p>
      <w:pPr>
        <w:pStyle w:val="LegalBody"/>
      </w:pPr>
      <w:r>
        <w:rPr>
          <w:b/>
        </w:rPr>
        <w:t xml:space="preserve">(e) Disputes. </w:t>
      </w:r>
      <w:r>
        <w:t>A recipient may seek administrative review of a material interpretation or proposed grant remedy under title XXVIII. The agency shall identify the condition accepted and the conduct alleged to violate it. A disagreement about policy does not itself establish noncompliance.</w:t>
      </w:r>
    </w:p>
    <w:p>
      <w:bookmarkStart w:id="281" w:name="SEC_2603"/>
      <w:pPr>
        <w:pStyle w:val="Heading2"/>
      </w:pPr>
      <w:r>
        <w:t>SEC. 2603. TRIBAL CONSULTATION AND CONSENT FOR FUNDED PROJECTS.</w:t>
      </w:r>
      <w:bookmarkEnd w:id="281"/>
    </w:p>
    <w:p>
      <w:pPr>
        <w:pStyle w:val="LegalBody"/>
      </w:pPr>
      <w:r>
        <w:rPr>
          <w:b/>
        </w:rPr>
        <w:t xml:space="preserve">(a) Consultation. </w:t>
      </w:r>
      <w:r>
        <w:t>Agencies shall consult Indian Tribes early in developing actions under this Act that materially affect tribal interests, programs, lands, or protected knowledge. Consultation shall be government-to-government and shall not be replaced by general public notice.</w:t>
      </w:r>
    </w:p>
    <w:p>
      <w:pPr>
        <w:pStyle w:val="LegalBody"/>
      </w:pPr>
      <w:r>
        <w:rPr>
          <w:b/>
        </w:rPr>
        <w:t xml:space="preserve">(b) Timing and resources. </w:t>
      </w:r>
      <w:r>
        <w:t>The agency shall provide information sufficient for informed participation and reasonable time for response, taking account of capacity and governing processes. Assistance may support participation costs where lawful and necessary.</w:t>
      </w:r>
    </w:p>
    <w:p>
      <w:pPr>
        <w:pStyle w:val="LegalBody"/>
      </w:pPr>
      <w:r>
        <w:rPr>
          <w:b/>
        </w:rPr>
        <w:t xml:space="preserve">(c) Project consent. </w:t>
      </w:r>
      <w:r>
        <w:t>A project financed under this Act on land subject to tribal governmental authority shall not proceed without the legally required tribal authorization. Use of tribal-controlled data or culturally restricted material shall comply with applicable law and the relevant agreement.</w:t>
      </w:r>
    </w:p>
    <w:p>
      <w:pPr>
        <w:pStyle w:val="LegalBody"/>
      </w:pPr>
      <w:r>
        <w:rPr>
          <w:b/>
        </w:rPr>
        <w:t xml:space="preserve">(d) Sovereignty. </w:t>
      </w:r>
      <w:r>
        <w:t>This Act does not diminish treaty rights, tribal jurisdiction, sovereign immunity, trust responsibilities, or self-governance authority. Acceptance of a grant does not itself waive immunity or authorize Federal control of unrelated tribal affairs.</w:t>
      </w:r>
    </w:p>
    <w:p>
      <w:pPr>
        <w:pStyle w:val="LegalBody"/>
      </w:pPr>
      <w:r>
        <w:rPr>
          <w:b/>
        </w:rPr>
        <w:t xml:space="preserve">(e) Record. </w:t>
      </w:r>
      <w:r>
        <w:t>Agencies shall document issues raised, responses, agreements, and unresolved concerns. A lack of response shall not be described as consent where affirmative authorization is required. Consultation does not permit an agency to disregard a statutory duty, but the agency shall explain lawful alternatives and the basis for any final action.</w:t>
      </w:r>
    </w:p>
    <w:p>
      <w:bookmarkStart w:id="282" w:name="SEC_2604"/>
      <w:pPr>
        <w:pStyle w:val="Heading2"/>
      </w:pPr>
      <w:r>
        <w:t>SEC. 2604. COMMUNITY ADVISORY PANELS.</w:t>
      </w:r>
      <w:bookmarkEnd w:id="282"/>
    </w:p>
    <w:p>
      <w:pPr>
        <w:pStyle w:val="LegalBody"/>
      </w:pPr>
      <w:r>
        <w:rPr>
          <w:b/>
        </w:rPr>
        <w:t xml:space="preserve">(a) Panels. </w:t>
      </w:r>
      <w:r>
        <w:t>A recipient may establish an advisory panel to improve delivery, access, and accountability. Panels shall have a defined advisory role, transparent selection, reasonable terms, and conflict-of-interest procedures.</w:t>
      </w:r>
    </w:p>
    <w:p>
      <w:pPr>
        <w:pStyle w:val="LegalBody"/>
      </w:pPr>
      <w:r>
        <w:rPr>
          <w:b/>
        </w:rPr>
        <w:t xml:space="preserve">(b) Participation. </w:t>
      </w:r>
      <w:r>
        <w:t>Membership shall include relevant service users and persons facing access barriers, with accommodations and reasonable compensation for time and expenses. Selection shall not require political agreement, public disclosure of intimate information, or an ability to attend unpaid meetings during working hours.</w:t>
      </w:r>
    </w:p>
    <w:p>
      <w:pPr>
        <w:pStyle w:val="LegalBody"/>
      </w:pPr>
      <w:r>
        <w:rPr>
          <w:b/>
        </w:rPr>
        <w:t xml:space="preserve">(c) Limits. </w:t>
      </w:r>
      <w:r>
        <w:t>A panel shall not determine an individual's eligibility, impose a penalty, conduct a clinical assessment, or exercise governmental power without a separate lawful authorization. It shall not replace a legally required board, elected body, or adjudicator.</w:t>
      </w:r>
    </w:p>
    <w:p>
      <w:pPr>
        <w:pStyle w:val="LegalBody"/>
      </w:pPr>
      <w:r>
        <w:rPr>
          <w:b/>
        </w:rPr>
        <w:t xml:space="preserve">(d) Confidentiality. </w:t>
      </w:r>
      <w:r>
        <w:t>Members shall receive only information necessary for their work. Individual case information shall ordinarily be anonymized, and a participant shall not be pressured to discuss a private case publicly.</w:t>
      </w:r>
    </w:p>
    <w:p>
      <w:pPr>
        <w:pStyle w:val="LegalBody"/>
      </w:pPr>
      <w:r>
        <w:rPr>
          <w:b/>
        </w:rPr>
        <w:t xml:space="preserve">(e) Accountability. </w:t>
      </w:r>
      <w:r>
        <w:t>The recipient shall respond to material recommendations and report how advice affected delivery. A panel shall not be used as a ceremonial endorsement of decisions already fixed. Federal panels remain subject to applicable advisory-committee law and shall not exercise significant governmental authority reserved to properly appointed officers.</w:t>
      </w:r>
    </w:p>
    <w:p>
      <w:bookmarkStart w:id="283" w:name="SEC_2605"/>
      <w:pPr>
        <w:pStyle w:val="Heading2"/>
      </w:pPr>
      <w:r>
        <w:t>SEC. 2605. DELIBERATIVE RESEARCH AND PUBLIC UNDERSTANDING.</w:t>
      </w:r>
      <w:bookmarkEnd w:id="283"/>
    </w:p>
    <w:p>
      <w:pPr>
        <w:pStyle w:val="LegalBody"/>
      </w:pPr>
      <w:r>
        <w:rPr>
          <w:b/>
        </w:rPr>
        <w:t xml:space="preserve">(a) Demonstrations. </w:t>
      </w:r>
      <w:r>
        <w:t>Agencies may support research on accessible methods of public deliberation concerning scientific, ethical, and implementation questions relevant to this Act. Activities may include structured discussions, citizen panels, scenario review, and community workshops.</w:t>
      </w:r>
    </w:p>
    <w:p>
      <w:pPr>
        <w:pStyle w:val="LegalBody"/>
      </w:pPr>
      <w:r>
        <w:rPr>
          <w:b/>
        </w:rPr>
        <w:t xml:space="preserve">(b) Fair process. </w:t>
      </w:r>
      <w:r>
        <w:t>Materials shall accurately present the question, evidence, uncertainty, and lawful alternatives. Facilitation shall not pressure participants toward a predetermined political position. Selection methods and limitations shall be disclosed.</w:t>
      </w:r>
    </w:p>
    <w:p>
      <w:pPr>
        <w:pStyle w:val="LegalBody"/>
      </w:pPr>
      <w:r>
        <w:rPr>
          <w:b/>
        </w:rPr>
        <w:t xml:space="preserve">(c) No binding substitution. </w:t>
      </w:r>
      <w:r>
        <w:t>A deliberative exercise is advisory and shall not replace Congress, a lawful agency process, an election, a court, or an individual's consent. Its conclusions shall not be represented as the views of an entire population without a valid basis.</w:t>
      </w:r>
    </w:p>
    <w:p>
      <w:pPr>
        <w:pStyle w:val="LegalBody"/>
      </w:pPr>
      <w:r>
        <w:rPr>
          <w:b/>
        </w:rPr>
        <w:t xml:space="preserve">(d) Privacy. </w:t>
      </w:r>
      <w:r>
        <w:t>Participation shall be voluntary, and research use of statements shall require appropriate consent. Public identification shall be optional unless essential to a specifically disclosed public role.</w:t>
      </w:r>
    </w:p>
    <w:p>
      <w:pPr>
        <w:pStyle w:val="LegalBody"/>
      </w:pPr>
      <w:r>
        <w:rPr>
          <w:b/>
        </w:rPr>
        <w:t xml:space="preserve">(e) Evaluation. </w:t>
      </w:r>
      <w:r>
        <w:t>Studies shall examine comprehension, accessibility, participation, process fairness, and whether conclusions are sensitive to framing or selection. Agreement among participants is not proof that a factual claim is true or a legal choice is valid. Reports shall distinguish improved understanding from persuasion toward a preferred outcome.</w:t>
      </w:r>
    </w:p>
    <w:p>
      <w:bookmarkStart w:id="284" w:name="SEC_2606"/>
      <w:pPr>
        <w:pStyle w:val="Heading2"/>
      </w:pPr>
      <w:r>
        <w:t>SEC. 2606. TRANSPARENCY, RECORDS, AND PUBLIC EXPLANATION.</w:t>
      </w:r>
      <w:bookmarkEnd w:id="284"/>
    </w:p>
    <w:p>
      <w:pPr>
        <w:pStyle w:val="LegalBody"/>
      </w:pPr>
      <w:r>
        <w:rPr>
          <w:b/>
        </w:rPr>
        <w:t xml:space="preserve">(a) Publication. </w:t>
      </w:r>
      <w:r>
        <w:t>Agencies shall publish statutory plans, award notices, aggregate performance, final reports, and final interpretations in accessible formats. Materials shall identify the date, responsible office, legal status, and correction route.</w:t>
      </w:r>
    </w:p>
    <w:p>
      <w:pPr>
        <w:pStyle w:val="LegalBody"/>
      </w:pPr>
      <w:r>
        <w:rPr>
          <w:b/>
        </w:rPr>
        <w:t xml:space="preserve">(b) Records law. </w:t>
      </w:r>
      <w:r>
        <w:t>Disclosure remains subject to the Freedom of Information Act and other applicable records laws. This Act creates no general exemption for material labeled human research or innovation, and no general authority to disclose protected personal information.</w:t>
      </w:r>
    </w:p>
    <w:p>
      <w:pPr>
        <w:pStyle w:val="LegalBody"/>
      </w:pPr>
      <w:r>
        <w:rPr>
          <w:b/>
        </w:rPr>
        <w:t xml:space="preserve">(c) Plain language. </w:t>
      </w:r>
      <w:r>
        <w:t>A major rule or program shall have a plain-language explanation consistent with its legal effect, including who is covered, what is required, effective dates, costs, exceptions, complaints, and review. A summary shall not promise benefits absent from the operative text.</w:t>
      </w:r>
    </w:p>
    <w:p>
      <w:pPr>
        <w:pStyle w:val="LegalBody"/>
      </w:pPr>
      <w:r>
        <w:rPr>
          <w:b/>
        </w:rPr>
        <w:t xml:space="preserve">(d) Searchability. </w:t>
      </w:r>
      <w:r>
        <w:t>Public documents shall be searchable and available in reasonably interoperable formats where practicable. A document shall not be made effectively inaccessible through image-only publication when a text version can be provided.</w:t>
      </w:r>
    </w:p>
    <w:p>
      <w:pPr>
        <w:pStyle w:val="LegalBody"/>
      </w:pPr>
      <w:r>
        <w:rPr>
          <w:b/>
        </w:rPr>
        <w:t xml:space="preserve">(e) Corrections. </w:t>
      </w:r>
      <w:r>
        <w:t>Material mistakes shall be corrected with a dated explanation and preservation of necessary historical records. An agency shall not quietly alter a published deadline or eligibility condition in a manner that prejudices a person who reasonably relied on the prior official notice.</w:t>
      </w:r>
    </w:p>
    <w:p>
      <w:bookmarkStart w:id="285" w:name="SEC_2607"/>
      <w:pPr>
        <w:pStyle w:val="Heading2"/>
      </w:pPr>
      <w:r>
        <w:t>SEC. 2607. CONFLICTS OF INTEREST AND INTEGRITY OF ADVICE.</w:t>
      </w:r>
      <w:bookmarkEnd w:id="285"/>
    </w:p>
    <w:p>
      <w:pPr>
        <w:pStyle w:val="LegalBody"/>
      </w:pPr>
      <w:r>
        <w:rPr>
          <w:b/>
        </w:rPr>
        <w:t xml:space="preserve">(a) Disclosure. </w:t>
      </w:r>
      <w:r>
        <w:t>Persons serving in funded advisory, evaluation, procurement, or selection roles shall disclose material financial and institutional interests relevant to the work. Disclosures shall be proportionate and shall not require unrelated intimate information.</w:t>
      </w:r>
    </w:p>
    <w:p>
      <w:pPr>
        <w:pStyle w:val="LegalBody"/>
      </w:pPr>
      <w:r>
        <w:rPr>
          <w:b/>
        </w:rPr>
        <w:t xml:space="preserve">(b) Recusal. </w:t>
      </w:r>
      <w:r>
        <w:t>A person shall not participate in a decision uniquely affecting a disqualifying financial interest. The responsible official shall document recusals and safeguards. Broad professional experience or a previously expressed scientific view is not alone a disqualifying conflict.</w:t>
      </w:r>
    </w:p>
    <w:p>
      <w:pPr>
        <w:pStyle w:val="LegalBody"/>
      </w:pPr>
      <w:r>
        <w:rPr>
          <w:b/>
        </w:rPr>
        <w:t xml:space="preserve">(c) Gifts and influence. </w:t>
      </w:r>
      <w:r>
        <w:t>Applicable ethics, procurement, lobbying, and anti-corruption laws remain in effect. A recipient shall not use assistance to provide an undisclosed personal benefit to a decisionmaker or to purchase a favorable evaluation.</w:t>
      </w:r>
    </w:p>
    <w:p>
      <w:pPr>
        <w:pStyle w:val="LegalBody"/>
      </w:pPr>
      <w:r>
        <w:rPr>
          <w:b/>
        </w:rPr>
        <w:t xml:space="preserve">(d) Scientific independence. </w:t>
      </w:r>
      <w:r>
        <w:t>Sponsors may identify practical questions but shall not control the reporting of valid findings. Agreements shall preserve publication subject to lawful privacy, security, and intellectual-property limits.</w:t>
      </w:r>
    </w:p>
    <w:p>
      <w:pPr>
        <w:pStyle w:val="LegalBody"/>
      </w:pPr>
      <w:r>
        <w:rPr>
          <w:b/>
        </w:rPr>
        <w:t xml:space="preserve">(e) Review. </w:t>
      </w:r>
      <w:r>
        <w:t>Allegations shall be assessed fairly, with notice and opportunity to respond where appropriate. A conflict concern shall not be used as a pretext to exclude an inconvenient viewpoint. Verified violations may result in recusal, replacement, contract remedies, or enforcement under applicable law and title XXVIII.</w:t>
      </w:r>
    </w:p>
    <w:p>
      <w:bookmarkStart w:id="286" w:name="SEC_2608"/>
      <w:pPr>
        <w:pStyle w:val="Heading2"/>
      </w:pPr>
      <w:r>
        <w:t>SEC. 2608. PUBLIC COMPLAINTS AND SYSTEMIC FEEDBACK.</w:t>
      </w:r>
      <w:bookmarkEnd w:id="286"/>
    </w:p>
    <w:p>
      <w:pPr>
        <w:pStyle w:val="LegalBody"/>
      </w:pPr>
      <w:r>
        <w:rPr>
          <w:b/>
        </w:rPr>
        <w:t xml:space="preserve">(a) Portal and alternatives. </w:t>
      </w:r>
      <w:r>
        <w:t>The Director shall maintain a coordinated complaint entry point and nondigital alternatives. A complainant shall be directed to the agency with authority rather than required to understand the internal allocation of Federal responsibilities.</w:t>
      </w:r>
    </w:p>
    <w:p>
      <w:pPr>
        <w:pStyle w:val="LegalBody"/>
      </w:pPr>
      <w:r>
        <w:rPr>
          <w:b/>
        </w:rPr>
        <w:t xml:space="preserve">(b) Triage. </w:t>
      </w:r>
      <w:r>
        <w:t>Complaints shall be screened for urgency, jurisdiction, confidentiality, and the appropriate process. A serious safety concern shall receive prompt referral; an ordinary service complaint shall receive acknowledgment and a reasonable expected response interval.</w:t>
      </w:r>
    </w:p>
    <w:p>
      <w:pPr>
        <w:pStyle w:val="LegalBody"/>
      </w:pPr>
      <w:r>
        <w:rPr>
          <w:b/>
        </w:rPr>
        <w:t xml:space="preserve">(c) Records. </w:t>
      </w:r>
      <w:r>
        <w:t>The system shall record disposition and referral without creating a general personal profile. Duplicate complaints may be linked for administration, but a person's lawful criticism shall not be treated as misconduct.</w:t>
      </w:r>
    </w:p>
    <w:p>
      <w:pPr>
        <w:pStyle w:val="LegalBody"/>
      </w:pPr>
      <w:r>
        <w:rPr>
          <w:b/>
        </w:rPr>
        <w:t xml:space="preserve">(d) Feedback. </w:t>
      </w:r>
      <w:r>
        <w:t>Aggregate patterns shall inform audits, guidance, and program improvement. A complaint count shall be interpreted with access and reporting conditions; low volume is not conclusive evidence of good performance.</w:t>
      </w:r>
    </w:p>
    <w:p>
      <w:pPr>
        <w:pStyle w:val="LegalBody"/>
      </w:pPr>
      <w:r>
        <w:rPr>
          <w:b/>
        </w:rPr>
        <w:t xml:space="preserve">(e) Rights. </w:t>
      </w:r>
      <w:r>
        <w:t>Submission does not waive another remedy, extend a statutory filing deadline unless law permits, or guarantee an investigation. The agency shall explain these limits. Retaliation for good-faith reporting is prohibited under section 208, and confidentiality shall be protected to the extent permitted by law.</w:t>
      </w:r>
    </w:p>
    <w:p>
      <w:bookmarkStart w:id="287" w:name="SEC_2609"/>
      <w:pPr>
        <w:pStyle w:val="Heading2"/>
      </w:pPr>
      <w:r>
        <w:t>SEC. 2609. WAIVERS, EQUIVALENT METHODS, AND NONWAIVABLE CONDITIONS.</w:t>
      </w:r>
      <w:bookmarkEnd w:id="287"/>
    </w:p>
    <w:p>
      <w:pPr>
        <w:pStyle w:val="LegalBody"/>
      </w:pPr>
      <w:r>
        <w:rPr>
          <w:b/>
        </w:rPr>
        <w:t xml:space="preserve">(a) Limited flexibility. </w:t>
      </w:r>
      <w:r>
        <w:t>A lead agency may approve an equivalent administrative or delivery method where this Act expressly permits flexibility and the method satisfies the statutory objective, safeguards, and funding limitations. A waiver shall not be inferred from general grant authority.</w:t>
      </w:r>
    </w:p>
    <w:p>
      <w:pPr>
        <w:pStyle w:val="LegalBody"/>
      </w:pPr>
      <w:r>
        <w:rPr>
          <w:b/>
        </w:rPr>
        <w:t xml:space="preserve">(b) Nonwaivable provisions. </w:t>
      </w:r>
      <w:r>
        <w:t>No waiver under this Act may remove informed consent where required, authorize discrimination, permit prohibited neural or genetic coercion, eliminate a required complaint or judicial-review route, excuse fraud, or increase an appropriation.</w:t>
      </w:r>
    </w:p>
    <w:p>
      <w:pPr>
        <w:pStyle w:val="LegalBody"/>
      </w:pPr>
      <w:r>
        <w:rPr>
          <w:b/>
        </w:rPr>
        <w:t xml:space="preserve">(c) Application. </w:t>
      </w:r>
      <w:r>
        <w:t>A request shall identify the provision, legal waiver authority, proposed alternative, evidence, affected persons, duration, and evaluation. Public notice shall be provided for a material change affecting service users, with protection for confidential information.</w:t>
      </w:r>
    </w:p>
    <w:p>
      <w:pPr>
        <w:pStyle w:val="LegalBody"/>
      </w:pPr>
      <w:r>
        <w:rPr>
          <w:b/>
        </w:rPr>
        <w:t xml:space="preserve">(d) Decision. </w:t>
      </w:r>
      <w:r>
        <w:t>The agency shall issue written reasons, conditions, duration, and termination criteria. A waiver shall ordinarily last no more than 3 years unless the express authority provides otherwise, and renewal shall require new findings.</w:t>
      </w:r>
    </w:p>
    <w:p>
      <w:pPr>
        <w:pStyle w:val="LegalBody"/>
      </w:pPr>
      <w:r>
        <w:rPr>
          <w:b/>
        </w:rPr>
        <w:t xml:space="preserve">(e) Accountability. </w:t>
      </w:r>
      <w:r>
        <w:t>Approved waivers shall be publicly listed. A recipient shall not treat silence as approval or apply a waiver to unrelated activities. The agency shall review adverse effects and may revoke a waiver through fair procedures where conditions are not met, with transition protections for participants.</w:t>
      </w:r>
    </w:p>
    <w:p>
      <w:bookmarkStart w:id="288" w:name="SEC_2610"/>
      <w:pPr>
        <w:pStyle w:val="Heading2"/>
      </w:pPr>
      <w:r>
        <w:t>SEC. 2610. FEDERALISM AND PARTICIPATION REVIEW.</w:t>
      </w:r>
      <w:bookmarkEnd w:id="288"/>
    </w:p>
    <w:p>
      <w:pPr>
        <w:pStyle w:val="LegalBody"/>
      </w:pPr>
      <w:r>
        <w:rPr>
          <w:b/>
        </w:rPr>
        <w:t xml:space="preserve">(a) Review. </w:t>
      </w:r>
      <w:r>
        <w:t>The Director shall include in annual reporting the number and scope of cooperative agreements, consultations, waivers, complaints, and unresolved intergovernmental issues. Reports shall focus on actual implementation rather than meeting counts alone.</w:t>
      </w:r>
    </w:p>
    <w:p>
      <w:pPr>
        <w:pStyle w:val="LegalBody"/>
      </w:pPr>
      <w:r>
        <w:rPr>
          <w:b/>
        </w:rPr>
        <w:t xml:space="preserve">(b) Burden. </w:t>
      </w:r>
      <w:r>
        <w:t>Agencies shall assess administrative and compliance burdens on small jurisdictions, Indian Tribes, territories, nonprofit organizations, and service users. Technical assistance and simplified procedures may reduce burden without weakening substantive protections.</w:t>
      </w:r>
    </w:p>
    <w:p>
      <w:pPr>
        <w:pStyle w:val="LegalBody"/>
      </w:pPr>
      <w:r>
        <w:rPr>
          <w:b/>
        </w:rPr>
        <w:t xml:space="preserve">(c) Legal separation. </w:t>
      </w:r>
      <w:r>
        <w:t>A recommendation from a panel, international organization, or interagency council shall not be enforced as a condition unless lawfully adopted through the required process and within statutory authority.</w:t>
      </w:r>
    </w:p>
    <w:p>
      <w:pPr>
        <w:pStyle w:val="LegalBody"/>
      </w:pPr>
      <w:r>
        <w:rPr>
          <w:b/>
        </w:rPr>
        <w:t xml:space="preserve">(d) Participation quality. </w:t>
      </w:r>
      <w:r>
        <w:t>The 5-year review shall examine whether affected persons could understand proposals, access decision processes, and obtain meaningful responses. It shall distinguish consultation from consent and advice from binding authority.</w:t>
      </w:r>
    </w:p>
    <w:p>
      <w:pPr>
        <w:pStyle w:val="LegalBody"/>
      </w:pPr>
      <w:r>
        <w:rPr>
          <w:b/>
        </w:rPr>
        <w:t xml:space="preserve">(e) Savings. </w:t>
      </w:r>
      <w:r>
        <w:t>This title does not amend election law, political-party rules, legislative representation, or constitutional amendment procedures. It concerns participation in the administration and research of this Act. No public participation mechanism created here may override an individual's rights or enlarge Federal authority beyond the express provisions enacted by Congress.</w:t>
      </w:r>
    </w:p>
    <w:p>
      <w:bookmarkStart w:id="289" w:name="TITLE_XXVII"/>
      <w:pPr>
        <w:pStyle w:val="Heading1"/>
        <w:pageBreakBefore/>
      </w:pPr>
      <w:r>
        <w:t>TITLE XXVII. GRANTS, PROCUREMENT, DELIVERY, AND FINANCIAL CONTROLS</w:t>
      </w:r>
      <w:bookmarkEnd w:id="289"/>
    </w:p>
    <w:p>
      <w:bookmarkStart w:id="290" w:name="SEC_2701"/>
      <w:pPr>
        <w:pStyle w:val="Heading2"/>
      </w:pPr>
      <w:r>
        <w:t>SEC. 2701. COMMON AWARD AUTHORITY AND ELIGIBLE RECIPIENTS.</w:t>
      </w:r>
      <w:bookmarkEnd w:id="290"/>
    </w:p>
    <w:p>
      <w:pPr>
        <w:pStyle w:val="LegalBody"/>
      </w:pPr>
      <w:r>
        <w:rPr>
          <w:b/>
        </w:rPr>
        <w:t xml:space="preserve">(a) Authority. </w:t>
      </w:r>
      <w:r>
        <w:t>A lead agency may make grants, cooperative agreements, and contracts necessary to carry out programs expressly authorized by this Act, subject to the account purposes and amounts in title XXIX. This section creates no independent program outside those purposes.</w:t>
      </w:r>
    </w:p>
    <w:p>
      <w:pPr>
        <w:pStyle w:val="LegalBody"/>
      </w:pPr>
      <w:r>
        <w:rPr>
          <w:b/>
        </w:rPr>
        <w:t xml:space="preserve">(b) Eligibility. </w:t>
      </w:r>
      <w:r>
        <w:t>Eligible recipients include States, local governments, Indian Tribes, public institutions, qualified nonprofit organizations, and research or educational institutions authorized by the applicable title. Private employers may participate in demonstrations expressly authorized by title XIV, and private owners or vendors may participate where a substantive title or lawful procurement permits.</w:t>
      </w:r>
    </w:p>
    <w:p>
      <w:pPr>
        <w:pStyle w:val="LegalBody"/>
      </w:pPr>
      <w:r>
        <w:rPr>
          <w:b/>
        </w:rPr>
        <w:t xml:space="preserve">(c) Capacity. </w:t>
      </w:r>
      <w:r>
        <w:t>An applicant shall demonstrate legal existence, authority to perform the activity, financial controls, relevant competence, safeguarding, and ability to meet the proposed commitment. An established reputation does not substitute for a feasible project plan.</w:t>
      </w:r>
    </w:p>
    <w:p>
      <w:pPr>
        <w:pStyle w:val="LegalBody"/>
      </w:pPr>
      <w:r>
        <w:rPr>
          <w:b/>
        </w:rPr>
        <w:t xml:space="preserve">(d) Subawards. </w:t>
      </w:r>
      <w:r>
        <w:t>A recipient may use subawards where permitted, but remains responsible for oversight. Material conditions shall flow to subrecipients and contractors according to their role. An intermediary shall not retain funds without performing a documented necessary function.</w:t>
      </w:r>
    </w:p>
    <w:p>
      <w:pPr>
        <w:pStyle w:val="LegalBody"/>
      </w:pPr>
      <w:r>
        <w:rPr>
          <w:b/>
        </w:rPr>
        <w:t xml:space="preserve">(e) Notice. </w:t>
      </w:r>
      <w:r>
        <w:t>Funding opportunities shall identify eligibility, purpose, amounts, duration, selection criteria, conditions, reporting, remedies, and statutory limits. No applicant shall be required to infer a material obligation from an unpublished manual or a broad statement of program values.</w:t>
      </w:r>
    </w:p>
    <w:p>
      <w:bookmarkStart w:id="291" w:name="SEC_2702"/>
      <w:pPr>
        <w:pStyle w:val="Heading2"/>
      </w:pPr>
      <w:r>
        <w:t>SEC. 2702. APPLICATIONS, EVIDENCE, AND DELIVERY PLANS.</w:t>
      </w:r>
      <w:bookmarkEnd w:id="291"/>
    </w:p>
    <w:p>
      <w:pPr>
        <w:pStyle w:val="LegalBody"/>
      </w:pPr>
      <w:r>
        <w:rPr>
          <w:b/>
        </w:rPr>
        <w:t xml:space="preserve">(a) Application contents. </w:t>
      </w:r>
      <w:r>
        <w:t>An application shall describe the need, population, activities, legal authority, evidence status, alternatives, workforce, partners, schedule, budget, accessibility, consent, privacy, safeguarding, evaluation, and continuation or closure plan.</w:t>
      </w:r>
    </w:p>
    <w:p>
      <w:pPr>
        <w:pStyle w:val="LegalBody"/>
      </w:pPr>
      <w:r>
        <w:rPr>
          <w:b/>
        </w:rPr>
        <w:t xml:space="preserve">(b) Evidence. </w:t>
      </w:r>
      <w:r>
        <w:t>The applicant shall identify whether the proposal implements an established practice, adapts a context-dependent approach, or tests a hypothesis. A demonstration is eligible where authorized, but uncertainty shall be disclosed and addressed through a suitable design.</w:t>
      </w:r>
    </w:p>
    <w:p>
      <w:pPr>
        <w:pStyle w:val="LegalBody"/>
      </w:pPr>
      <w:r>
        <w:rPr>
          <w:b/>
        </w:rPr>
        <w:t xml:space="preserve">(c) Costs. </w:t>
      </w:r>
      <w:r>
        <w:t>Budgets shall include direct services, administration, facilities, land where applicable, technology, training, maintenance, insurance, compliance, and evaluation. Contributions shall be documented as secured, conditional, or anticipated. An unsupported future donation is not secured financing.</w:t>
      </w:r>
    </w:p>
    <w:p>
      <w:pPr>
        <w:pStyle w:val="LegalBody"/>
      </w:pPr>
      <w:r>
        <w:rPr>
          <w:b/>
        </w:rPr>
        <w:t xml:space="preserve">(d) Proportionality. </w:t>
      </w:r>
      <w:r>
        <w:t>Agencies shall offer simplified applications for small awards and permit incorporation of existing plans where current and relevant. Simplification shall not remove information necessary to assess safety, legality, financial capacity, or material risk.</w:t>
      </w:r>
    </w:p>
    <w:p>
      <w:pPr>
        <w:pStyle w:val="LegalBody"/>
      </w:pPr>
      <w:r>
        <w:rPr>
          <w:b/>
        </w:rPr>
        <w:t xml:space="preserve">(e) Review. </w:t>
      </w:r>
      <w:r>
        <w:t>Applications shall be evaluated by qualified personnel under published criteria. Material conflicts shall be disclosed and managed. The agency shall retain a record sufficient to explain selection, rejection, and the amount awarded, subject to lawful protection of confidential information.</w:t>
      </w:r>
    </w:p>
    <w:p>
      <w:bookmarkStart w:id="292" w:name="SEC_2703"/>
      <w:pPr>
        <w:pStyle w:val="Heading2"/>
      </w:pPr>
      <w:r>
        <w:t>SEC. 2703. ALLOCATION, ACCESS, AND GEOGRAPHIC FAIRNESS.</w:t>
      </w:r>
      <w:bookmarkEnd w:id="292"/>
    </w:p>
    <w:p>
      <w:pPr>
        <w:pStyle w:val="LegalBody"/>
      </w:pPr>
      <w:r>
        <w:rPr>
          <w:b/>
        </w:rPr>
        <w:t xml:space="preserve">(a) Criteria. </w:t>
      </w:r>
      <w:r>
        <w:t>Awards shall consider documented need, expected effectiveness, feasibility, access, cost, evidence quality, community participation, and the capacity to evaluate and sustain the activity. No political loyalty, ideological agreement, or personal relationship may serve as an award criterion.</w:t>
      </w:r>
    </w:p>
    <w:p>
      <w:pPr>
        <w:pStyle w:val="LegalBody"/>
      </w:pPr>
      <w:r>
        <w:rPr>
          <w:b/>
        </w:rPr>
        <w:t xml:space="preserve">(b) Underserved settings. </w:t>
      </w:r>
      <w:r>
        <w:t>Agencies shall provide technical assistance and appropriate competition structures for rural areas, Indian Tribes, territories, low-resource institutions, and populations poorly served by existing systems. Lack of grant-writing capacity shall not be confused with lack of need.</w:t>
      </w:r>
    </w:p>
    <w:p>
      <w:pPr>
        <w:pStyle w:val="LegalBody"/>
      </w:pPr>
      <w:r>
        <w:rPr>
          <w:b/>
        </w:rPr>
        <w:t xml:space="preserve">(c) Reservations. </w:t>
      </w:r>
      <w:r>
        <w:t>Of domestic nonresearch competitive grant funds under this Act, 5 percent shall be reserved for eligible tribal applicants and 2 percent for eligible territorial applicants. These reservations apply in the aggregate across accounts, shall not be counted twice, and do not reduce eligibility to compete for other funds.</w:t>
      </w:r>
    </w:p>
    <w:p>
      <w:pPr>
        <w:pStyle w:val="LegalBody"/>
      </w:pPr>
      <w:r>
        <w:rPr>
          <w:b/>
        </w:rPr>
        <w:t xml:space="preserve">(d) Reallocation. </w:t>
      </w:r>
      <w:r>
        <w:t>If eligible demand for a reservation remains below available funds after adequate outreach and a second application opportunity, the agency may reallocate the remainder within the same account after public notice and explanation. The Director shall report the reason and steps to improve future access.</w:t>
      </w:r>
    </w:p>
    <w:p>
      <w:pPr>
        <w:pStyle w:val="LegalBody"/>
      </w:pPr>
      <w:r>
        <w:rPr>
          <w:b/>
        </w:rPr>
        <w:t xml:space="preserve">(e) Transparency. </w:t>
      </w:r>
      <w:r>
        <w:t>Agencies shall publish aggregate allocation by geography and population served, with privacy protection. Geographic distribution alone shall not override scientific merit in research or justify funding an unsafe project. A reservation creates an opportunity for eligible awards, not an unconditional entitlement to a particular applicant.</w:t>
      </w:r>
    </w:p>
    <w:p>
      <w:bookmarkStart w:id="293" w:name="SEC_2704"/>
      <w:pPr>
        <w:pStyle w:val="Heading2"/>
      </w:pPr>
      <w:r>
        <w:t>SEC. 2704. FEDERAL SHARE AND VOLUNTARY ACCEPTANCE.</w:t>
      </w:r>
      <w:bookmarkEnd w:id="293"/>
    </w:p>
    <w:p>
      <w:pPr>
        <w:pStyle w:val="LegalBody"/>
      </w:pPr>
      <w:r>
        <w:rPr>
          <w:b/>
        </w:rPr>
        <w:t xml:space="preserve">(a) Federal share. </w:t>
      </w:r>
      <w:r>
        <w:t>Operating, research, technical-assistance, and evaluation awards may finance up to 100 percent of allowable costs. Capital awards ordinarily shall not exceed 90 percent of allowable project costs unless subsection (b) applies.</w:t>
      </w:r>
    </w:p>
    <w:p>
      <w:pPr>
        <w:pStyle w:val="LegalBody"/>
      </w:pPr>
      <w:r>
        <w:rPr>
          <w:b/>
        </w:rPr>
        <w:t xml:space="preserve">(b) Hardship. </w:t>
      </w:r>
      <w:r>
        <w:t>The agency may provide up to 100 percent for an Indian Tribe, a territory, or an applicant demonstrating that required matching would prevent an otherwise meritorious project serving substantial unmet need. The determination shall consider fiscal capacity, poverty, disaster effects, and available non-Federal resources, with written reasons.</w:t>
      </w:r>
    </w:p>
    <w:p>
      <w:pPr>
        <w:pStyle w:val="LegalBody"/>
      </w:pPr>
      <w:r>
        <w:rPr>
          <w:b/>
        </w:rPr>
        <w:t xml:space="preserve">(c) Contributions. </w:t>
      </w:r>
      <w:r>
        <w:t>A required contribution may include allowable documented in-kind resources under applicable grant rules, but shall not include uncompensated labor that violates law, another Federal award unless authorized, or a contribution already counted for a different requirement.</w:t>
      </w:r>
    </w:p>
    <w:p>
      <w:pPr>
        <w:pStyle w:val="LegalBody"/>
      </w:pPr>
      <w:r>
        <w:rPr>
          <w:b/>
        </w:rPr>
        <w:t xml:space="preserve">(d) Acceptance. </w:t>
      </w:r>
      <w:r>
        <w:t>Material conditions shall be provided before acceptance, including express notice of the private action, actual damages including proven emotional distress, attorney fees, and immunity limitations in section 2807. A recipient may decline the award without loss of unrelated existing Federal assistance. Acceptance binds only the funded activity and related administration as specified.</w:t>
      </w:r>
    </w:p>
    <w:p>
      <w:pPr>
        <w:pStyle w:val="LegalBody"/>
      </w:pPr>
      <w:r>
        <w:rPr>
          <w:b/>
        </w:rPr>
        <w:t xml:space="preserve">(e) Changes. </w:t>
      </w:r>
      <w:r>
        <w:t>An agency shall not add a materially burdensome condition retroactively to an accepted award without lawful authority and agreement where required. A statutory change enacted by Congress shall be implemented according to its terms, with notice and transition. This section does not promise that funding conditions can never change for future awards.</w:t>
      </w:r>
    </w:p>
    <w:p>
      <w:bookmarkStart w:id="294" w:name="SEC_2705"/>
      <w:pPr>
        <w:pStyle w:val="Heading2"/>
      </w:pPr>
      <w:r>
        <w:t>SEC. 2705. MILESTONES, DISBURSEMENT, AND PERFORMANCE.</w:t>
      </w:r>
      <w:bookmarkEnd w:id="294"/>
    </w:p>
    <w:p>
      <w:pPr>
        <w:pStyle w:val="LegalBody"/>
      </w:pPr>
      <w:r>
        <w:rPr>
          <w:b/>
        </w:rPr>
        <w:t xml:space="preserve">(a) Award terms. </w:t>
      </w:r>
      <w:r>
        <w:t>Each award shall state the period of performance, authorized activities, funding ceiling, milestones, reporting schedule, evaluation requirements, and consequences of nonperformance. Milestones shall reflect actual delivery rather than publicity events.</w:t>
      </w:r>
    </w:p>
    <w:p>
      <w:pPr>
        <w:pStyle w:val="LegalBody"/>
      </w:pPr>
      <w:r>
        <w:rPr>
          <w:b/>
        </w:rPr>
        <w:t xml:space="preserve">(b) Disbursement. </w:t>
      </w:r>
      <w:r>
        <w:t>Payments shall comply with Federal cash-management and grant rules and shall be tied to allowable obligations, reasonable advances, or verified progress as appropriate. A recipient shall not hold excessive idle balances or use funds for unrelated activities.</w:t>
      </w:r>
    </w:p>
    <w:p>
      <w:pPr>
        <w:pStyle w:val="LegalBody"/>
      </w:pPr>
      <w:r>
        <w:rPr>
          <w:b/>
        </w:rPr>
        <w:t xml:space="preserve">(c) Monitoring. </w:t>
      </w:r>
      <w:r>
        <w:t>Agencies shall use risk-based monitoring proportionate to award size, recipient history, complexity, and consequence. Monitoring may include financial review, site visits, participant feedback, and verification of outputs.</w:t>
      </w:r>
    </w:p>
    <w:p>
      <w:pPr>
        <w:pStyle w:val="LegalBody"/>
      </w:pPr>
      <w:r>
        <w:rPr>
          <w:b/>
        </w:rPr>
        <w:t xml:space="preserve">(d) Changes. </w:t>
      </w:r>
      <w:r>
        <w:t>Material changes in scope, key personnel, site, budget, evidence, or safety shall be reported and approved where required. An agency may permit a justified adjustment within statutory and financial limits, with an updated evaluation and delivery plan.</w:t>
      </w:r>
    </w:p>
    <w:p>
      <w:pPr>
        <w:pStyle w:val="LegalBody"/>
      </w:pPr>
      <w:r>
        <w:rPr>
          <w:b/>
        </w:rPr>
        <w:t xml:space="preserve">(e) Underperformance. </w:t>
      </w:r>
      <w:r>
        <w:t>A missed milestone shall prompt assessment of causes and an appropriate corrective response. The agency shall distinguish a remediable delay from fraud, serious harm, or an infeasible project. Continued payment shall not be automatic, and termination shall include fair process and necessary transition for affected participants.</w:t>
      </w:r>
    </w:p>
    <w:p>
      <w:bookmarkStart w:id="295" w:name="SEC_2706"/>
      <w:pPr>
        <w:pStyle w:val="Heading2"/>
      </w:pPr>
      <w:r>
        <w:t>SEC. 2706. ALLOWABLE COSTS, INDIRECT COSTS, AND PROCUREMENT.</w:t>
      </w:r>
      <w:bookmarkEnd w:id="295"/>
    </w:p>
    <w:p>
      <w:pPr>
        <w:pStyle w:val="LegalBody"/>
      </w:pPr>
      <w:r>
        <w:rPr>
          <w:b/>
        </w:rPr>
        <w:t xml:space="preserve">(a) Costs. </w:t>
      </w:r>
      <w:r>
        <w:t>Expenditures shall be necessary, reasonable, allocable, documented, and consistent with applicable Federal cost principles. Costs shall not be charged to more than one source, and a recipient shall maintain records linking expenditure to the authorized activity.</w:t>
      </w:r>
    </w:p>
    <w:p>
      <w:pPr>
        <w:pStyle w:val="LegalBody"/>
      </w:pPr>
      <w:r>
        <w:rPr>
          <w:b/>
        </w:rPr>
        <w:t xml:space="preserve">(b) Indirect costs. </w:t>
      </w:r>
      <w:r>
        <w:t>Applicable negotiated indirect-cost agreements and Federal grant rules shall govern unless a specific statutory limitation applies. An agency shall not impose an informal cap that conflicts with those rules. Direct service coordination shall be classified according to actual function rather than relabeled to evade oversight.</w:t>
      </w:r>
    </w:p>
    <w:p>
      <w:pPr>
        <w:pStyle w:val="LegalBody"/>
      </w:pPr>
      <w:r>
        <w:rPr>
          <w:b/>
        </w:rPr>
        <w:t xml:space="preserve">(c) Procurement. </w:t>
      </w:r>
      <w:r>
        <w:t>Recipients shall use lawful competitive procedures, manage conflicts, verify performance, and retain appropriate records. Sole-source procurement shall have a documented legal basis and price analysis.</w:t>
      </w:r>
    </w:p>
    <w:p>
      <w:pPr>
        <w:pStyle w:val="LegalBody"/>
      </w:pPr>
      <w:r>
        <w:rPr>
          <w:b/>
        </w:rPr>
        <w:t xml:space="preserve">(d) Technology. </w:t>
      </w:r>
      <w:r>
        <w:t>Contracts shall address accessibility, privacy, security, interoperability, ownership, audit, data return, deletion, and exit. A vendor's proprietary terms shall not prevent a recipient from satisfying statutory notice, explanation, or judicial-review duties.</w:t>
      </w:r>
    </w:p>
    <w:p>
      <w:pPr>
        <w:pStyle w:val="LegalBody"/>
      </w:pPr>
      <w:r>
        <w:rPr>
          <w:b/>
        </w:rPr>
        <w:t xml:space="preserve">(e) Prohibited charges. </w:t>
      </w:r>
      <w:r>
        <w:t>Funds shall not finance partisan electoral activity, unlawful lobbying, personal gifts, unrelated entertainment, fines for the recipient's misconduct, or a prohibited clinical or research activity. This does not prohibit a lawful cultural program merely because it is enjoyable or expressive; the expenditure must serve the authorized purpose and comply with applicable law.</w:t>
      </w:r>
    </w:p>
    <w:p>
      <w:bookmarkStart w:id="296" w:name="SEC_2707"/>
      <w:pPr>
        <w:pStyle w:val="Heading2"/>
      </w:pPr>
      <w:r>
        <w:t>SEC. 2707. LAND, TRIBAL RIGHTS, AND ENVIRONMENTAL COMPLIANCE.</w:t>
      </w:r>
      <w:bookmarkEnd w:id="296"/>
    </w:p>
    <w:p>
      <w:pPr>
        <w:pStyle w:val="LegalBody"/>
      </w:pPr>
      <w:r>
        <w:rPr>
          <w:b/>
        </w:rPr>
        <w:t xml:space="preserve">(a) Prerequisites. </w:t>
      </w:r>
      <w:r>
        <w:t>Before obligating funds for acquisition or construction, the agency shall verify legal site control, necessary permissions, environmental and historic-preservation review, accessibility, relocation obligations, and relevant tribal consultation or consent.</w:t>
      </w:r>
    </w:p>
    <w:p>
      <w:pPr>
        <w:pStyle w:val="LegalBody"/>
      </w:pPr>
      <w:r>
        <w:rPr>
          <w:b/>
        </w:rPr>
        <w:t xml:space="preserve">(b) Sequencing. </w:t>
      </w:r>
      <w:r>
        <w:t>A recipient shall not take an irreversible action intended to foreclose alternatives before required review is complete. Preliminary planning may proceed where lawful and does not prejudice the decision.</w:t>
      </w:r>
    </w:p>
    <w:p>
      <w:pPr>
        <w:pStyle w:val="LegalBody"/>
      </w:pPr>
      <w:r>
        <w:rPr>
          <w:b/>
        </w:rPr>
        <w:t xml:space="preserve">(c) Rights. </w:t>
      </w:r>
      <w:r>
        <w:t>Awards shall respect treaty rights, tribal authority, cultural materials, and lawful land tenure. This Act does not create an exception to repatriation, environmental, or historic-preservation law.</w:t>
      </w:r>
    </w:p>
    <w:p>
      <w:pPr>
        <w:pStyle w:val="LegalBody"/>
      </w:pPr>
      <w:r>
        <w:rPr>
          <w:b/>
        </w:rPr>
        <w:t xml:space="preserve">(d) Costs. </w:t>
      </w:r>
      <w:r>
        <w:t>Compliance, mitigation, relocation, and necessary consultation shall be included in the project budget. A proposal shall not be described as fully financed while omitting known legal prerequisites.</w:t>
      </w:r>
    </w:p>
    <w:p>
      <w:pPr>
        <w:pStyle w:val="LegalBody"/>
      </w:pPr>
      <w:r>
        <w:rPr>
          <w:b/>
        </w:rPr>
        <w:t xml:space="preserve">(e) Verification. </w:t>
      </w:r>
      <w:r>
        <w:t>The agency shall document completion or lawful applicability of each required review. A recipient certification may support review but does not excuse known contrary facts. Material noncompliance may result in suspension, correction, or recovery under title XXVIII, with protection for persons who would otherwise be harmed by abrupt abandonment of a partially completed project.</w:t>
      </w:r>
    </w:p>
    <w:p>
      <w:bookmarkStart w:id="297" w:name="SEC_2708"/>
      <w:pPr>
        <w:pStyle w:val="Heading2"/>
      </w:pPr>
      <w:r>
        <w:t>SEC. 2708. CAPITAL USE, MAINTENANCE, AND DISPOSITION.</w:t>
      </w:r>
      <w:bookmarkEnd w:id="297"/>
    </w:p>
    <w:p>
      <w:pPr>
        <w:pStyle w:val="LegalBody"/>
      </w:pPr>
      <w:r>
        <w:rPr>
          <w:b/>
        </w:rPr>
        <w:t xml:space="preserve">(a) Useful-life obligation. </w:t>
      </w:r>
      <w:r>
        <w:t>A capital award shall specify the period of required public use and maintenance, ordinarily 20 years for real-property improvements and the reasonably expected useful life for equipment. A shorter period requires written justification based on the asset and public purpose.</w:t>
      </w:r>
    </w:p>
    <w:p>
      <w:pPr>
        <w:pStyle w:val="LegalBody"/>
      </w:pPr>
      <w:r>
        <w:rPr>
          <w:b/>
        </w:rPr>
        <w:t xml:space="preserve">(b) Plan. </w:t>
      </w:r>
      <w:r>
        <w:t>The recipient shall identify ownership, staffing, utilities, maintenance, reserves, insurance, repair, replacement, and inspection. A 5-year operating forecast required by a substantive title is a planning component and does not shorten the useful-life obligation under this section.</w:t>
      </w:r>
    </w:p>
    <w:p>
      <w:pPr>
        <w:pStyle w:val="LegalBody"/>
      </w:pPr>
      <w:r>
        <w:rPr>
          <w:b/>
        </w:rPr>
        <w:t xml:space="preserve">(c) Conversion. </w:t>
      </w:r>
      <w:r>
        <w:t>Sale, closure, conversion, or transfer affecting the funded purpose requires agency approval where required by the award. The agency may require continued conditions, transfer to an eligible successor, or proportionate recapture consistent with law.</w:t>
      </w:r>
    </w:p>
    <w:p>
      <w:pPr>
        <w:pStyle w:val="LegalBody"/>
      </w:pPr>
      <w:r>
        <w:rPr>
          <w:b/>
        </w:rPr>
        <w:t xml:space="preserve">(d) Failure. </w:t>
      </w:r>
      <w:r>
        <w:t>A recipient shall report a material threat to continued operation promptly. The agency shall consider repair, redesign, transfer, or orderly closure and shall not assume that additional appropriations will be provided.</w:t>
      </w:r>
    </w:p>
    <w:p>
      <w:pPr>
        <w:pStyle w:val="LegalBody"/>
      </w:pPr>
      <w:r>
        <w:rPr>
          <w:b/>
        </w:rPr>
        <w:t xml:space="preserve">(e) Records. </w:t>
      </w:r>
      <w:r>
        <w:t>Asset records shall identify Federal participation and restrictions. Conditions intended to bind successors shall be recorded or otherwise made enforceable where legally appropriate. A recipient shall not avoid obligations by transferring the asset to an affiliate or dissolving an intermediary without lawful disposition of the Federal interest.</w:t>
      </w:r>
    </w:p>
    <w:p>
      <w:bookmarkStart w:id="298" w:name="SEC_2709"/>
      <w:pPr>
        <w:pStyle w:val="Heading2"/>
      </w:pPr>
      <w:r>
        <w:t>SEC. 2709. INCIDENTS, AUDITS, FRAUD, AND CORRECTIVE ACTION.</w:t>
      </w:r>
      <w:bookmarkEnd w:id="298"/>
    </w:p>
    <w:p>
      <w:pPr>
        <w:pStyle w:val="LegalBody"/>
      </w:pPr>
      <w:r>
        <w:rPr>
          <w:b/>
        </w:rPr>
        <w:t xml:space="preserve">(a) Incident reporting. </w:t>
      </w:r>
      <w:r>
        <w:t>A recipient shall report a serious safety incident, material privacy breach, suspected diversion of funds, or substantial rights violation to the lead agency without unreasonable delay. Urgent incidents ordinarily shall be reported within 72 hours after reasonable confirmation, with supplemental information as available.</w:t>
      </w:r>
    </w:p>
    <w:p>
      <w:pPr>
        <w:pStyle w:val="LegalBody"/>
      </w:pPr>
      <w:r>
        <w:rPr>
          <w:b/>
        </w:rPr>
        <w:t xml:space="preserve">(b) Audits. </w:t>
      </w:r>
      <w:r>
        <w:t>Applicable single-audit and other Federal audit requirements remain in effect. Agencies may conduct risk-based reviews of awards below a general audit threshold where justified, avoiding duplicative demands where reliable existing work is available.</w:t>
      </w:r>
    </w:p>
    <w:p>
      <w:pPr>
        <w:pStyle w:val="LegalBody"/>
      </w:pPr>
      <w:r>
        <w:rPr>
          <w:b/>
        </w:rPr>
        <w:t xml:space="preserve">(c) Cooperation. </w:t>
      </w:r>
      <w:r>
        <w:t>Recipients shall preserve relevant records and provide lawful access to authorized auditors and investigators. Privilege, privacy, and constitutional protections remain applicable and shall be addressed through appropriate procedures rather than ignored.</w:t>
      </w:r>
    </w:p>
    <w:p>
      <w:pPr>
        <w:pStyle w:val="LegalBody"/>
      </w:pPr>
      <w:r>
        <w:rPr>
          <w:b/>
        </w:rPr>
        <w:t xml:space="preserve">(d) Correction. </w:t>
      </w:r>
      <w:r>
        <w:t>A corrective plan shall identify the cause, responsible official, action, deadline, participant protection, and verification. A recipient shall not close a finding solely by issuing a policy without showing implementation.</w:t>
      </w:r>
    </w:p>
    <w:p>
      <w:pPr>
        <w:pStyle w:val="LegalBody"/>
      </w:pPr>
      <w:r>
        <w:rPr>
          <w:b/>
        </w:rPr>
        <w:t xml:space="preserve">(e) Misconduct. </w:t>
      </w:r>
      <w:r>
        <w:t>Suspected fraud may be referred under existing law. This Act creates no new criminal offense. Good-faith reporting and cooperation are protected under section 208. A recipient shall not use a confidentiality agreement to prevent a lawful report to an Inspector General, regulator, or court.</w:t>
      </w:r>
    </w:p>
    <w:p>
      <w:bookmarkStart w:id="299" w:name="SEC_2710"/>
      <w:pPr>
        <w:pStyle w:val="Heading2"/>
      </w:pPr>
      <w:r>
        <w:t>SEC. 2710. CLOSEOUT, APPEAL, AND PRESERVATION OF SERVICES.</w:t>
      </w:r>
      <w:bookmarkEnd w:id="299"/>
    </w:p>
    <w:p>
      <w:pPr>
        <w:pStyle w:val="LegalBody"/>
      </w:pPr>
      <w:r>
        <w:rPr>
          <w:b/>
        </w:rPr>
        <w:t xml:space="preserve">(a) Closeout. </w:t>
      </w:r>
      <w:r>
        <w:t>At the end of an award, the recipient shall reconcile expenditures, return unallowable or unobligated funds as required, report results, preserve records, and resolve property and data obligations. Closeout does not extinguish an audit or liability lawfully arising from the award.</w:t>
      </w:r>
    </w:p>
    <w:p>
      <w:pPr>
        <w:pStyle w:val="LegalBody"/>
      </w:pPr>
      <w:r>
        <w:rPr>
          <w:b/>
        </w:rPr>
        <w:t xml:space="preserve">(b) Transition. </w:t>
      </w:r>
      <w:r>
        <w:t>Programs involving ongoing care, essential equipment, education, or dependent participants shall provide notice and a reasonable transition within their authorized duties and funding. A recipient shall not promise indefinite continuation without resources.</w:t>
      </w:r>
    </w:p>
    <w:p>
      <w:pPr>
        <w:pStyle w:val="LegalBody"/>
      </w:pPr>
      <w:r>
        <w:rPr>
          <w:b/>
        </w:rPr>
        <w:t xml:space="preserve">(c) Appeal. </w:t>
      </w:r>
      <w:r>
        <w:t>A recipient may contest a proposed disallowance, suspension, termination, or recovery through the procedures in title XXVIII. The notice shall identify the condition, evidence, amount, and review route. An agency shall not penalize a recipient for seeking review.</w:t>
      </w:r>
    </w:p>
    <w:p>
      <w:pPr>
        <w:pStyle w:val="LegalBody"/>
      </w:pPr>
      <w:r>
        <w:rPr>
          <w:b/>
        </w:rPr>
        <w:t xml:space="preserve">(d) No immunity. </w:t>
      </w:r>
      <w:r>
        <w:t>Compliance with reporting or successful closeout does not immunize fraud, concealed harm, or a violation of an independently enforceable duty. Equally, an unfavorable research result or a good-faith unsuccessful pilot is not by itself misuse of funds where the approved work was performed lawfully.</w:t>
      </w:r>
    </w:p>
    <w:p>
      <w:pPr>
        <w:pStyle w:val="LegalBody"/>
      </w:pPr>
      <w:r>
        <w:rPr>
          <w:b/>
        </w:rPr>
        <w:t xml:space="preserve">(e) Portfolio learning. </w:t>
      </w:r>
      <w:r>
        <w:t>Agencies shall publish aggregate lessons concerning costs, implementation, failures, and useful adaptations. Reports shall distinguish program discontinuation for lack of evidence, lack of funds, legal noncompliance, and completion of a planned demonstration.</w:t>
      </w:r>
    </w:p>
    <w:p>
      <w:bookmarkStart w:id="300" w:name="TITLE_XXVIII"/>
      <w:pPr>
        <w:pStyle w:val="Heading1"/>
        <w:pageBreakBefore/>
      </w:pPr>
      <w:r>
        <w:t>TITLE XXVIII. COMPLIANCE, ENFORCEMENT, REMEDIES, AND JUDICIAL REVIEW</w:t>
      </w:r>
      <w:bookmarkEnd w:id="300"/>
    </w:p>
    <w:p>
      <w:bookmarkStart w:id="301" w:name="SEC_2801"/>
      <w:pPr>
        <w:pStyle w:val="Heading2"/>
      </w:pPr>
      <w:r>
        <w:t>SEC. 2801. ENFORCEMENT PRINCIPLES AND APPLICABLE STANDARDS.</w:t>
      </w:r>
      <w:bookmarkEnd w:id="301"/>
    </w:p>
    <w:p>
      <w:pPr>
        <w:pStyle w:val="LegalBody"/>
      </w:pPr>
      <w:r>
        <w:rPr>
          <w:b/>
        </w:rPr>
        <w:t xml:space="preserve">(a) Defined duties. </w:t>
      </w:r>
      <w:r>
        <w:t>Enforcement under this Act shall concern a specific operative duty, prohibition, accepted award condition, or lawful rule issued within express authority. A finding, purpose, advisory recommendation, dashboard indicator, or general statement about human flourishing is not independently enforceable.</w:t>
      </w:r>
    </w:p>
    <w:p>
      <w:pPr>
        <w:pStyle w:val="LegalBody"/>
      </w:pPr>
      <w:r>
        <w:rPr>
          <w:b/>
        </w:rPr>
        <w:t xml:space="preserve">(b) Proof. </w:t>
      </w:r>
      <w:r>
        <w:t>In an ordinary civil action under this Act, the party asserting a violation shall establish the elements by a preponderance of the evidence, except where this Act expressly requires a higher standard. Constitutional requirements and standards governing a particular remedy remain applicable.</w:t>
      </w:r>
    </w:p>
    <w:p>
      <w:pPr>
        <w:pStyle w:val="LegalBody"/>
      </w:pPr>
      <w:r>
        <w:rPr>
          <w:b/>
        </w:rPr>
        <w:t xml:space="preserve">(c) Proportionality. </w:t>
      </w:r>
      <w:r>
        <w:t>Agencies and courts shall consider materiality, actual and threatened harm, duration, culpability, benefit obtained, resources, prior violations, cooperation, mitigation, and effects on persons dependent on a service. A technical error shall not be treated as equivalent to deliberate coercion or serious harm.</w:t>
      </w:r>
    </w:p>
    <w:p>
      <w:pPr>
        <w:pStyle w:val="LegalBody"/>
      </w:pPr>
      <w:r>
        <w:rPr>
          <w:b/>
        </w:rPr>
        <w:t xml:space="preserve">(d) No new crimes. </w:t>
      </w:r>
      <w:r>
        <w:t>This Act creates civil and administrative duties and does not establish a new criminal offense. Existing criminal, fraud, obstruction, and professional laws remain applicable on their own terms, with their required proof and procedural safeguards.</w:t>
      </w:r>
    </w:p>
    <w:p>
      <w:pPr>
        <w:pStyle w:val="LegalBody"/>
      </w:pPr>
      <w:r>
        <w:rPr>
          <w:b/>
        </w:rPr>
        <w:t xml:space="preserve">(e) No immunity by compliance label. </w:t>
      </w:r>
      <w:r>
        <w:t>Certification, accreditation, an audit, a sandbox, an approved template, or a favorable assessment does not immunize conduct that violates a duty. Conversely, an adverse outcome does not alone establish a violation where the Act requires reasonable care, a defined procedure, or knowing conduct rather than a guaranteed result.</w:t>
      </w:r>
    </w:p>
    <w:p>
      <w:pPr>
        <w:pStyle w:val="LegalBody"/>
      </w:pPr>
      <w:r>
        <w:rPr>
          <w:b/>
        </w:rPr>
        <w:t xml:space="preserve">(f) Individual rights. </w:t>
      </w:r>
      <w:r>
        <w:t>Enforcement shall preserve notice, access to material evidence, privilege, impartial consideration, judicial review, and any applicable jury right. No agency shall use enforcement to punish lawful criticism, scientific disagreement, protected association, or a person's refusal to endorse a policy.</w:t>
      </w:r>
    </w:p>
    <w:p>
      <w:bookmarkStart w:id="302" w:name="SEC_2802"/>
      <w:pPr>
        <w:pStyle w:val="Heading2"/>
      </w:pPr>
      <w:r>
        <w:t>SEC. 2802. ALLOCATION OF PUBLIC ENFORCEMENT AUTHORITY.</w:t>
      </w:r>
      <w:bookmarkEnd w:id="302"/>
    </w:p>
    <w:p>
      <w:pPr>
        <w:pStyle w:val="LegalBody"/>
      </w:pPr>
      <w:r>
        <w:rPr>
          <w:b/>
        </w:rPr>
        <w:t xml:space="preserve">(a) Lead agencies. </w:t>
      </w:r>
      <w:r>
        <w:t>The Secretary shall enforce grant and program duties assigned to the Department of Health and Human Services. Other lead agencies shall enforce their own awards and expressly assigned substantive duties. The Secretary of Labor shall lead title XIV and employment-related automated-decision duties. The Federal Trade Commission shall lead titles XVIII and XIX commercial duties except as specifically assigned. The Food and Drug Administration shall lead regulated medical-product functions under titles XX and XXI within its authority.</w:t>
      </w:r>
    </w:p>
    <w:p>
      <w:pPr>
        <w:pStyle w:val="LegalBody"/>
      </w:pPr>
      <w:r>
        <w:rPr>
          <w:b/>
        </w:rPr>
        <w:t xml:space="preserve">(b) New authority limited. </w:t>
      </w:r>
      <w:r>
        <w:t>An agency may investigate and seek compliance with duties expressly assigned by this Act even where those duties are additional to its preexisting statute. The grant of authority is limited to this Act and does not import every remedy or jurisdictional exemption from another statute unless expressly stated.</w:t>
      </w:r>
    </w:p>
    <w:p>
      <w:pPr>
        <w:pStyle w:val="LegalBody"/>
      </w:pPr>
      <w:r>
        <w:rPr>
          <w:b/>
        </w:rPr>
        <w:t xml:space="preserve">(c) Court actions. </w:t>
      </w:r>
      <w:r>
        <w:t>The Attorney General may bring a civil action in an appropriate United States district court to enforce this Act. An independent commission may appear through its own counsel to the extent authorized by its governing law; otherwise it shall refer a proposed action to the Attorney General. A referral shall identify the duty, evidence, remedy, and urgency.</w:t>
      </w:r>
    </w:p>
    <w:p>
      <w:pPr>
        <w:pStyle w:val="LegalBody"/>
      </w:pPr>
      <w:r>
        <w:rPr>
          <w:b/>
        </w:rPr>
        <w:t xml:space="preserve">(d) Coordination. </w:t>
      </w:r>
      <w:r>
        <w:t>Agencies shall designate a lead for substantially overlapping investigations, share information only as lawfully permitted, and avoid inconsistent or duplicative demands. Coordination does not extinguish another agency's distinct jurisdiction or require disclosure of protected information without authority.</w:t>
      </w:r>
    </w:p>
    <w:p>
      <w:pPr>
        <w:pStyle w:val="LegalBody"/>
      </w:pPr>
      <w:r>
        <w:rPr>
          <w:b/>
        </w:rPr>
        <w:t xml:space="preserve">(e) Federal agencies. </w:t>
      </w:r>
      <w:r>
        <w:t>Compliance by a Federal agency shall be addressed through its agency head, Inspector General, Office of Management and Budget where appropriate, and available judicial review. The Act does not authorize one agency to impose a civil monetary penalty payable by another Federal agency from appropriated funds.</w:t>
      </w:r>
    </w:p>
    <w:p>
      <w:pPr>
        <w:pStyle w:val="LegalBody"/>
      </w:pPr>
      <w:r>
        <w:rPr>
          <w:b/>
        </w:rPr>
        <w:t xml:space="preserve">(f) Advisory limits. </w:t>
      </w:r>
      <w:r>
        <w:t>The Director, interagency council, scientific board, private assessor, and community panel possess no independent coercive authority merely by virtue of their advisory or coordinating roles.</w:t>
      </w:r>
    </w:p>
    <w:p>
      <w:bookmarkStart w:id="303" w:name="SEC_2803"/>
      <w:pPr>
        <w:pStyle w:val="Heading2"/>
      </w:pPr>
      <w:r>
        <w:t>SEC. 2803. INVESTIGATIONS, INFORMATION DEMANDS, AND INSPECTIONS.</w:t>
      </w:r>
      <w:bookmarkEnd w:id="303"/>
    </w:p>
    <w:p>
      <w:pPr>
        <w:pStyle w:val="LegalBody"/>
      </w:pPr>
      <w:r>
        <w:rPr>
          <w:b/>
        </w:rPr>
        <w:t xml:space="preserve">(a) Information requests. </w:t>
      </w:r>
      <w:r>
        <w:t>A responsible agency may request information reasonably relevant to a suspected violation within its jurisdiction. A voluntary request shall be identified as voluntary. A compulsory demand shall identify statutory authority, subject matter, categories requested, time period, response date, and review procedure.</w:t>
      </w:r>
    </w:p>
    <w:p>
      <w:pPr>
        <w:pStyle w:val="LegalBody"/>
      </w:pPr>
      <w:r>
        <w:rPr>
          <w:b/>
        </w:rPr>
        <w:t xml:space="preserve">(b) Civil investigative demands. </w:t>
      </w:r>
      <w:r>
        <w:t>An agency head, or a lawfully delegated officer, may issue a civil investigative demand for records, written answers, or testimony relevant to a reasonably defined investigation under this Act. The demand shall be proportionate and shall not seek all personal information held by an entity without a specific justification.</w:t>
      </w:r>
    </w:p>
    <w:p>
      <w:pPr>
        <w:pStyle w:val="LegalBody"/>
      </w:pPr>
      <w:r>
        <w:rPr>
          <w:b/>
        </w:rPr>
        <w:t xml:space="preserve">(c) Challenge. </w:t>
      </w:r>
      <w:r>
        <w:t>The recipient may petition the issuing agency to modify or set aside the demand within 20 days, with extensions for good cause, and may obtain judicial consideration before compulsory enforcement. The agency shall seek enforcement in district court; refusal to comply with a disputed demand shall not itself produce an agency-imposed monetary penalty.</w:t>
      </w:r>
    </w:p>
    <w:p>
      <w:pPr>
        <w:pStyle w:val="LegalBody"/>
      </w:pPr>
      <w:r>
        <w:rPr>
          <w:b/>
        </w:rPr>
        <w:t xml:space="preserve">(d) Protections. </w:t>
      </w:r>
      <w:r>
        <w:t>Privilege, constitutional rights, trade-secret protection, and applicable confidentiality law remain available. The agency may use protective orders, restricted access, redaction, or secure review. A privilege log shall be proportionate and shall not require disclosure of the protected substance.</w:t>
      </w:r>
    </w:p>
    <w:p>
      <w:pPr>
        <w:pStyle w:val="LegalBody"/>
      </w:pPr>
      <w:r>
        <w:rPr>
          <w:b/>
        </w:rPr>
        <w:t xml:space="preserve">(e) Entry. </w:t>
      </w:r>
      <w:r>
        <w:t>Physical inspection shall occur with lawful consent, an administrative or judicial warrant where required, or another independently valid legal authority. Acceptance of a grant permits agreed monitoring of funded activities but does not waive every constitutional protection concerning unrelated premises.</w:t>
      </w:r>
    </w:p>
    <w:p>
      <w:pPr>
        <w:pStyle w:val="LegalBody"/>
      </w:pPr>
      <w:r>
        <w:rPr>
          <w:b/>
        </w:rPr>
        <w:t xml:space="preserve">(f) Retention and use. </w:t>
      </w:r>
      <w:r>
        <w:t>Investigative information shall be used for the authorized investigation, enforcement, or another specifically lawful purpose. Agencies shall preserve exculpatory material and records necessary for review and shall not publicly characterize an allegation as a proven violation before a final determination.</w:t>
      </w:r>
    </w:p>
    <w:p>
      <w:bookmarkStart w:id="304" w:name="SEC_2804"/>
      <w:pPr>
        <w:pStyle w:val="Heading2"/>
      </w:pPr>
      <w:r>
        <w:t>SEC. 2804. NOTICE, CORRECTION, AND ADMINISTRATIVE GRANT REMEDIES.</w:t>
      </w:r>
      <w:bookmarkEnd w:id="304"/>
    </w:p>
    <w:p>
      <w:pPr>
        <w:pStyle w:val="LegalBody"/>
      </w:pPr>
      <w:r>
        <w:rPr>
          <w:b/>
        </w:rPr>
        <w:t xml:space="preserve">(a) Notice. </w:t>
      </w:r>
      <w:r>
        <w:t>Before a final adverse grant action, the agency shall provide the recipient with the condition allegedly violated, material facts, proposed remedy, amount at issue, response deadline, and appeal route. The recipient ordinarily shall have at least 30 days to respond.</w:t>
      </w:r>
    </w:p>
    <w:p>
      <w:pPr>
        <w:pStyle w:val="LegalBody"/>
      </w:pPr>
      <w:r>
        <w:rPr>
          <w:b/>
        </w:rPr>
        <w:t xml:space="preserve">(b) Cure. </w:t>
      </w:r>
      <w:r>
        <w:t>A first nonwillful documentation, notice, or administrative defect that has not caused serious harm ordinarily shall receive a reasonable opportunity to cure, not less than 30 days unless a shorter period is necessary to protect participants. Cure does not erase actual injury or prevent required restitution.</w:t>
      </w:r>
    </w:p>
    <w:p>
      <w:pPr>
        <w:pStyle w:val="LegalBody"/>
      </w:pPr>
      <w:r>
        <w:rPr>
          <w:b/>
        </w:rPr>
        <w:t xml:space="preserve">(c) Exceptions. </w:t>
      </w:r>
      <w:r>
        <w:t>Immediate interim measures may be used where continued funding or activity creates a substantial risk of serious harm, ongoing unlawful sensitive-data use, retaliation, material fraud, or loss of recoverable funds. The agency shall provide prompt subsequent notice and review and shall tailor the action to the risk.</w:t>
      </w:r>
    </w:p>
    <w:p>
      <w:pPr>
        <w:pStyle w:val="LegalBody"/>
      </w:pPr>
      <w:r>
        <w:rPr>
          <w:b/>
        </w:rPr>
        <w:t xml:space="preserve">(d) Remedies. </w:t>
      </w:r>
      <w:r>
        <w:t>After required process, an agency may impose corrective conditions, require repayment of unallowable expenditures, suspend new disbursements, terminate an award, restrict future participation under applicable suspension or debarment procedures, or transfer a funded function where lawfully authorized. It may not recover unrelated existing Federal assistance as leverage.</w:t>
      </w:r>
    </w:p>
    <w:p>
      <w:pPr>
        <w:pStyle w:val="LegalBody"/>
      </w:pPr>
      <w:r>
        <w:rPr>
          <w:b/>
        </w:rPr>
        <w:t xml:space="preserve">(e) Appeal. </w:t>
      </w:r>
      <w:r>
        <w:t>A recipient may seek review by an official not responsible for the initial determination within 30 days after final notice. The reviewer shall issue a reasoned decision within 60 days where practicable and explain a necessary extension. Judicial review of final agency action remains available as provided by law.</w:t>
      </w:r>
    </w:p>
    <w:p>
      <w:pPr>
        <w:pStyle w:val="LegalBody"/>
      </w:pPr>
      <w:r>
        <w:rPr>
          <w:b/>
        </w:rPr>
        <w:t xml:space="preserve">(f) Continuity. </w:t>
      </w:r>
      <w:r>
        <w:t>Remedies shall consider participants' care, records, equipment, housing, and service transitions. Protecting continuity does not require unlawful expenditure or continued payment to a fraudulent recipient where an appropriate alternative can be arranged.</w:t>
      </w:r>
    </w:p>
    <w:p>
      <w:bookmarkStart w:id="305" w:name="SEC_2805"/>
      <w:pPr>
        <w:pStyle w:val="Heading2"/>
      </w:pPr>
      <w:r>
        <w:t>SEC. 2805. CIVIL MONETARY PENALTIES IN FEDERAL COURT.</w:t>
      </w:r>
      <w:bookmarkEnd w:id="305"/>
    </w:p>
    <w:p>
      <w:pPr>
        <w:pStyle w:val="LegalBody"/>
      </w:pPr>
      <w:r>
        <w:rPr>
          <w:b/>
        </w:rPr>
        <w:t xml:space="preserve">(a) Court requirement. </w:t>
      </w:r>
      <w:r>
        <w:t>A civil monetary penalty under this Act may be imposed only in a civil action in United States district court. The court shall preserve any jury-trial right applicable to the claim and remedy. No administrative tribunal established by this Act may finally impose such a penalty.</w:t>
      </w:r>
    </w:p>
    <w:p>
      <w:pPr>
        <w:pStyle w:val="LegalBody"/>
      </w:pPr>
      <w:r>
        <w:rPr>
          <w:b/>
        </w:rPr>
        <w:t xml:space="preserve">(b) Ordinary ceiling. </w:t>
      </w:r>
      <w:r>
        <w:t>For a separately proved material violation, the maximum penalty is $25,000. For a knowing or reckless violation, the maximum is $250,000. Knowing or reckless means actual knowledge of the violation or conscious disregard of a substantial probability that the conduct violated a clearly applicable duty.</w:t>
      </w:r>
    </w:p>
    <w:p>
      <w:pPr>
        <w:pStyle w:val="LegalBody"/>
      </w:pPr>
      <w:r>
        <w:rPr>
          <w:b/>
        </w:rPr>
        <w:t xml:space="preserve">(c) Systemic course. </w:t>
      </w:r>
      <w:r>
        <w:t>Where substantially related violations arising from a common system or practice affect at least 1,000 individuals, the court may treat the course as a single systemic violation with a maximum penalty of $5,000,000, or $25,000,000 where knowing or reckless conduct causes or creates a substantial risk of serious harm. The government shall not multiply penalties by each data field, automated calculation, or repeated copy of the same notice defect.</w:t>
      </w:r>
    </w:p>
    <w:p>
      <w:pPr>
        <w:pStyle w:val="LegalBody"/>
      </w:pPr>
      <w:r>
        <w:rPr>
          <w:b/>
        </w:rPr>
        <w:t xml:space="preserve">(d) Aggregation. </w:t>
      </w:r>
      <w:r>
        <w:t>Substantially continuous conduct arising from the same underlying defect within a 30-day period ordinarily constitutes one course for penalty assessment. Separate intentional acts directed at different individuals may be separately proved, but total penalties for the same systemic course in a 12-month period shall not exceed the applicable systemic ceiling.</w:t>
      </w:r>
    </w:p>
    <w:p>
      <w:pPr>
        <w:pStyle w:val="LegalBody"/>
      </w:pPr>
      <w:r>
        <w:rPr>
          <w:b/>
        </w:rPr>
        <w:t xml:space="preserve">(e) Factors. </w:t>
      </w:r>
      <w:r>
        <w:t>The court shall apply section 2801, consider ability to pay and deterrence, and ensure compliance with constitutional limits on excessive fines. Prompt voluntary correction and good-faith reliance on specific official guidance may mitigate a penalty but do not excuse a known harmful violation.</w:t>
      </w:r>
    </w:p>
    <w:p>
      <w:pPr>
        <w:pStyle w:val="LegalBody"/>
      </w:pPr>
      <w:r>
        <w:rPr>
          <w:b/>
        </w:rPr>
        <w:t xml:space="preserve">(f) Other relief. </w:t>
      </w:r>
      <w:r>
        <w:t>Penalty ceilings do not limit proven restitution, compensatory damages, lawful recovery of unjust gains, or appropriate injunctive relief. Courts shall prevent duplicative monetary punishment for the same conduct where multiple provisions of this Act overlap. Amounts shall be adjusted under section 2909 only as authorized there.</w:t>
      </w:r>
    </w:p>
    <w:p>
      <w:bookmarkStart w:id="306" w:name="SEC_2806"/>
      <w:pPr>
        <w:pStyle w:val="Heading2"/>
      </w:pPr>
      <w:r>
        <w:t>SEC. 2806. INJUNCTIONS, RESTITUTION, AND REMEDIAL ORDERS.</w:t>
      </w:r>
      <w:bookmarkEnd w:id="306"/>
    </w:p>
    <w:p>
      <w:pPr>
        <w:pStyle w:val="LegalBody"/>
      </w:pPr>
      <w:r>
        <w:rPr>
          <w:b/>
        </w:rPr>
        <w:t xml:space="preserve">(a) Public relief. </w:t>
      </w:r>
      <w:r>
        <w:t>In an authorized civil action, a court may order compliance, cessation of a prohibited practice, correction or deletion of unlawfully processed data where lawful, restoration of access, restitution, compensation for proven loss, and other equitable relief appropriate to the specific violation.</w:t>
      </w:r>
    </w:p>
    <w:p>
      <w:pPr>
        <w:pStyle w:val="LegalBody"/>
      </w:pPr>
      <w:r>
        <w:rPr>
          <w:b/>
        </w:rPr>
        <w:t xml:space="preserve">(b) Limits. </w:t>
      </w:r>
      <w:r>
        <w:t>Relief shall be no broader than necessary to remedy or prevent the violation and shall respect lawful expression, privacy, third-party rights, and continuity of beneficial services. A court shall not order an entity to achieve a generalized state of human flourishing.</w:t>
      </w:r>
    </w:p>
    <w:p>
      <w:pPr>
        <w:pStyle w:val="LegalBody"/>
      </w:pPr>
      <w:r>
        <w:rPr>
          <w:b/>
        </w:rPr>
        <w:t xml:space="preserve">(c) Technology suspension. </w:t>
      </w:r>
      <w:r>
        <w:t>A deployment suspension sought solely through title XXII shall comply with that title's standards and duration limits. An injunction enforcing an independently prohibited practice may continue as necessary under ordinary equitable principles, but shall not be used to evade limits on suspension of unrelated lawful functions.</w:t>
      </w:r>
    </w:p>
    <w:p>
      <w:pPr>
        <w:pStyle w:val="LegalBody"/>
      </w:pPr>
      <w:r>
        <w:rPr>
          <w:b/>
        </w:rPr>
        <w:t xml:space="preserve">(d) Data correction. </w:t>
      </w:r>
      <w:r>
        <w:t>An order affecting records shall preserve information required for legal accountability, research integrity, or another lawful retention duty through restricted retention where appropriate. Deletion shall not destroy evidence needed by an injured individual or an ongoing lawful investigation.</w:t>
      </w:r>
    </w:p>
    <w:p>
      <w:pPr>
        <w:pStyle w:val="LegalBody"/>
      </w:pPr>
      <w:r>
        <w:rPr>
          <w:b/>
        </w:rPr>
        <w:t xml:space="preserve">(e) Settlement. </w:t>
      </w:r>
      <w:r>
        <w:t>A public settlement shall identify the alleged conduct, legal basis, obligations, duration, monitoring, and consequences of noncompliance. Confidentiality may protect legitimate interests but shall not conceal the operative obligations of a public enforcement settlement.</w:t>
      </w:r>
    </w:p>
    <w:p>
      <w:pPr>
        <w:pStyle w:val="LegalBody"/>
      </w:pPr>
      <w:r>
        <w:rPr>
          <w:b/>
        </w:rPr>
        <w:t xml:space="preserve">(f) No double recovery. </w:t>
      </w:r>
      <w:r>
        <w:t>A person shall not receive duplicative compensation for the same loss under this Act and another law. Distinct injuries and remedies remain available. Courts may coordinate proceedings and allocate relief without diminishing a substantive right or treating a civil penalty as compensation already paid to the injured person.</w:t>
      </w:r>
    </w:p>
    <w:p>
      <w:bookmarkStart w:id="307" w:name="SEC_2807"/>
      <w:pPr>
        <w:pStyle w:val="Heading2"/>
      </w:pPr>
      <w:r>
        <w:t>SEC. 2807. EXPRESS PRIVATE RIGHTS OF ACTION.</w:t>
      </w:r>
      <w:bookmarkEnd w:id="307"/>
    </w:p>
    <w:p>
      <w:pPr>
        <w:pStyle w:val="LegalBody"/>
      </w:pPr>
      <w:r>
        <w:rPr>
          <w:b/>
        </w:rPr>
        <w:t xml:space="preserve">(a) Enumerated claims. </w:t>
      </w:r>
      <w:r>
        <w:t>An individual suffering an actual injury caused by a violation may bring a civil action against a non-Federal defendant otherwise subject to the duty for violations of sections 201 through 209 concerning that individual's access, consent, integrity, privacy, accommodation, or retaliation; sections 1402 through 1406 concerning that individual's employment; sections 1802 through 1808 concerning that individual's data or transaction; sections 1904 through 1906 concerning that individual's consequential decision; sections 2002 through 2005; sections 2102 and 2107 concerning that individual's consent or coercion; or sections 2506 and 2508 concerning that individual's records or prohibited score.</w:t>
      </w:r>
    </w:p>
    <w:p>
      <w:pPr>
        <w:pStyle w:val="LegalBody"/>
      </w:pPr>
      <w:r>
        <w:rPr>
          <w:b/>
        </w:rPr>
        <w:t xml:space="preserve">(b) Elements. </w:t>
      </w:r>
      <w:r>
        <w:t>The plaintiff shall establish the applicable coverage, duty, violation, causation, injury, and entitlement to the requested remedy. A bare procedural defect without injury sufficient for Article III standing does not create Federal jurisdiction. No claim arises from a finding, dashboard target, grant priority, or general dissatisfaction with policy.</w:t>
      </w:r>
    </w:p>
    <w:p>
      <w:pPr>
        <w:pStyle w:val="LegalBody"/>
      </w:pPr>
      <w:r>
        <w:rPr>
          <w:b/>
        </w:rPr>
        <w:t xml:space="preserve">(c) Relief. </w:t>
      </w:r>
      <w:r>
        <w:t>A court may award proven actual damages, appropriate declaratory or injunctive relief, and reasonable attorney fees and costs to a prevailing plaintiff. Actual damages expressly include proven economic loss, bodily injury, loss caused by a concrete invasion of privacy, and emotional distress proximately caused by the violation. Liability for emotional distress under this section is expressly authorized for a nonimmune recipient accepting assistance under this Act after receiving the grant notice required by sections 2701 and 2704, as well as for another covered nonimmune defendant. These damages are not presumed from a recordkeeping error and require proof of actual injury; the same loss shall not be compensated twice. Punitive and fixed statutory damages are not created by this section.</w:t>
      </w:r>
    </w:p>
    <w:p>
      <w:pPr>
        <w:pStyle w:val="LegalBody"/>
      </w:pPr>
      <w:r>
        <w:rPr>
          <w:b/>
        </w:rPr>
        <w:t xml:space="preserve">(d) Time. </w:t>
      </w:r>
      <w:r>
        <w:t>An action shall be commenced within 3 years after the individual discovered or reasonably should have discovered the violation and injury, subject to otherwise applicable equitable tolling. Internal complaint exhaustion is not required unless another controlling statute expressly requires it.</w:t>
      </w:r>
    </w:p>
    <w:p>
      <w:pPr>
        <w:pStyle w:val="LegalBody"/>
      </w:pPr>
      <w:r>
        <w:rPr>
          <w:b/>
        </w:rPr>
        <w:t xml:space="preserve">(e) Fees and procedure. </w:t>
      </w:r>
      <w:r>
        <w:t>A prevailing defendant may recover fees only where the action was frivolous, unreasonable, or brought in bad faith under applicable standards. Existing procedural rules, including class-action requirements and lawful arbitration law, remain applicable; nothing in this Act amends the Federal Arbitration Act.</w:t>
      </w:r>
    </w:p>
    <w:p>
      <w:pPr>
        <w:pStyle w:val="LegalBody"/>
      </w:pPr>
      <w:r>
        <w:rPr>
          <w:b/>
        </w:rPr>
        <w:t xml:space="preserve">(f) Immunity. </w:t>
      </w:r>
      <w:r>
        <w:t>This section does not abrogate State or tribal sovereign immunity, waive United States sovereign immunity for damages, or create a damages action against individual Federal officers. Municipalities and other defendants without such immunity remain subject within the Act's coverage. Prospective relief against officials, Federal judicial review, and existing waivers remain available only to the extent otherwise lawful.</w:t>
      </w:r>
    </w:p>
    <w:p>
      <w:bookmarkStart w:id="308" w:name="SEC_2808"/>
      <w:pPr>
        <w:pStyle w:val="Heading2"/>
      </w:pPr>
      <w:r>
        <w:t>SEC. 2808. STATE ATTORNEY GENERAL ACTIONS AND COORDINATION.</w:t>
      </w:r>
      <w:bookmarkEnd w:id="308"/>
    </w:p>
    <w:p>
      <w:pPr>
        <w:pStyle w:val="LegalBody"/>
      </w:pPr>
      <w:r>
        <w:rPr>
          <w:b/>
        </w:rPr>
        <w:t xml:space="preserve">(a) Authority. </w:t>
      </w:r>
      <w:r>
        <w:t>A State attorney general may bring a civil action in United States district court on behalf of residents injured or threatened with injury by a covered commercial entity's violation of titles XIV or XVIII through XXII. The State shall establish statutory coverage, a specific violation, and the requirements for the requested remedy.</w:t>
      </w:r>
    </w:p>
    <w:p>
      <w:pPr>
        <w:pStyle w:val="LegalBody"/>
      </w:pPr>
      <w:r>
        <w:rPr>
          <w:b/>
        </w:rPr>
        <w:t xml:space="preserve">(b) Notice. </w:t>
      </w:r>
      <w:r>
        <w:t>The State shall provide the responsible Federal agency notice and a copy of the proposed complaint at least 10 days before filing, unless delay would materially prejudice urgent relief, in which case notice shall be provided promptly after filing.</w:t>
      </w:r>
    </w:p>
    <w:p>
      <w:pPr>
        <w:pStyle w:val="LegalBody"/>
      </w:pPr>
      <w:r>
        <w:rPr>
          <w:b/>
        </w:rPr>
        <w:t xml:space="preserve">(c) Federal participation. </w:t>
      </w:r>
      <w:r>
        <w:t>The Federal agency may intervene, be heard, and seek coordination of overlapping relief. Notice does not confer a Federal veto over an otherwise authorized State action.</w:t>
      </w:r>
    </w:p>
    <w:p>
      <w:pPr>
        <w:pStyle w:val="LegalBody"/>
      </w:pPr>
      <w:r>
        <w:rPr>
          <w:b/>
        </w:rPr>
        <w:t xml:space="preserve">(d) Remedies. </w:t>
      </w:r>
      <w:r>
        <w:t>The court may grant relief authorized by sections 2805 and 2806, subject to their ceilings, standards, and prevention of double recovery. Penalties recovered by a State shall be used or deposited according to applicable law and shall not be counted as revenue financing this Act's appropriations.</w:t>
      </w:r>
    </w:p>
    <w:p>
      <w:pPr>
        <w:pStyle w:val="LegalBody"/>
      </w:pPr>
      <w:r>
        <w:rPr>
          <w:b/>
        </w:rPr>
        <w:t xml:space="preserve">(e) Limits. </w:t>
      </w:r>
      <w:r>
        <w:t>This section does not authorize a State to sue another State, an Indian Tribe, the United States, or a Federal officer contrary to applicable immunity. It does not confer jurisdiction over wholly foreign conduct without the nexus required by this Act.</w:t>
      </w:r>
    </w:p>
    <w:p>
      <w:pPr>
        <w:pStyle w:val="LegalBody"/>
      </w:pPr>
      <w:r>
        <w:rPr>
          <w:b/>
        </w:rPr>
        <w:t xml:space="preserve">(f) Preservation. </w:t>
      </w:r>
      <w:r>
        <w:t>State enforcement of its own laws remains available, subject to constitutional and Federal preemption principles. A Federal investigation does not automatically preclude a State action, but courts may coordinate proceedings to avoid inconsistent obligations and duplicative recovery.</w:t>
      </w:r>
    </w:p>
    <w:p>
      <w:bookmarkStart w:id="309" w:name="SEC_2809"/>
      <w:pPr>
        <w:pStyle w:val="Heading2"/>
      </w:pPr>
      <w:r>
        <w:t>SEC. 2809. WHISTLEBLOWERS, CONFIDENTIALITY, AND ACCESS TO JUSTICE.</w:t>
      </w:r>
      <w:bookmarkEnd w:id="309"/>
    </w:p>
    <w:p>
      <w:pPr>
        <w:pStyle w:val="LegalBody"/>
      </w:pPr>
      <w:r>
        <w:rPr>
          <w:b/>
        </w:rPr>
        <w:t xml:space="preserve">(a) Protection. </w:t>
      </w:r>
      <w:r>
        <w:t>An entity subject to this Act shall not retaliate against a worker, participant, researcher, contractor, or other individual for a good-faith report of a reasonably believed violation, lawful cooperation with an investigation, or refusal to participate in conduct the person reasonably believes prohibited.</w:t>
      </w:r>
    </w:p>
    <w:p>
      <w:pPr>
        <w:pStyle w:val="LegalBody"/>
      </w:pPr>
      <w:r>
        <w:rPr>
          <w:b/>
        </w:rPr>
        <w:t xml:space="preserve">(b) Channels. </w:t>
      </w:r>
      <w:r>
        <w:t>Agencies shall provide accessible reporting routes, including to Inspectors General where appropriate. A person need not prove the underlying violation ultimately occurred to obtain protection for a reasonable good-faith report.</w:t>
      </w:r>
    </w:p>
    <w:p>
      <w:pPr>
        <w:pStyle w:val="LegalBody"/>
      </w:pPr>
      <w:r>
        <w:rPr>
          <w:b/>
        </w:rPr>
        <w:t xml:space="preserve">(c) Confidentiality. </w:t>
      </w:r>
      <w:r>
        <w:t>Identity shall be protected to the extent permitted by law. The agency shall explain limits and shall not promise absolute secrecy where due process or another law may require disclosure.</w:t>
      </w:r>
    </w:p>
    <w:p>
      <w:pPr>
        <w:pStyle w:val="LegalBody"/>
      </w:pPr>
      <w:r>
        <w:rPr>
          <w:b/>
        </w:rPr>
        <w:t xml:space="preserve">(d) Evidence. </w:t>
      </w:r>
      <w:r>
        <w:t>This section does not authorize unlawful acquisition of records, hacking, destruction, or disclosure of information in a manner prohibited by a specific law. It preserves lawful protected disclosures and does not permit a contract to prohibit reporting to a regulator, Inspector General, or court.</w:t>
      </w:r>
    </w:p>
    <w:p>
      <w:pPr>
        <w:pStyle w:val="LegalBody"/>
      </w:pPr>
      <w:r>
        <w:rPr>
          <w:b/>
        </w:rPr>
        <w:t xml:space="preserve">(e) Assistance. </w:t>
      </w:r>
      <w:r>
        <w:t>Agencies may provide plain-language rights information and referral to qualified legal assistance, but shall not represent that every complaint has a private cause of action. Filing deadlines and jurisdictional requirements shall be stated accurately.</w:t>
      </w:r>
    </w:p>
    <w:p>
      <w:pPr>
        <w:pStyle w:val="LegalBody"/>
      </w:pPr>
      <w:r>
        <w:rPr>
          <w:b/>
        </w:rPr>
        <w:t xml:space="preserve">(f) Review. </w:t>
      </w:r>
      <w:r>
        <w:t>Retaliation complaints shall receive timely assessment, with interim protection where legally available. Remedies may include restoration, actual loss, corrective conditions, and relief under section 2807 where the underlying defendant and duty are covered. Existing broader whistleblower protections remain in effect.</w:t>
      </w:r>
    </w:p>
    <w:p>
      <w:bookmarkStart w:id="310" w:name="SEC_2810"/>
      <w:pPr>
        <w:pStyle w:val="Heading2"/>
      </w:pPr>
      <w:r>
        <w:t>SEC. 2810. JUDICIAL REVIEW, SEVERABILITY OF REMEDIES, AND ENFORCEMENT REPORTING.</w:t>
      </w:r>
      <w:bookmarkEnd w:id="310"/>
    </w:p>
    <w:p>
      <w:pPr>
        <w:pStyle w:val="LegalBody"/>
      </w:pPr>
      <w:r>
        <w:rPr>
          <w:b/>
        </w:rPr>
        <w:t xml:space="preserve">(a) Review. </w:t>
      </w:r>
      <w:r>
        <w:t>Final agency action under this Act is subject to chapter 7 of title 5, United States Code, except where another specific statute controls. Courts shall independently determine legal questions as required by law and review factual and discretionary determinations under the applicable statutory standard.</w:t>
      </w:r>
    </w:p>
    <w:p>
      <w:pPr>
        <w:pStyle w:val="LegalBody"/>
      </w:pPr>
      <w:r>
        <w:rPr>
          <w:b/>
        </w:rPr>
        <w:t xml:space="preserve">(b) Venue. </w:t>
      </w:r>
      <w:r>
        <w:t>An action expressly authorized in district court may be brought where a defendant resides or conducts substantial relevant business, where a substantial part of the events occurred, or as otherwise provided by Federal venue law. This section does not create jurisdiction over a defendant lacking constitutionally sufficient contacts.</w:t>
      </w:r>
    </w:p>
    <w:p>
      <w:pPr>
        <w:pStyle w:val="LegalBody"/>
      </w:pPr>
      <w:r>
        <w:rPr>
          <w:b/>
        </w:rPr>
        <w:t xml:space="preserve">(c) Jury and process. </w:t>
      </w:r>
      <w:r>
        <w:t>Nothing in this Act eliminates an applicable jury right, privilege, confrontation opportunity required in a civil proceeding, or meaningful access to the material basis of a claim. Confidential information may be protected without preventing a fair defense.</w:t>
      </w:r>
    </w:p>
    <w:p>
      <w:pPr>
        <w:pStyle w:val="LegalBody"/>
      </w:pPr>
      <w:r>
        <w:rPr>
          <w:b/>
        </w:rPr>
        <w:t xml:space="preserve">(d) Remedy severability. </w:t>
      </w:r>
      <w:r>
        <w:t>If a particular remedy or its application is held invalid, other lawful remedies and the underlying duty remain effective to the extent they can operate independently and consistently with congressional intent.</w:t>
      </w:r>
    </w:p>
    <w:p>
      <w:pPr>
        <w:pStyle w:val="LegalBody"/>
      </w:pPr>
      <w:r>
        <w:rPr>
          <w:b/>
        </w:rPr>
        <w:t xml:space="preserve">(e) Reporting. </w:t>
      </w:r>
      <w:r>
        <w:t>Agencies shall publish annual aggregate information on complaints, investigations, cure, grant actions, court cases, penalties, restitution, duration, and recurring failures. Targets shall not reward the volume of penalties or restrictions without regard to lawful outcomes.</w:t>
      </w:r>
    </w:p>
    <w:p>
      <w:pPr>
        <w:pStyle w:val="LegalBody"/>
      </w:pPr>
      <w:r>
        <w:rPr>
          <w:b/>
        </w:rPr>
        <w:t xml:space="preserve">(f) Evaluation. </w:t>
      </w:r>
      <w:r>
        <w:t>The 5-year review shall assess deterrence, access to remedies, burdens on small entities, service continuity, constitutional concerns, and possible gaps. A report may recommend changes but shall not itself create a new cause of action, waive immunity, expand a penalty, or extend a limitation period.</w:t>
      </w:r>
    </w:p>
    <w:p>
      <w:bookmarkStart w:id="311" w:name="TITLE_XXIX"/>
      <w:pPr>
        <w:pStyle w:val="Heading1"/>
        <w:pageBreakBefore/>
      </w:pPr>
      <w:r>
        <w:t>TITLE XXIX. APPROPRIATIONS, FISCAL CONTROLS, AND BUDGET ACCOUNTABILITY</w:t>
      </w:r>
      <w:bookmarkEnd w:id="311"/>
    </w:p>
    <w:p>
      <w:bookmarkStart w:id="312" w:name="SEC_2901"/>
      <w:pPr>
        <w:pStyle w:val="Heading2"/>
      </w:pPr>
      <w:r>
        <w:t>SEC. 2901. HUMAN CAPABILITY INVESTMENT FUND.</w:t>
      </w:r>
      <w:bookmarkEnd w:id="312"/>
    </w:p>
    <w:p>
      <w:pPr>
        <w:pStyle w:val="LegalBody"/>
      </w:pPr>
      <w:r>
        <w:rPr>
          <w:b/>
        </w:rPr>
        <w:t xml:space="preserve">(a) Establishment. </w:t>
      </w:r>
      <w:r>
        <w:t>There is established in the Treasury of the United States a Human Capability Investment Fund, consisting of the accounts specified in section 2903. The Fund is an accounting structure for the appropriations in this title and is not a separate corporation, trust entitlement, or source of authority to borrow independently.</w:t>
      </w:r>
    </w:p>
    <w:p>
      <w:pPr>
        <w:pStyle w:val="LegalBody"/>
      </w:pPr>
      <w:r>
        <w:rPr>
          <w:b/>
        </w:rPr>
        <w:t xml:space="preserve">(b) Administration. </w:t>
      </w:r>
      <w:r>
        <w:t>The Secretary of the Treasury shall make amounts available to the designated lead agencies according to this title and lawful apportionment. Each agency remains responsible for obligations, expenditures, records, and compliance with appropriations law.</w:t>
      </w:r>
    </w:p>
    <w:p>
      <w:pPr>
        <w:pStyle w:val="LegalBody"/>
      </w:pPr>
      <w:r>
        <w:rPr>
          <w:b/>
        </w:rPr>
        <w:t xml:space="preserve">(c) Ceiling. </w:t>
      </w:r>
      <w:r>
        <w:t>Total new budget authority appropriated by this title is $400,000,000,000 in nominal dollars over the 10 program years, inclusive of the advance in section 2902. No provision elsewhere in this Act increases that amount or creates an additional appropriation by implication.</w:t>
      </w:r>
    </w:p>
    <w:p>
      <w:pPr>
        <w:pStyle w:val="LegalBody"/>
      </w:pPr>
      <w:r>
        <w:rPr>
          <w:b/>
        </w:rPr>
        <w:t xml:space="preserve">(d) Purposes. </w:t>
      </w:r>
      <w:r>
        <w:t>Amounts may be used only for authorized activities and account purposes. An agency shall not finance an unrelated program by characterizing it as generally beneficial to humans.</w:t>
      </w:r>
    </w:p>
    <w:p>
      <w:pPr>
        <w:pStyle w:val="LegalBody"/>
      </w:pPr>
      <w:r>
        <w:rPr>
          <w:b/>
        </w:rPr>
        <w:t xml:space="preserve">(e) No entitlement. </w:t>
      </w:r>
      <w:r>
        <w:t>The Fund does not create an individual entitlement to a service, a guarantee of grant renewal, or a promise that every eligible application will be funded. Express individual rights and prohibitions remain legally distinct from discretionary services financed by the Fund.</w:t>
      </w:r>
    </w:p>
    <w:p>
      <w:pPr>
        <w:pStyle w:val="LegalBody"/>
      </w:pPr>
      <w:r>
        <w:rPr>
          <w:b/>
        </w:rPr>
        <w:t xml:space="preserve">(f) Transparency. </w:t>
      </w:r>
      <w:r>
        <w:t>Treasury and the Office of Management and Budget shall maintain a public account of budget authority, obligations, outlays, transfers, balances, and expired amounts, with protection for information lawfully withheld. Amounts shall not be presented as spent merely because Congress appropriated them.</w:t>
      </w:r>
    </w:p>
    <w:p>
      <w:bookmarkStart w:id="313" w:name="SEC_2902"/>
      <w:pPr>
        <w:pStyle w:val="Heading2"/>
      </w:pPr>
      <w:r>
        <w:t>SEC. 2902. TEN-YEAR APPROPRIATION SCHEDULE AND AVAILABILITY.</w:t>
      </w:r>
      <w:bookmarkEnd w:id="313"/>
    </w:p>
    <w:p>
      <w:pPr>
        <w:pStyle w:val="LegalBody"/>
      </w:pPr>
      <w:r>
        <w:rPr>
          <w:b/>
        </w:rPr>
        <w:t xml:space="preserve">(a) Appropriation. </w:t>
      </w:r>
      <w:r>
        <w:t>Out of amounts in the Treasury not otherwise appropriated, there are appropriated to the Fund: $10,000,000,000 for program year 1; $20,000,000,000 for program year 2; $30,000,000,000 for program year 3; $40,000,000,000 for program year 4; and $50,000,000,000 for each of program years 5 through 10.</w:t>
      </w:r>
    </w:p>
    <w:p>
      <w:pPr>
        <w:pStyle w:val="LegalBody"/>
      </w:pPr>
      <w:r>
        <w:rPr>
          <w:b/>
        </w:rPr>
        <w:t xml:space="preserve">(b) Advance. </w:t>
      </w:r>
      <w:r>
        <w:t>Of the amount for program year 1, $1,000,000,000 shall be available upon enactment for organization, systems, baseline research, technical assistance, and other lawful start-up activities. The remaining $9,000,000,000 shall become available on the first day of program year 1. The advance is not additional to the $10,000,000,000 installment or the $400,000,000,000 total.</w:t>
      </w:r>
    </w:p>
    <w:p>
      <w:pPr>
        <w:pStyle w:val="LegalBody"/>
      </w:pPr>
      <w:r>
        <w:rPr>
          <w:b/>
        </w:rPr>
        <w:t xml:space="preserve">(c) Later installments. </w:t>
      </w:r>
      <w:r>
        <w:t>Each later installment becomes available on the first day of its program year. The definition of program year in section 110 applies. Enactment late in a fiscal year does not authorize an agency to count the advance twice.</w:t>
      </w:r>
    </w:p>
    <w:p>
      <w:pPr>
        <w:pStyle w:val="LegalBody"/>
      </w:pPr>
      <w:r>
        <w:rPr>
          <w:b/>
        </w:rPr>
        <w:t xml:space="preserve">(d) Availability. </w:t>
      </w:r>
      <w:r>
        <w:t>Each annual installment, including the advance as part of program year 1, shall remain available for obligation through the end of the third fiscal year following its program year. Thereafter, expiration, liquidation of valid obligations, cancellation, and adjustment shall follow applicable appropriations law.</w:t>
      </w:r>
    </w:p>
    <w:p>
      <w:pPr>
        <w:pStyle w:val="LegalBody"/>
      </w:pPr>
      <w:r>
        <w:rPr>
          <w:b/>
        </w:rPr>
        <w:t xml:space="preserve">(e) Limits. </w:t>
      </w:r>
      <w:r>
        <w:t>No new installment is appropriated for program year 11 or a later year. Multiyear awards shall be supported by legally available obligations and shall not promise future Federal payments beyond the amount lawfully obligated. This title does not exempt funds from applicable budget controls or authorize expenditure before availability.</w:t>
      </w:r>
    </w:p>
    <w:p>
      <w:bookmarkStart w:id="314" w:name="SEC_2903"/>
      <w:pPr>
        <w:pStyle w:val="Heading2"/>
      </w:pPr>
      <w:r>
        <w:t>SEC. 2903. ACCOUNT ALLOCATIONS AND RESPONSIBLE AGENCIES.</w:t>
      </w:r>
      <w:bookmarkEnd w:id="314"/>
    </w:p>
    <w:p>
      <w:pPr>
        <w:pStyle w:val="LegalBody"/>
      </w:pPr>
      <w:r>
        <w:rPr>
          <w:b/>
        </w:rPr>
        <w:t xml:space="preserve">(a) Allocations. </w:t>
      </w:r>
      <w:r>
        <w:t>Each installment under section 2902 shall be allocated as follows, subject only to the limited transfer authority in section 2904: 15 percent to science and evidence; 20 percent to health and mental health; 10 percent to childhood and learning; 8 percent to community and culture; 10 percent to work and care; 12 percent to places and mobility; 7 percent to environment and resilience; 6 percent to technology safeguards; 5 percent to global cooperation; 4 percent to data and evaluation; and 3 percent to administration and accountability. These shares total 100 percent.</w:t>
      </w:r>
    </w:p>
    <w:p>
      <w:pPr>
        <w:pStyle w:val="LegalBody"/>
      </w:pPr>
      <w:r>
        <w:rPr>
          <w:b/>
        </w:rPr>
        <w:t xml:space="preserve">(b) Ten-year amounts. </w:t>
      </w:r>
      <w:r>
        <w:t>The allocations equal, respectively, $60,000,000,000; $80,000,000,000; $40,000,000,000; $32,000,000,000; $40,000,000,000; $48,000,000,000; $28,000,000,000; $24,000,000,000; $20,000,000,000; $16,000,000,000; and $12,000,000,000 before lawful transfers.</w:t>
      </w:r>
    </w:p>
    <w:p>
      <w:pPr>
        <w:pStyle w:val="LegalBody"/>
      </w:pPr>
      <w:r>
        <w:rPr>
          <w:b/>
        </w:rPr>
        <w:t xml:space="preserve">(c) Administration. </w:t>
      </w:r>
      <w:r>
        <w:t>Lead responsibilities follow section 304. The Office of Management and Budget shall approve an interagency execution schedule identifying each agency's share within an account. Such allocation shall not alter the account purpose or assign regulatory power not otherwise conferred.</w:t>
      </w:r>
    </w:p>
    <w:p>
      <w:pPr>
        <w:pStyle w:val="LegalBody"/>
      </w:pPr>
      <w:r>
        <w:rPr>
          <w:b/>
        </w:rPr>
        <w:t xml:space="preserve">(d) Costs. </w:t>
      </w:r>
      <w:r>
        <w:t>General Federal coordination, central administration, and common accountability shall be charged to the administration and accountability account. Direct program delivery, specialized enforcement, technical assessment, and evaluation may be charged to their appropriate substantive accounts when documented. The same cost shall not be charged twice.</w:t>
      </w:r>
    </w:p>
    <w:p>
      <w:pPr>
        <w:pStyle w:val="LegalBody"/>
      </w:pPr>
      <w:r>
        <w:rPr>
          <w:b/>
        </w:rPr>
        <w:t xml:space="preserve">(e) Scope. </w:t>
      </w:r>
      <w:r>
        <w:t>Account labels do not independently authorize an activity. Expenditure requires an operative program or administrative authority elsewhere in this Act. Research, grants, procurement, staffing, and enforcement shall each be identified in execution reports rather than combined into an undifferentiated claim of investment.</w:t>
      </w:r>
    </w:p>
    <w:p>
      <w:bookmarkStart w:id="315" w:name="SEC_2904"/>
      <w:pPr>
        <w:pStyle w:val="Heading2"/>
      </w:pPr>
      <w:r>
        <w:t>SEC. 2904. EXECUTION PLANS, RESERVES, AND LIMITED TRANSFERS.</w:t>
      </w:r>
      <w:bookmarkEnd w:id="315"/>
    </w:p>
    <w:p>
      <w:pPr>
        <w:pStyle w:val="LegalBody"/>
      </w:pPr>
      <w:r>
        <w:rPr>
          <w:b/>
        </w:rPr>
        <w:t xml:space="preserve">(a) Plans. </w:t>
      </w:r>
      <w:r>
        <w:t>Within 120 days after enactment, and before each later program year, participating agencies shall submit execution plans to the Office of Management and Budget identifying obligations, staffing, procurement, awards, evaluation, and material delivery risks.</w:t>
      </w:r>
    </w:p>
    <w:p>
      <w:pPr>
        <w:pStyle w:val="LegalBody"/>
      </w:pPr>
      <w:r>
        <w:rPr>
          <w:b/>
        </w:rPr>
        <w:t xml:space="preserve">(b) Reserve. </w:t>
      </w:r>
      <w:r>
        <w:t>An agency may reserve up to 2 percent of its annual account allocation for contingencies within that account's lawful purpose. A reserve is part of, not additional to, the allocation. Release shall identify the need and shall be publicly reported.</w:t>
      </w:r>
    </w:p>
    <w:p>
      <w:pPr>
        <w:pStyle w:val="LegalBody"/>
      </w:pPr>
      <w:r>
        <w:rPr>
          <w:b/>
        </w:rPr>
        <w:t xml:space="preserve">(c) Transfers. </w:t>
      </w:r>
      <w:r>
        <w:t>The Office of Management and Budget may authorize transfer of not more than 2 percent of an account's original annual installment to another Fund account where necessary to address a documented implementation need. Transfers may not increase the Fund total, finance an unauthorized purpose, or be used repeatedly to circumvent the percentage ceiling.</w:t>
      </w:r>
    </w:p>
    <w:p>
      <w:pPr>
        <w:pStyle w:val="LegalBody"/>
      </w:pPr>
      <w:r>
        <w:rPr>
          <w:b/>
        </w:rPr>
        <w:t xml:space="preserve">(d) Notice. </w:t>
      </w:r>
      <w:r>
        <w:t>At least 30 days before a transfer, the agencies shall notify Congress and publish the amount, source, destination, purpose, alternatives, and effect on existing commitments. The notice is not a request for a legislative veto; the transfer authority is conferred by this section subject to its conditions.</w:t>
      </w:r>
    </w:p>
    <w:p>
      <w:pPr>
        <w:pStyle w:val="LegalBody"/>
      </w:pPr>
      <w:r>
        <w:rPr>
          <w:b/>
        </w:rPr>
        <w:t xml:space="preserve">(e) Protection. </w:t>
      </w:r>
      <w:r>
        <w:t>A transfer shall not reduce funds already obligated or excuse a required individual protection. No transfer may increase the central Office staffing ceiling in section 310 or the overall ceiling in section 2905.</w:t>
      </w:r>
    </w:p>
    <w:p>
      <w:pPr>
        <w:pStyle w:val="LegalBody"/>
      </w:pPr>
      <w:r>
        <w:rPr>
          <w:b/>
        </w:rPr>
        <w:t xml:space="preserve">(f) Reporting. </w:t>
      </w:r>
      <w:r>
        <w:t>Quarterly reports shall distinguish original allocations, reserves, transfers, obligations, outlays, and balances. An agency shall explain material underexecution and shall not accelerate low-value expenditure merely to avoid returning unobligated funds.</w:t>
      </w:r>
    </w:p>
    <w:p>
      <w:bookmarkStart w:id="316" w:name="SEC_2905"/>
      <w:pPr>
        <w:pStyle w:val="Heading2"/>
      </w:pPr>
      <w:r>
        <w:t>SEC. 2905. STAFFING, ADMINISTRATION, AND IMPLEMENTATION CAPACITY.</w:t>
      </w:r>
      <w:bookmarkEnd w:id="316"/>
    </w:p>
    <w:p>
      <w:pPr>
        <w:pStyle w:val="LegalBody"/>
      </w:pPr>
      <w:r>
        <w:rPr>
          <w:b/>
        </w:rPr>
        <w:t xml:space="preserve">(a) Overall ceiling. </w:t>
      </w:r>
      <w:r>
        <w:t>New Federal staffing financed by this Act shall not exceed 750 full-time-equivalent positions during program year 1, 1,500 during program year 2, and 2,500 in any later program year. The 150-position Office ceiling in section 310 is included within, not additional to, these totals.</w:t>
      </w:r>
    </w:p>
    <w:p>
      <w:pPr>
        <w:pStyle w:val="LegalBody"/>
      </w:pPr>
      <w:r>
        <w:rPr>
          <w:b/>
        </w:rPr>
        <w:t xml:space="preserve">(b) Definition. </w:t>
      </w:r>
      <w:r>
        <w:t>Details, temporary appointments, and part-time service shall count proportionately where financed by this Act. Contractor personnel are not counted as Federal employees but shall be separately reported and shall not perform inherently governmental functions.</w:t>
      </w:r>
    </w:p>
    <w:p>
      <w:pPr>
        <w:pStyle w:val="LegalBody"/>
      </w:pPr>
      <w:r>
        <w:rPr>
          <w:b/>
        </w:rPr>
        <w:t xml:space="preserve">(c) Plan. </w:t>
      </w:r>
      <w:r>
        <w:t>Agency staffing plans shall identify functions, grades or cost assumptions, recruitment, training, supervision, and succession. A ceiling is not a mandate to hire every authorized position or a guarantee of sufficient funds for an unevaluated staffing proposal.</w:t>
      </w:r>
    </w:p>
    <w:p>
      <w:pPr>
        <w:pStyle w:val="LegalBody"/>
      </w:pPr>
      <w:r>
        <w:rPr>
          <w:b/>
        </w:rPr>
        <w:t xml:space="preserve">(d) Administration. </w:t>
      </w:r>
      <w:r>
        <w:t>General overhead shall be budgeted transparently. Agencies shall use existing systems where fit for purpose, but shall not rely on obsolete systems that prevent lawful implementation merely to claim low administrative cost.</w:t>
      </w:r>
    </w:p>
    <w:p>
      <w:pPr>
        <w:pStyle w:val="LegalBody"/>
      </w:pPr>
      <w:r>
        <w:rPr>
          <w:b/>
        </w:rPr>
        <w:t xml:space="preserve">(e) Oversight resources. </w:t>
      </w:r>
      <w:r>
        <w:t>From the administration and accountability allocation for each program year, the Secretary of the Treasury shall transfer $10,000,000 to the Government Accountability Office for oversight under this Act and shall reserve 2 percent of that allocation for the Inspectors General of participating agencies. The Council of the Inspectors General on Integrity and Efficiency shall allocate that reserve among those Inspectors General according to documented oversight responsibilities. These amounts are included within, not additional to, the appropriations under section 2902; shall retain the availability of their source installment; and shall be administered independently of program management. The transfers are expressly authorized by this subsection and shall occur within 60 days after the relevant installment becomes available. No officer may condition payment, allocation, or access on a favorable finding or report. The execution plan shall identify the recipient oversight offices and amounts.</w:t>
      </w:r>
    </w:p>
    <w:p>
      <w:pPr>
        <w:pStyle w:val="LegalBody"/>
      </w:pPr>
      <w:r>
        <w:rPr>
          <w:b/>
        </w:rPr>
        <w:t xml:space="preserve">(f) Continuity. </w:t>
      </w:r>
      <w:r>
        <w:t>Before a material expansion, the agency shall assess whether staffing and procurement capacity can support it. Unfilled positions and contractor dependence shall be disclosed as implementation risks rather than hidden in an assumption that all authorized activities can begin simultaneously.</w:t>
      </w:r>
    </w:p>
    <w:p>
      <w:bookmarkStart w:id="317" w:name="SEC_2906"/>
      <w:pPr>
        <w:pStyle w:val="Heading2"/>
      </w:pPr>
      <w:r>
        <w:t>SEC. 2906. FISCAL NOTES, UNIT COSTS, AND DISTRIBUTIONAL ANALYSIS.</w:t>
      </w:r>
      <w:bookmarkEnd w:id="317"/>
    </w:p>
    <w:p>
      <w:pPr>
        <w:pStyle w:val="LegalBody"/>
      </w:pPr>
      <w:r>
        <w:rPr>
          <w:b/>
        </w:rPr>
        <w:t xml:space="preserve">(a) Program estimates. </w:t>
      </w:r>
      <w:r>
        <w:t>Before a major award initiative or capital expansion, the lead agency shall estimate direct Federal costs, recipient costs, private compliance burdens, staffing, technology, operations, maintenance, and evaluation. Estimates shall identify quantities, unit costs, timing, sources, and uncertainty.</w:t>
      </w:r>
    </w:p>
    <w:p>
      <w:pPr>
        <w:pStyle w:val="LegalBody"/>
      </w:pPr>
      <w:r>
        <w:rPr>
          <w:b/>
        </w:rPr>
        <w:t xml:space="preserve">(b) Windows. </w:t>
      </w:r>
      <w:r>
        <w:t>Major evaluations shall report 1-, 5-, 10-, and, where meaningful, 30-year consequences. Long-term projections shall distinguish enacted authority, hypothetical continuation, and costs that may persist after grants end.</w:t>
      </w:r>
    </w:p>
    <w:p>
      <w:pPr>
        <w:pStyle w:val="LegalBody"/>
      </w:pPr>
      <w:r>
        <w:rPr>
          <w:b/>
        </w:rPr>
        <w:t xml:space="preserve">(c) Dollars. </w:t>
      </w:r>
      <w:r>
        <w:t>Reports shall state whether amounts are nominal, constant-dollar, discounted, or undiscounted. Inflation assumptions and discount rates shall be explicit. A nominal appropriation shall not be described as maintaining constant purchasing power without an enacted adjustment.</w:t>
      </w:r>
    </w:p>
    <w:p>
      <w:pPr>
        <w:pStyle w:val="LegalBody"/>
      </w:pPr>
      <w:r>
        <w:rPr>
          <w:b/>
        </w:rPr>
        <w:t xml:space="preserve">(d) Distribution. </w:t>
      </w:r>
      <w:r>
        <w:t>Analysis shall identify beneficiaries, regulated entities, households, workers, governments, and other payers affected. Costs shifted to families, local governments, or unpaid caregivers shall not be omitted merely because they are outside the Federal account.</w:t>
      </w:r>
    </w:p>
    <w:p>
      <w:pPr>
        <w:pStyle w:val="LegalBody"/>
      </w:pPr>
      <w:r>
        <w:rPr>
          <w:b/>
        </w:rPr>
        <w:t xml:space="preserve">(e) Scenarios. </w:t>
      </w:r>
      <w:r>
        <w:t>Estimates shall include relevant low, central, and high assumptions without presenting them as measured probabilities unless supported. A fixed appropriation limits Federal spending but does not guarantee that a particular service volume can be delivered.</w:t>
      </w:r>
    </w:p>
    <w:p>
      <w:pPr>
        <w:pStyle w:val="LegalBody"/>
      </w:pPr>
      <w:r>
        <w:rPr>
          <w:b/>
        </w:rPr>
        <w:t xml:space="preserve">(f) Official scoring. </w:t>
      </w:r>
      <w:r>
        <w:t>Agency and accompanying illustrative estimates do not replace a Congressional Budget Office or Joint Committee on Taxation estimate where applicable. An agency shall not describe a policy-design allocation as an official cost estimate or claim that this Act pays for itself without verified revenue or savings enacted and available for that purpose.</w:t>
      </w:r>
    </w:p>
    <w:p>
      <w:bookmarkStart w:id="318" w:name="SEC_2907"/>
      <w:pPr>
        <w:pStyle w:val="Heading2"/>
      </w:pPr>
      <w:r>
        <w:t>SEC. 2907. REVENUE, SAVINGS, AND DEFICIT TRANSPARENCY.</w:t>
      </w:r>
      <w:bookmarkEnd w:id="318"/>
    </w:p>
    <w:p>
      <w:pPr>
        <w:pStyle w:val="LegalBody"/>
      </w:pPr>
      <w:r>
        <w:rPr>
          <w:b/>
        </w:rPr>
        <w:t xml:space="preserve">(a) No dedicated offset. </w:t>
      </w:r>
      <w:r>
        <w:t>This Act does not enact a new tax, dedicated revenue source, mandatory reduction in another program, or other offset for the appropriations in section 2902. Budget reporting shall therefore identify the appropriations as new Federal spending rather than describe them as fully offset.</w:t>
      </w:r>
    </w:p>
    <w:p>
      <w:pPr>
        <w:pStyle w:val="LegalBody"/>
      </w:pPr>
      <w:r>
        <w:rPr>
          <w:b/>
        </w:rPr>
        <w:t xml:space="preserve">(b) Savings. </w:t>
      </w:r>
      <w:r>
        <w:t>Anticipated health, productivity, environmental, or administrative benefits may be analyzed but shall not be netted against appropriations as realized savings without evidence and a lawful mechanism through which the Federal budget actually changes.</w:t>
      </w:r>
    </w:p>
    <w:p>
      <w:pPr>
        <w:pStyle w:val="LegalBody"/>
      </w:pPr>
      <w:r>
        <w:rPr>
          <w:b/>
        </w:rPr>
        <w:t xml:space="preserve">(c) Receipts. </w:t>
      </w:r>
      <w:r>
        <w:t>Civil penalties, recoveries, and other receipts shall be deposited or credited as required by applicable law. No enforcement agency may retain penalties as an automatic supplement to its operating budget under this Act.</w:t>
      </w:r>
    </w:p>
    <w:p>
      <w:pPr>
        <w:pStyle w:val="LegalBody"/>
      </w:pPr>
      <w:r>
        <w:rPr>
          <w:b/>
        </w:rPr>
        <w:t xml:space="preserve">(d) Borrowing effects. </w:t>
      </w:r>
      <w:r>
        <w:t>Fiscal analyses may estimate debt-service consequences using explicit interest and timing assumptions. Such estimates shall be identified as scenarios, not a prediction of future interest rates or an appropriation for debt service within the Fund.</w:t>
      </w:r>
    </w:p>
    <w:p>
      <w:pPr>
        <w:pStyle w:val="LegalBody"/>
      </w:pPr>
      <w:r>
        <w:rPr>
          <w:b/>
        </w:rPr>
        <w:t xml:space="preserve">(e) Existing controls. </w:t>
      </w:r>
      <w:r>
        <w:t>Nothing in this Act exempts spending from the Statutory Pay-As-You-Go Act of 2010, applicable sequestration, appropriations controls, or other budget law. Any necessary offset, exemption, or adjustment must be enacted expressly through the appropriate process.</w:t>
      </w:r>
    </w:p>
    <w:p>
      <w:pPr>
        <w:pStyle w:val="LegalBody"/>
      </w:pPr>
      <w:r>
        <w:rPr>
          <w:b/>
        </w:rPr>
        <w:t xml:space="preserve">(f) Public communication. </w:t>
      </w:r>
      <w:r>
        <w:t>A statement that money is appropriated shall be distinguished from a statement that spending is revenue-neutral. Agencies shall explain that the Fund's cap controls this Act's new budget authority but does not itself eliminate broader Federal fiscal consequences or private compliance costs.</w:t>
      </w:r>
    </w:p>
    <w:p>
      <w:bookmarkStart w:id="319" w:name="SEC_2908"/>
      <w:pPr>
        <w:pStyle w:val="Heading2"/>
      </w:pPr>
      <w:r>
        <w:t>SEC. 2908. PRIVATE AND INTERGOVERNMENTAL MANDATE ACCOUNTING.</w:t>
      </w:r>
      <w:bookmarkEnd w:id="319"/>
    </w:p>
    <w:p>
      <w:pPr>
        <w:pStyle w:val="LegalBody"/>
      </w:pPr>
      <w:r>
        <w:rPr>
          <w:b/>
        </w:rPr>
        <w:t xml:space="preserve">(a) Separate accounting. </w:t>
      </w:r>
      <w:r>
        <w:t>Rules and reports shall identify costs imposed on private entities and governments independently of grants, including leave, scheduling, privacy, assessment, security, explanation, review, and recordkeeping duties. These costs are not automatically financed by the $400,000,000,000 appropriation.</w:t>
      </w:r>
    </w:p>
    <w:p>
      <w:pPr>
        <w:pStyle w:val="LegalBody"/>
      </w:pPr>
      <w:r>
        <w:rPr>
          <w:b/>
        </w:rPr>
        <w:t xml:space="preserve">(b) Methods. </w:t>
      </w:r>
      <w:r>
        <w:t>Estimates shall distinguish entities already complying under another law or practice from those facing incremental requirements. Labor-cost estimates shall account for actual use, existing benefits, coverage, compensation, substitution, and uncertain productivity effects rather than multiply a maximum entitlement by every worker without qualification.</w:t>
      </w:r>
    </w:p>
    <w:p>
      <w:pPr>
        <w:pStyle w:val="LegalBody"/>
      </w:pPr>
      <w:r>
        <w:rPr>
          <w:b/>
        </w:rPr>
        <w:t xml:space="preserve">(c) Capital and technology. </w:t>
      </w:r>
      <w:r>
        <w:t>Compliance analysis shall include initial development, recurring operation, training, audit, accessibility, legal process, and vendor transition. Small-entity costs shall be considered without assuming that a smaller organization presents no serious risk.</w:t>
      </w:r>
    </w:p>
    <w:p>
      <w:pPr>
        <w:pStyle w:val="LegalBody"/>
      </w:pPr>
      <w:r>
        <w:rPr>
          <w:b/>
        </w:rPr>
        <w:t xml:space="preserve">(d) Governmental participation. </w:t>
      </w:r>
      <w:r>
        <w:t>Voluntary grant conditions shall be distinguished from direct mandates. A recipient's matching, maintenance, and future operating commitments shall be disclosed before acceptance.</w:t>
      </w:r>
    </w:p>
    <w:p>
      <w:pPr>
        <w:pStyle w:val="LegalBody"/>
      </w:pPr>
      <w:r>
        <w:rPr>
          <w:b/>
        </w:rPr>
        <w:t xml:space="preserve">(e) Review. </w:t>
      </w:r>
      <w:r>
        <w:t>Agencies shall comply with applicable regulatory analysis, small-business, paperwork, and unfunded-mandates requirements. Where an exemption applies, the agency shall identify it rather than omit the analysis silently.</w:t>
      </w:r>
    </w:p>
    <w:p>
      <w:pPr>
        <w:pStyle w:val="LegalBody"/>
      </w:pPr>
      <w:r>
        <w:rPr>
          <w:b/>
        </w:rPr>
        <w:t xml:space="preserve">(f) No implied reimbursement. </w:t>
      </w:r>
      <w:r>
        <w:t>This section does not create a right to Federal reimbursement for every compliance expense. Congress may consider assistance or amendment after reviewing evidence, but no agency may waive a substantive protection merely because a cost was not included in an early illustrative estimate.</w:t>
      </w:r>
    </w:p>
    <w:p>
      <w:bookmarkStart w:id="320" w:name="SEC_2909"/>
      <w:pPr>
        <w:pStyle w:val="Heading2"/>
      </w:pPr>
      <w:r>
        <w:t>SEC. 2909. INFLATION, THRESHOLDS, AND FINANCIAL ADJUSTMENTS.</w:t>
      </w:r>
      <w:bookmarkEnd w:id="320"/>
    </w:p>
    <w:p>
      <w:pPr>
        <w:pStyle w:val="LegalBody"/>
      </w:pPr>
      <w:r>
        <w:rPr>
          <w:b/>
        </w:rPr>
        <w:t xml:space="preserve">(a) Appropriations. </w:t>
      </w:r>
      <w:r>
        <w:t>The amounts in section 2902 are fixed nominal amounts and shall not be indexed by agency action. Any increase requires further legislation.</w:t>
      </w:r>
    </w:p>
    <w:p>
      <w:pPr>
        <w:pStyle w:val="LegalBody"/>
      </w:pPr>
      <w:r>
        <w:rPr>
          <w:b/>
        </w:rPr>
        <w:t xml:space="preserve">(b) Civil penalties. </w:t>
      </w:r>
      <w:r>
        <w:t>Beginning with the first calendar year starting more than 1 year after enactment, monetary penalty ceilings under section 2805 shall be adjusted under the Federal Civil Penalties Inflation Adjustment Act Improvements Act of 2015 to the extent applicable. The responsible agencies shall coordinate a single consistent adjustment and publish the resulting amounts.</w:t>
      </w:r>
    </w:p>
    <w:p>
      <w:pPr>
        <w:pStyle w:val="LegalBody"/>
      </w:pPr>
      <w:r>
        <w:rPr>
          <w:b/>
        </w:rPr>
        <w:t xml:space="preserve">(c) Other thresholds. </w:t>
      </w:r>
      <w:r>
        <w:t>Employee, user, decision-volume, time, leave-hour, and procedural thresholds in this Act are not subject to inflation adjustment. Agencies may clarify measurement within statutory terms but shall not change a substantive threshold through a financial adjustment rule.</w:t>
      </w:r>
    </w:p>
    <w:p>
      <w:pPr>
        <w:pStyle w:val="LegalBody"/>
      </w:pPr>
      <w:r>
        <w:rPr>
          <w:b/>
        </w:rPr>
        <w:t xml:space="preserve">(d) Cost estimates. </w:t>
      </w:r>
      <w:r>
        <w:t>Agencies shall update planning estimates as prices, wages, and delivery conditions change, while remaining within enacted amounts. A revised estimate shall identify whether fewer units, different design, additional non-Federal resources, or further legislation would be necessary.</w:t>
      </w:r>
    </w:p>
    <w:p>
      <w:pPr>
        <w:pStyle w:val="LegalBody"/>
      </w:pPr>
      <w:r>
        <w:rPr>
          <w:b/>
        </w:rPr>
        <w:t xml:space="preserve">(e) Recoveries. </w:t>
      </w:r>
      <w:r>
        <w:t>Returned or recovered funds may be reobligated only where their availability and applicable law permit. An expired or canceled balance shall not be revived through an accounting label.</w:t>
      </w:r>
    </w:p>
    <w:p>
      <w:pPr>
        <w:pStyle w:val="LegalBody"/>
      </w:pPr>
      <w:r>
        <w:rPr>
          <w:b/>
        </w:rPr>
        <w:t xml:space="preserve">(f) Publication. </w:t>
      </w:r>
      <w:r>
        <w:t>Financial reports shall preserve comparability by identifying adjustments, transfers, inflation assumptions, and changes in methods. An agency shall not present a nominal increase as a real increase in service capacity without accounting for relevant costs.</w:t>
      </w:r>
    </w:p>
    <w:p>
      <w:bookmarkStart w:id="321" w:name="SEC_2910"/>
      <w:pPr>
        <w:pStyle w:val="Heading2"/>
      </w:pPr>
      <w:r>
        <w:t>SEC. 2910. FUNDING REVIEW, EXPIRATION, AND FUTURE LEGISLATION.</w:t>
      </w:r>
      <w:bookmarkEnd w:id="321"/>
    </w:p>
    <w:p>
      <w:pPr>
        <w:pStyle w:val="LegalBody"/>
      </w:pPr>
      <w:r>
        <w:rPr>
          <w:b/>
        </w:rPr>
        <w:t xml:space="preserve">(a) Reviews. </w:t>
      </w:r>
      <w:r>
        <w:t>The Comptroller General shall assess financial execution after program years 2 and 5. The Director shall submit a continuation and transition report before the beginning of program year 9, identifying evidence, continuing duties, costs, outstanding commitments, and options requiring further appropriations.</w:t>
      </w:r>
    </w:p>
    <w:p>
      <w:pPr>
        <w:pStyle w:val="LegalBody"/>
      </w:pPr>
      <w:r>
        <w:rPr>
          <w:b/>
        </w:rPr>
        <w:t xml:space="preserve">(b) Expiration. </w:t>
      </w:r>
      <w:r>
        <w:t>No new installment arises after program year 10. Existing balances remain subject to section 2902, and valid obligations shall be liquidated according to law. Expiration of funding does not repeal permanent rights, prohibitions, or regulatory duties.</w:t>
      </w:r>
    </w:p>
    <w:p>
      <w:pPr>
        <w:pStyle w:val="LegalBody"/>
      </w:pPr>
      <w:r>
        <w:rPr>
          <w:b/>
        </w:rPr>
        <w:t xml:space="preserve">(c) Continuing administration. </w:t>
      </w:r>
      <w:r>
        <w:t>Agencies may use other lawfully available appropriations for continuing duties only where their purpose and terms permit. This Act does not create an unlimited permanent appropriation for enforcement or administration after Fund resources are exhausted.</w:t>
      </w:r>
    </w:p>
    <w:p>
      <w:pPr>
        <w:pStyle w:val="LegalBody"/>
      </w:pPr>
      <w:r>
        <w:rPr>
          <w:b/>
        </w:rPr>
        <w:t xml:space="preserve">(d) Transition. </w:t>
      </w:r>
      <w:r>
        <w:t>Agencies shall plan for award closeout, records, equipment, care continuity, and transfer of functions. A recommendation for renewal shall not be treated as enacted funding.</w:t>
      </w:r>
    </w:p>
    <w:p>
      <w:pPr>
        <w:pStyle w:val="LegalBody"/>
      </w:pPr>
      <w:r>
        <w:rPr>
          <w:b/>
        </w:rPr>
        <w:t xml:space="preserve">(e) Thirty-year analysis. </w:t>
      </w:r>
      <w:r>
        <w:t>Reports may show a hypothetical continuation to program year 30, but shall display it separately from the enacted 10-year schedule and identify the additional legislation and resources assumed. No 30-year or perpetual guarantee is created.</w:t>
      </w:r>
    </w:p>
    <w:p>
      <w:pPr>
        <w:pStyle w:val="LegalBody"/>
      </w:pPr>
      <w:r>
        <w:rPr>
          <w:b/>
        </w:rPr>
        <w:t xml:space="preserve">(f) Accountability. </w:t>
      </w:r>
      <w:r>
        <w:t>Congress retains authority to amend, continue, reduce, or replace programs through lawful legislation. Agencies shall provide evidence and options without claiming that a long-term mission prevents reconsideration or binds future appropriations beyond the amounts expressly enacted.</w:t>
      </w:r>
    </w:p>
    <w:p>
      <w:bookmarkStart w:id="322" w:name="TITLE_XXX"/>
      <w:pPr>
        <w:pStyle w:val="Heading1"/>
        <w:pageBreakBefore/>
      </w:pPr>
      <w:r>
        <w:t>TITLE XXX. IMPLEMENTATION, SAVINGS, REVIEW, AND SEVERABILITY</w:t>
      </w:r>
      <w:bookmarkEnd w:id="322"/>
    </w:p>
    <w:p>
      <w:bookmarkStart w:id="323" w:name="SEC_3001"/>
      <w:pPr>
        <w:pStyle w:val="Heading2"/>
      </w:pPr>
      <w:r>
        <w:t>SEC. 3001. EFFECTIVE DATES AND PHASED COMMENCEMENT.</w:t>
      </w:r>
      <w:bookmarkEnd w:id="323"/>
    </w:p>
    <w:p>
      <w:pPr>
        <w:pStyle w:val="LegalBody"/>
      </w:pPr>
      <w:r>
        <w:rPr>
          <w:b/>
        </w:rPr>
        <w:t xml:space="preserve">(a) Immediate provisions. </w:t>
      </w:r>
      <w:r>
        <w:t>Titles I, III, XXIX, and XXX take effect upon enactment to permit organization, planning, appropriations, oversight, and preparation. A start-up award made before the general effective date shall include the rights, consent, privacy, and financial conditions necessary to conduct the activity lawfully.</w:t>
      </w:r>
    </w:p>
    <w:p>
      <w:pPr>
        <w:pStyle w:val="LegalBody"/>
      </w:pPr>
      <w:r>
        <w:rPr>
          <w:b/>
        </w:rPr>
        <w:t xml:space="preserve">(b) General date. </w:t>
      </w:r>
      <w:r>
        <w:t>Except as otherwise expressly provided, this Act takes effect 180 days after enactment. A duty expressly measured from enactment shall be performed on its stated schedule.</w:t>
      </w:r>
    </w:p>
    <w:p>
      <w:pPr>
        <w:pStyle w:val="LegalBody"/>
      </w:pPr>
      <w:r>
        <w:rPr>
          <w:b/>
        </w:rPr>
        <w:t xml:space="preserve">(c) Commercial transition. </w:t>
      </w:r>
      <w:r>
        <w:t>Private-employer obligations under title XIV and technical commercial obligations under titles XVIII, XIX, and XXII take effect 730 days after enactment. Core neurotechnology and biotechnology prohibitions identified in titles XX and XXI take effect after 180 days. Other specific dates in those titles control over this general schedule.</w:t>
      </w:r>
    </w:p>
    <w:p>
      <w:pPr>
        <w:pStyle w:val="LegalBody"/>
      </w:pPr>
      <w:r>
        <w:rPr>
          <w:b/>
        </w:rPr>
        <w:t xml:space="preserve">(d) Existing systems. </w:t>
      </w:r>
      <w:r>
        <w:t>Legacy inventories and continuity arrangements shall follow sections 1909 and 2203. A lawful existing service shall not be halted solely because a future technical rule has not yet taken effect, but an independently applicable existing legal duty remains enforceable.</w:t>
      </w:r>
    </w:p>
    <w:p>
      <w:pPr>
        <w:pStyle w:val="LegalBody"/>
      </w:pPr>
      <w:r>
        <w:rPr>
          <w:b/>
        </w:rPr>
        <w:t xml:space="preserve">(e) No retroactive penalty. </w:t>
      </w:r>
      <w:r>
        <w:t>No civil monetary penalty under this Act applies to conduct before the relevant duty's effective date. Ongoing conduct after that date is subject to the duty, with the notice and cure provisions applicable to the violation.</w:t>
      </w:r>
    </w:p>
    <w:p>
      <w:pPr>
        <w:pStyle w:val="LegalBody"/>
      </w:pPr>
      <w:r>
        <w:rPr>
          <w:b/>
        </w:rPr>
        <w:t xml:space="preserve">(f) Funding and capacity. </w:t>
      </w:r>
      <w:r>
        <w:t>The availability of an appropriation does not itself accelerate a technical compliance date, and a delayed rule does not automatically suspend a clear self-executing statutory prohibition.</w:t>
      </w:r>
    </w:p>
    <w:p>
      <w:bookmarkStart w:id="324" w:name="SEC_3002"/>
      <w:pPr>
        <w:pStyle w:val="Heading2"/>
      </w:pPr>
      <w:r>
        <w:t>SEC. 3002. RULEMAKING AUTHORITY AND PROCEDURE.</w:t>
      </w:r>
      <w:bookmarkEnd w:id="324"/>
    </w:p>
    <w:p>
      <w:pPr>
        <w:pStyle w:val="LegalBody"/>
      </w:pPr>
      <w:r>
        <w:rPr>
          <w:b/>
        </w:rPr>
        <w:t xml:space="preserve">(a) Express authority. </w:t>
      </w:r>
      <w:r>
        <w:t>Each lead agency may issue rules necessary to implement duties expressly assigned to it by this Act. Rules shall specify administration, documentation, methods, notice, access, and compliance within the statutory scope. No rule may create a new substantive regulatory category, criminal offense, appropriation, or private cause of action.</w:t>
      </w:r>
    </w:p>
    <w:p>
      <w:pPr>
        <w:pStyle w:val="LegalBody"/>
      </w:pPr>
      <w:r>
        <w:rPr>
          <w:b/>
        </w:rPr>
        <w:t xml:space="preserve">(b) Schedule. </w:t>
      </w:r>
      <w:r>
        <w:t>Agencies shall publish proposed core implementing rules within 365 days after enactment and final core rules within 540 days. A delay shall be reported to Congress with reasons and an updated schedule, but shall not alter a statutory effective date absent express authority.</w:t>
      </w:r>
    </w:p>
    <w:p>
      <w:pPr>
        <w:pStyle w:val="LegalBody"/>
      </w:pPr>
      <w:r>
        <w:rPr>
          <w:b/>
        </w:rPr>
        <w:t xml:space="preserve">(c) Procedure. </w:t>
      </w:r>
      <w:r>
        <w:t>Rulemaking shall comply with section 553 of title 5, United States Code, and other applicable procedural and analytical requirements. For duties newly created by this Act, the Federal Trade Commission shall use that procedure rather than procedures applicable solely to a rule issued under a different statutory authority.</w:t>
      </w:r>
    </w:p>
    <w:p>
      <w:pPr>
        <w:pStyle w:val="LegalBody"/>
      </w:pPr>
      <w:r>
        <w:rPr>
          <w:b/>
        </w:rPr>
        <w:t xml:space="preserve">(d) Record. </w:t>
      </w:r>
      <w:r>
        <w:t>A rule shall identify authority, evidence, uncertainty, alternatives, costs, affected entities, access, privacy, federalism, and response to material comments. Technical standards incorporated by reference shall be reasonably accessible and shall not delegate future binding changes automatically to a private body.</w:t>
      </w:r>
    </w:p>
    <w:p>
      <w:pPr>
        <w:pStyle w:val="LegalBody"/>
      </w:pPr>
      <w:r>
        <w:rPr>
          <w:b/>
        </w:rPr>
        <w:t xml:space="preserve">(e) Guidance. </w:t>
      </w:r>
      <w:r>
        <w:t>Nonbinding guidance shall be clearly labeled and shall not be enforced as an independent duty. Agencies may issue examples and safe implementation methods within law, but shall preserve alternative methods that satisfy the statute and rule.</w:t>
      </w:r>
    </w:p>
    <w:p>
      <w:pPr>
        <w:pStyle w:val="LegalBody"/>
      </w:pPr>
      <w:r>
        <w:rPr>
          <w:b/>
        </w:rPr>
        <w:t xml:space="preserve">(f) Review. </w:t>
      </w:r>
      <w:r>
        <w:t>Final rules remain subject to judicial review. The agency shall not claim that a broad purpose clause authorizes an otherwise unsupported assertion of power.</w:t>
      </w:r>
    </w:p>
    <w:p>
      <w:bookmarkStart w:id="325" w:name="SEC_3003"/>
      <w:pPr>
        <w:pStyle w:val="Heading2"/>
      </w:pPr>
      <w:r>
        <w:t>SEC. 3003. FIRST-YEAR IMPLEMENTATION MILESTONES.</w:t>
      </w:r>
      <w:bookmarkEnd w:id="325"/>
    </w:p>
    <w:p>
      <w:pPr>
        <w:pStyle w:val="LegalBody"/>
      </w:pPr>
      <w:r>
        <w:rPr>
          <w:b/>
        </w:rPr>
        <w:t xml:space="preserve">(a) First 90 days. </w:t>
      </w:r>
      <w:r>
        <w:t>The Secretary shall appoint the Director, designate lead officials, establish financial controls for the advance, begin workforce planning, and publish a preliminary implementation register. Agencies shall identify immediate legal and operational dependencies.</w:t>
      </w:r>
    </w:p>
    <w:p>
      <w:pPr>
        <w:pStyle w:val="LegalBody"/>
      </w:pPr>
      <w:r>
        <w:rPr>
          <w:b/>
        </w:rPr>
        <w:t xml:space="preserve">(b) By 180 days. </w:t>
      </w:r>
      <w:r>
        <w:t>Agencies shall complete the initial program inventory, establish complaint referral, issue initial grant safeguards, begin consultation, and identify baseline data. Core rights effective on that date shall be communicated to affected programs and entities.</w:t>
      </w:r>
    </w:p>
    <w:p>
      <w:pPr>
        <w:pStyle w:val="LegalBody"/>
      </w:pPr>
      <w:r>
        <w:rPr>
          <w:b/>
        </w:rPr>
        <w:t xml:space="preserve">(c) By 270 days. </w:t>
      </w:r>
      <w:r>
        <w:t>The Director shall publish the national implementation strategy under section 305. Initial funding opportunities may proceed where authority, safeguards, staffing, and financial controls are adequate.</w:t>
      </w:r>
    </w:p>
    <w:p>
      <w:pPr>
        <w:pStyle w:val="LegalBody"/>
      </w:pPr>
      <w:r>
        <w:rPr>
          <w:b/>
        </w:rPr>
        <w:t xml:space="preserve">(d) By 365 days. </w:t>
      </w:r>
      <w:r>
        <w:t>Agencies shall publish proposed core rules, establish major evaluation plans, complete required system inventories, and report start-up obligations and capacity. A project shall not be announced as operational merely because an award has been made.</w:t>
      </w:r>
    </w:p>
    <w:p>
      <w:pPr>
        <w:pStyle w:val="LegalBody"/>
      </w:pPr>
      <w:r>
        <w:rPr>
          <w:b/>
        </w:rPr>
        <w:t xml:space="preserve">(e) Dependencies. </w:t>
      </w:r>
      <w:r>
        <w:t>Each milestone report shall identify delays, responsible officials, corrective action, and consequences for later work. Agencies may sequence discretionary activity within law but shall not conceal a missed statutory deadline by changing a dashboard label.</w:t>
      </w:r>
    </w:p>
    <w:p>
      <w:pPr>
        <w:pStyle w:val="LegalBody"/>
      </w:pPr>
      <w:r>
        <w:rPr>
          <w:b/>
        </w:rPr>
        <w:t xml:space="preserve">(f) Public information. </w:t>
      </w:r>
      <w:r>
        <w:t>The implementation register shall distinguish completed, in-progress, delayed, and not-yet-due duties and shall include links to official documents where lawful and accessible.</w:t>
      </w:r>
    </w:p>
    <w:p>
      <w:bookmarkStart w:id="326" w:name="SEC_3004"/>
      <w:pPr>
        <w:pStyle w:val="Heading2"/>
      </w:pPr>
      <w:r>
        <w:t>SEC. 3004. SECOND-YEAR DEPLOYMENT AND YEARS THREE THROUGH FIVE.</w:t>
      </w:r>
      <w:bookmarkEnd w:id="326"/>
    </w:p>
    <w:p>
      <w:pPr>
        <w:pStyle w:val="LegalBody"/>
      </w:pPr>
      <w:r>
        <w:rPr>
          <w:b/>
        </w:rPr>
        <w:t xml:space="preserve">(a) Year 2. </w:t>
      </w:r>
      <w:r>
        <w:t>Agencies shall complete core rules, provide technical assistance, launch approved demonstrations, validate data systems, train enforcement and program staff, and prepare for the 730-day commercial compliance date.</w:t>
      </w:r>
    </w:p>
    <w:p>
      <w:pPr>
        <w:pStyle w:val="LegalBody"/>
      </w:pPr>
      <w:r>
        <w:rPr>
          <w:b/>
        </w:rPr>
        <w:t xml:space="preserve">(b) Readiness. </w:t>
      </w:r>
      <w:r>
        <w:t>Before expanding a program, the responsible official shall confirm legal authority, appropriations, workforce, procurement, accessibility, privacy, complaints, evaluation, and continuity. A readiness review shall identify unresolved risks and mitigation rather than operate as a ceremonial approval.</w:t>
      </w:r>
    </w:p>
    <w:p>
      <w:pPr>
        <w:pStyle w:val="LegalBody"/>
      </w:pPr>
      <w:r>
        <w:rPr>
          <w:b/>
        </w:rPr>
        <w:t xml:space="preserve">(c) Years 3 through 5. </w:t>
      </w:r>
      <w:r>
        <w:t>Agencies shall evaluate early results, correct failures, expand only within lawful authority and available funds, and publish comparative implementation lessons. Evidence from a demonstration shall be assessed for transferability before national expansion.</w:t>
      </w:r>
    </w:p>
    <w:p>
      <w:pPr>
        <w:pStyle w:val="LegalBody"/>
      </w:pPr>
      <w:r>
        <w:rPr>
          <w:b/>
        </w:rPr>
        <w:t xml:space="preserve">(d) Private compliance. </w:t>
      </w:r>
      <w:r>
        <w:t>Technical assistance shall explain duties without promising immunity. Agencies shall prioritize material risks and deliberate violations while providing proportionate cure for eligible first-time defects.</w:t>
      </w:r>
    </w:p>
    <w:p>
      <w:pPr>
        <w:pStyle w:val="LegalBody"/>
      </w:pPr>
      <w:r>
        <w:rPr>
          <w:b/>
        </w:rPr>
        <w:t xml:space="preserve">(e) Oversight. </w:t>
      </w:r>
      <w:r>
        <w:t>The Comptroller General and Inspectors General shall review implementation as provided by this Act. Agencies shall respond to findings with responsible officials and deadlines.</w:t>
      </w:r>
    </w:p>
    <w:p>
      <w:pPr>
        <w:pStyle w:val="LegalBody"/>
      </w:pPr>
      <w:r>
        <w:rPr>
          <w:b/>
        </w:rPr>
        <w:t xml:space="preserve">(f) No automatic scale-up. </w:t>
      </w:r>
      <w:r>
        <w:t>Completion of a pilot, favorable publicity, or use of the HUMAN Act name does not authorize permanent nationwide deployment. Expansion requires the applicable program decision, financial capacity, safeguards, and any additional legislation needed for a new substantive mandate.</w:t>
      </w:r>
    </w:p>
    <w:p>
      <w:bookmarkStart w:id="327" w:name="SEC_3005"/>
      <w:pPr>
        <w:pStyle w:val="Heading2"/>
      </w:pPr>
      <w:r>
        <w:t>SEC. 3005. FIVE-YEAR COMPREHENSIVE REVIEW.</w:t>
      </w:r>
      <w:bookmarkEnd w:id="327"/>
    </w:p>
    <w:p>
      <w:pPr>
        <w:pStyle w:val="LegalBody"/>
      </w:pPr>
      <w:r>
        <w:rPr>
          <w:b/>
        </w:rPr>
        <w:t xml:space="preserve">(a) Review. </w:t>
      </w:r>
      <w:r>
        <w:t>After 5 program years, the Director shall coordinate a comprehensive review informed by independent evaluation, oversight, scientific advice, and affected persons. The review shall assess each title's implementation and the interaction among programs.</w:t>
      </w:r>
    </w:p>
    <w:p>
      <w:pPr>
        <w:pStyle w:val="LegalBody"/>
      </w:pPr>
      <w:r>
        <w:rPr>
          <w:b/>
        </w:rPr>
        <w:t xml:space="preserve">(b) Contents. </w:t>
      </w:r>
      <w:r>
        <w:t>The review shall address consistency, authority, rights, enforceability, access, evidence, fiscal execution, private burden, workforce, technology, federalism, international commitments, and unintended consequences. It shall distinguish actual outcomes from projections and recommendations.</w:t>
      </w:r>
    </w:p>
    <w:p>
      <w:pPr>
        <w:pStyle w:val="LegalBody"/>
      </w:pPr>
      <w:r>
        <w:rPr>
          <w:b/>
        </w:rPr>
        <w:t xml:space="preserve">(c) Options. </w:t>
      </w:r>
      <w:r>
        <w:t>The report shall identify activities suitable for continuation, modification, further study, or cessation, with reasons and alternatives. These are recommendations for lawful decisionmaking, not self-executing amendments.</w:t>
      </w:r>
    </w:p>
    <w:p>
      <w:pPr>
        <w:pStyle w:val="LegalBody"/>
      </w:pPr>
      <w:r>
        <w:rPr>
          <w:b/>
        </w:rPr>
        <w:t xml:space="preserve">(d) Participation. </w:t>
      </w:r>
      <w:r>
        <w:t>The review shall provide accessible public input and include persons affected by both benefits and burdens. No participant shall be treated as representative of every person sharing a characteristic.</w:t>
      </w:r>
    </w:p>
    <w:p>
      <w:pPr>
        <w:pStyle w:val="LegalBody"/>
      </w:pPr>
      <w:r>
        <w:rPr>
          <w:b/>
        </w:rPr>
        <w:t xml:space="preserve">(e) Congressional action. </w:t>
      </w:r>
      <w:r>
        <w:t>Any change in appropriation, regulatory scope, private remedy, penalty, or substantive right requires the legal action otherwise prescribed. A favorable review does not renew the temporary heritable-editing restriction or extend a technology suspension.</w:t>
      </w:r>
    </w:p>
    <w:p>
      <w:pPr>
        <w:pStyle w:val="LegalBody"/>
      </w:pPr>
      <w:r>
        <w:rPr>
          <w:b/>
        </w:rPr>
        <w:t xml:space="preserve">(f) Publication. </w:t>
      </w:r>
      <w:r>
        <w:t>The report shall include methodological limitations and minority scientific analyses where material. It shall not provide an overall ranking of human worth, cultures, or political systems or conceal unresolved legal questions behind a single success score.</w:t>
      </w:r>
    </w:p>
    <w:p>
      <w:bookmarkStart w:id="328" w:name="SEC_3006"/>
      <w:pPr>
        <w:pStyle w:val="Heading2"/>
      </w:pPr>
      <w:r>
        <w:t>SEC. 3006. PREEMPTION AND PRESERVATION OF MORE PROTECTIVE LAW.</w:t>
      </w:r>
      <w:bookmarkEnd w:id="328"/>
    </w:p>
    <w:p>
      <w:pPr>
        <w:pStyle w:val="LegalBody"/>
      </w:pPr>
      <w:r>
        <w:rPr>
          <w:b/>
        </w:rPr>
        <w:t xml:space="preserve">(a) Federal floor. </w:t>
      </w:r>
      <w:r>
        <w:t>Except where a specific provision expressly states otherwise, this Act does not preempt a State, local, or tribal law providing equal or greater protection concerning health, labor, privacy, civil rights, disability, consumer interests, or environment.</w:t>
      </w:r>
    </w:p>
    <w:p>
      <w:pPr>
        <w:pStyle w:val="LegalBody"/>
      </w:pPr>
      <w:r>
        <w:rPr>
          <w:b/>
        </w:rPr>
        <w:t xml:space="preserve">(b) Conflict. </w:t>
      </w:r>
      <w:r>
        <w:t>Preemption exists only to the extent compliance with both requirements is impossible or another applicable constitutional preemption principle requires it. A law is not inconsistent merely because it is more protective, uses a different administrative method, or imposes an additional lawful remedy.</w:t>
      </w:r>
    </w:p>
    <w:p>
      <w:pPr>
        <w:pStyle w:val="LegalBody"/>
      </w:pPr>
      <w:r>
        <w:rPr>
          <w:b/>
        </w:rPr>
        <w:t xml:space="preserve">(c) Federal operations. </w:t>
      </w:r>
      <w:r>
        <w:t>Requirements governing Federal agencies apply according to Federal law. This section does not subject the United States to State regulation where constitutional or statutory immunity precludes it.</w:t>
      </w:r>
    </w:p>
    <w:p>
      <w:pPr>
        <w:pStyle w:val="LegalBody"/>
      </w:pPr>
      <w:r>
        <w:rPr>
          <w:b/>
        </w:rPr>
        <w:t xml:space="preserve">(d) Existing Federal law. </w:t>
      </w:r>
      <w:r>
        <w:t>Specific Federal product, labor, benefits, research, privacy, and procedural statutes remain applicable. Compliance with this Act does not legalize conduct prohibited elsewhere.</w:t>
      </w:r>
    </w:p>
    <w:p>
      <w:pPr>
        <w:pStyle w:val="LegalBody"/>
      </w:pPr>
      <w:r>
        <w:rPr>
          <w:b/>
        </w:rPr>
        <w:t xml:space="preserve">(e) Explanation. </w:t>
      </w:r>
      <w:r>
        <w:t>An agency asserting preemption shall identify the specific conflict and legal basis in a public reasoned statement where practicable. It shall not claim field preemption from this Act's broad subject matter alone.</w:t>
      </w:r>
    </w:p>
    <w:p>
      <w:pPr>
        <w:pStyle w:val="LegalBody"/>
      </w:pPr>
      <w:r>
        <w:rPr>
          <w:b/>
        </w:rPr>
        <w:t xml:space="preserve">(f) Judicial role. </w:t>
      </w:r>
      <w:r>
        <w:t>Courts retain authority to determine preemption. An agency's general coordination preference shall not displace a more protective law without the legal basis required by the Constitution and applicable statutes.</w:t>
      </w:r>
    </w:p>
    <w:p>
      <w:bookmarkStart w:id="329" w:name="SEC_3007"/>
      <w:pPr>
        <w:pStyle w:val="Heading2"/>
      </w:pPr>
      <w:r>
        <w:t>SEC. 3007. CIVIL-LIBERTIES, RESEARCH, AND CLINICAL SAVINGS.</w:t>
      </w:r>
      <w:bookmarkEnd w:id="329"/>
    </w:p>
    <w:p>
      <w:pPr>
        <w:pStyle w:val="LegalBody"/>
      </w:pPr>
      <w:r>
        <w:rPr>
          <w:b/>
        </w:rPr>
        <w:t xml:space="preserve">(a) Constitutional rights. </w:t>
      </w:r>
      <w:r>
        <w:t>Nothing in this Act authorizes infringement of speech, religion, association, privacy, due process, equal protection, bodily integrity, or other constitutional rights. Statutory protections may supplement constitutional minima within Congress's authority.</w:t>
      </w:r>
    </w:p>
    <w:p>
      <w:pPr>
        <w:pStyle w:val="LegalBody"/>
      </w:pPr>
      <w:r>
        <w:rPr>
          <w:b/>
        </w:rPr>
        <w:t xml:space="preserve">(b) Research. </w:t>
      </w:r>
      <w:r>
        <w:t>Lawful scientific inquiry remains protected. A study shall not be prohibited solely because its findings may be controversial, but applicable consent, safety, confidentiality, heritage, and funding restrictions remain in force.</w:t>
      </w:r>
    </w:p>
    <w:p>
      <w:pPr>
        <w:pStyle w:val="LegalBody"/>
      </w:pPr>
      <w:r>
        <w:rPr>
          <w:b/>
        </w:rPr>
        <w:t xml:space="preserve">(c) Clinical care. </w:t>
      </w:r>
      <w:r>
        <w:t>No provision establishes a universal treatment standard, guarantees access to an unapproved intervention, or requires an individual to accept treatment. Qualified professionals remain subject to applicable licensing, product, and clinical law.</w:t>
      </w:r>
    </w:p>
    <w:p>
      <w:pPr>
        <w:pStyle w:val="LegalBody"/>
      </w:pPr>
      <w:r>
        <w:rPr>
          <w:b/>
        </w:rPr>
        <w:t xml:space="preserve">(d) Reproductive matters. </w:t>
      </w:r>
      <w:r>
        <w:t>This Act does not determine the legal status of embryos or fetuses, amend abortion law, create compelled reproductive duties, or repeal restrictions on Federal financing of particular procedures except for the express temporary clinical restriction in section 2104 and specified safeguards governing otherwise lawful services.</w:t>
      </w:r>
    </w:p>
    <w:p>
      <w:pPr>
        <w:pStyle w:val="LegalBody"/>
      </w:pPr>
      <w:r>
        <w:rPr>
          <w:b/>
        </w:rPr>
        <w:t xml:space="preserve">(e) Identity and difference. </w:t>
      </w:r>
      <w:r>
        <w:t>Use of technology, disability, genetic variation, dependence on assistance, or an atypical mode of thought shall not diminish an individual's protections under this Act.</w:t>
      </w:r>
    </w:p>
    <w:p>
      <w:pPr>
        <w:pStyle w:val="LegalBody"/>
      </w:pPr>
      <w:r>
        <w:rPr>
          <w:b/>
        </w:rPr>
        <w:t xml:space="preserve">(f) No implied powers. </w:t>
      </w:r>
      <w:r>
        <w:t>A reference to humanity, future generations, or well-being shall not be construed as a freestanding authority to regulate intimate life, impose a belief, collect neural data, compel genetic change, or suppress lawful expression.</w:t>
      </w:r>
    </w:p>
    <w:p>
      <w:bookmarkStart w:id="330" w:name="SEC_3008"/>
      <w:pPr>
        <w:pStyle w:val="Heading2"/>
      </w:pPr>
      <w:r>
        <w:t>SEC. 3008. SEVERABILITY AND APPLICATION-SPECIFIC REVIEW.</w:t>
      </w:r>
      <w:bookmarkEnd w:id="330"/>
    </w:p>
    <w:p>
      <w:pPr>
        <w:pStyle w:val="LegalBody"/>
      </w:pPr>
      <w:r>
        <w:rPr>
          <w:b/>
        </w:rPr>
        <w:t xml:space="preserve">(a) General rule. </w:t>
      </w:r>
      <w:r>
        <w:t>If a provision of this Act, or its application to a person or circumstance, is held invalid, the remainder and its application to other persons or circumstances shall remain effective to the extent capable of lawful independent operation.</w:t>
      </w:r>
    </w:p>
    <w:p>
      <w:pPr>
        <w:pStyle w:val="LegalBody"/>
      </w:pPr>
      <w:r>
        <w:rPr>
          <w:b/>
        </w:rPr>
        <w:t xml:space="preserve">(b) Rights and remedies. </w:t>
      </w:r>
      <w:r>
        <w:t>Invalidity of a particular remedy does not automatically invalidate the underlying duty or another lawful remedy. Invalidity of a funding condition does not authorize enforcement of that condition through a different label.</w:t>
      </w:r>
    </w:p>
    <w:p>
      <w:pPr>
        <w:pStyle w:val="LegalBody"/>
      </w:pPr>
      <w:r>
        <w:rPr>
          <w:b/>
        </w:rPr>
        <w:t xml:space="preserve">(c) Funding. </w:t>
      </w:r>
      <w:r>
        <w:t>If an authorized activity cannot lawfully be performed, unobligated amounts assigned to it may be used only for another lawful purpose within the same account or through the limited transfer authority in section 2904. No invalid provision creates authority to spend for an unrelated purpose.</w:t>
      </w:r>
    </w:p>
    <w:p>
      <w:pPr>
        <w:pStyle w:val="LegalBody"/>
      </w:pPr>
      <w:r>
        <w:rPr>
          <w:b/>
        </w:rPr>
        <w:t xml:space="preserve">(d) Integrated provisions. </w:t>
      </w:r>
      <w:r>
        <w:t>A court shall consider whether severance would materially alter the operation of a remaining provision or remove a safeguard essential to the authority conferred. Congressional intent is to preserve lawful protections and programs, not to expand power by severing their limiting conditions.</w:t>
      </w:r>
    </w:p>
    <w:p>
      <w:pPr>
        <w:pStyle w:val="LegalBody"/>
      </w:pPr>
      <w:r>
        <w:rPr>
          <w:b/>
        </w:rPr>
        <w:t xml:space="preserve">(e) Notice. </w:t>
      </w:r>
      <w:r>
        <w:t>Agencies shall publish the operational effect of a controlling judgment, identify affected duties and funds, and provide reasonable transition within the judgment and law. They shall not continue enforcement of an invalid provision pending an administrative preference for a different result.</w:t>
      </w:r>
    </w:p>
    <w:p>
      <w:bookmarkStart w:id="331" w:name="SEC_3009"/>
      <w:pPr>
        <w:pStyle w:val="Heading2"/>
      </w:pPr>
      <w:r>
        <w:t>SEC. 3009. TECHNICAL CONFORMITY, REPORTING, AND NO IMPLIED AMENDMENTS.</w:t>
      </w:r>
      <w:bookmarkEnd w:id="331"/>
    </w:p>
    <w:p>
      <w:pPr>
        <w:pStyle w:val="LegalBody"/>
      </w:pPr>
      <w:r>
        <w:rPr>
          <w:b/>
        </w:rPr>
        <w:t xml:space="preserve">(a) Implementation proposals. </w:t>
      </w:r>
      <w:r>
        <w:t>Agencies shall identify technical amendments to existing statutes that may be necessary for efficient administration and submit proposals to Congress. Such proposals are not amendments until enacted.</w:t>
      </w:r>
    </w:p>
    <w:p>
      <w:pPr>
        <w:pStyle w:val="LegalBody"/>
      </w:pPr>
      <w:r>
        <w:rPr>
          <w:b/>
        </w:rPr>
        <w:t xml:space="preserve">(b) References. </w:t>
      </w:r>
      <w:r>
        <w:t>A reference to another law includes its applicable amendments unless this Act specifies a fixed version. A reference to a voluntary standard or international recommendation does not automatically incorporate later revisions as binding law.</w:t>
      </w:r>
    </w:p>
    <w:p>
      <w:pPr>
        <w:pStyle w:val="LegalBody"/>
      </w:pPr>
      <w:r>
        <w:rPr>
          <w:b/>
        </w:rPr>
        <w:t xml:space="preserve">(c) Reports. </w:t>
      </w:r>
      <w:r>
        <w:t>Agencies may consolidate reporting where all required subjects, recipients, and deadlines remain satisfied. A consolidated report shall contain a crosswalk identifying each statutory requirement.</w:t>
      </w:r>
    </w:p>
    <w:p>
      <w:pPr>
        <w:pStyle w:val="LegalBody"/>
      </w:pPr>
      <w:r>
        <w:rPr>
          <w:b/>
        </w:rPr>
        <w:t xml:space="preserve">(d) Published legal basis. </w:t>
      </w:r>
      <w:r>
        <w:t>An agency shall not implement an obligation whose essential scope, responsible actor, or legal basis has been left to an unpublished future policy. Where this Act delegates a method, the agency shall adopt it through the required procedure before treating it as binding.</w:t>
      </w:r>
    </w:p>
    <w:p>
      <w:pPr>
        <w:pStyle w:val="LegalBody"/>
      </w:pPr>
      <w:r>
        <w:rPr>
          <w:b/>
        </w:rPr>
        <w:t xml:space="preserve">(e) Public identity. </w:t>
      </w:r>
      <w:r>
        <w:t>Use of the HUMAN Act name by a recipient shall accurately describe the funded activity and shall not imply Federal approval of unrelated products or services. A model adaptation in another jurisdiction shall not be represented as United States law or as an internationally binding instrument.</w:t>
      </w:r>
    </w:p>
    <w:p>
      <w:pPr>
        <w:pStyle w:val="LegalBody"/>
      </w:pPr>
      <w:r>
        <w:rPr>
          <w:b/>
        </w:rPr>
        <w:t xml:space="preserve">(f) Records. </w:t>
      </w:r>
      <w:r>
        <w:t>Agencies shall preserve authoritative versions of rules, guidance, notices, and grant conditions so that affected persons and courts can determine which requirements applied at a particular time.</w:t>
      </w:r>
    </w:p>
    <w:p>
      <w:bookmarkStart w:id="332" w:name="SEC_3010"/>
      <w:pPr>
        <w:pStyle w:val="Heading2"/>
      </w:pPr>
      <w:r>
        <w:t>SEC. 3010. FINAL CONSTRUCTION AND CONTINUING ACCOUNTABILITY.</w:t>
      </w:r>
      <w:bookmarkEnd w:id="332"/>
    </w:p>
    <w:p>
      <w:pPr>
        <w:pStyle w:val="LegalBody"/>
      </w:pPr>
      <w:r>
        <w:rPr>
          <w:b/>
        </w:rPr>
        <w:t xml:space="preserve">(a) Governing construction. </w:t>
      </w:r>
      <w:r>
        <w:t>This Act establishes specified opportunities, protections, research, and administrative duties. It does not guarantee happiness, eliminate all risk, define a single correct lifestyle, or require technological stagnation or acceleration as an end in itself.</w:t>
      </w:r>
    </w:p>
    <w:p>
      <w:pPr>
        <w:pStyle w:val="LegalBody"/>
      </w:pPr>
      <w:r>
        <w:rPr>
          <w:b/>
        </w:rPr>
        <w:t xml:space="preserve">(b) Legal action. </w:t>
      </w:r>
      <w:r>
        <w:t>Each official action shall rest on the applicable operative provision, available funds where expenditure is required, and the required process. An agency shall not use the breadth of the Act's subject matter to evade a limitation stated in a particular title.</w:t>
      </w:r>
    </w:p>
    <w:p>
      <w:pPr>
        <w:pStyle w:val="LegalBody"/>
      </w:pPr>
      <w:r>
        <w:rPr>
          <w:b/>
        </w:rPr>
        <w:t xml:space="preserve">(c) Responsibility. </w:t>
      </w:r>
      <w:r>
        <w:t>Each lead agency shall maintain a current register of continuing duties, responsible officials, deadlines, funding dependencies, and review routes. Reorganization or expiration of a grant shall not erase records or a valid obligation.</w:t>
      </w:r>
    </w:p>
    <w:p>
      <w:pPr>
        <w:pStyle w:val="LegalBody"/>
      </w:pPr>
      <w:r>
        <w:rPr>
          <w:b/>
        </w:rPr>
        <w:t xml:space="preserve">(d) Future funding. </w:t>
      </w:r>
      <w:r>
        <w:t>Permanent rights and prohibitions remain in effect after the installment schedule ends, while continued programs and administration require lawfully available resources. Agencies shall disclose that distinction and seek congressional direction where needed.</w:t>
      </w:r>
    </w:p>
    <w:p>
      <w:pPr>
        <w:pStyle w:val="LegalBody"/>
      </w:pPr>
      <w:r>
        <w:rPr>
          <w:b/>
        </w:rPr>
        <w:t xml:space="preserve">(e) Public understanding. </w:t>
      </w:r>
      <w:r>
        <w:t>Explanations shall remain consistent with legal effect and shall identify uncertainties, limitations, and choices requiring further legislation. No agency shall claim that a research result, international recommendation, or aspirational objective has become binding law without the required legal action.</w:t>
      </w:r>
    </w:p>
    <w:p>
      <w:pPr>
        <w:pStyle w:val="LegalBody"/>
      </w:pPr>
      <w:r>
        <w:rPr>
          <w:b/>
        </w:rPr>
        <w:t xml:space="preserve">(f) Human agency. </w:t>
      </w:r>
      <w:r>
        <w:t>Implementation shall preserve individuals' lawful ability to choose, refuse, question, learn, associate, create, seek care, use beneficial technology, and live differently from one another, subject to the specific rights of others and requirements lawfully enacted.</w:t>
      </w:r>
    </w:p>
    <w:p>
      <w:bookmarkStart w:id="333" w:name="ANNEX_A"/>
      <w:pPr>
        <w:pStyle w:val="Heading1"/>
        <w:pageBreakBefore/>
      </w:pPr>
      <w:r>
        <w:t>ANNEX A. RESEARCH RECORD AND COMPARATIVE FRAMEWORK</w:t>
      </w:r>
      <w:bookmarkEnd w:id="333"/>
    </w:p>
    <w:p>
      <w:pPr>
        <w:pStyle w:val="SmallNote"/>
        <w:spacing w:after="240"/>
      </w:pPr>
      <w:r>
        <w:t>SUPPORTING MATERIALS • NOT PART OF THE PROPOSED ACT</w:t>
      </w:r>
    </w:p>
    <w:p>
      <w:bookmarkStart w:id="334" w:name="ANNEX_SECTION_333"/>
      <w:pPr>
        <w:pStyle w:val="Heading2"/>
      </w:pPr>
      <w:r>
        <w:t>A.1. Status, scope, and method</w:t>
      </w:r>
      <w:bookmarkEnd w:id="334"/>
    </w:p>
    <w:p>
      <w:pPr/>
      <w:r>
        <w:t>This annex is explanatory counsel material, not enacted text. The operative model bill appears in titles I through XXX. The research cutoff is October 1, 2026. The review used primary legal instruments, judicial opinions, original research, government scientific materials, and reports published by the institutions responsible for the relevant international frameworks. It is a targeted multidisciplinary legislative review, not a registered systematic review, meta-analysis, comprehensive legal citator report, or agency regulatory impact assessment.</w:t>
      </w:r>
    </w:p>
    <w:p>
      <w:pPr/>
      <w:r>
        <w:t>The research question is not whether an imagined ancestral society should be restored. It is which identifiable conditions, services, commercial practices, and technological interventions affect human capabilities; which effects can be supported by evidence; which questions require further study; and which instruments fit the jurisdiction and rights at issue. An observation about human biology does not, without additional reasoning, establish a duty that government may impose.</w:t>
      </w:r>
    </w:p>
    <w:p>
      <w:pPr/>
      <w:r>
        <w:t>Evidence selection distinguished descriptive science, intervention evidence, professional guidance, existing law, and proposed policy. An international recommendation may inform a drafting choice without supplying United States legal authority. An observational association may justify further inquiry without establishing the effects or savings of a particular expenditure. Numerical thresholds in the bill, including coverage thresholds, leave hours, funding shares, review periods, and civil penalties, are express legislative design assumptions unless this annex identifies an empirical basis for the exact number.</w:t>
      </w:r>
    </w:p>
    <w:p>
      <w:pPr/>
      <w:r>
        <w:t>Publication quality alone does not resolve external validity. A study of selected workers, adults in one city, children in a particular developmental setting, or respondents across OECD countries cannot be assumed to describe every population. The bill therefore supports replication, representative recruitment, accessible measurement, local adaptation, and publication of unfavorable results. The record does not establish that all authorized programs will improve all outcomes or that benefits will exceed costs for every recipient.</w:t>
      </w:r>
    </w:p>
    <w:p>
      <w:pPr/>
      <w:r>
        <w:t>The source register identifies instruments by issuer, title, date, link, and limitation. Citations in these annexes refer to that register. Legal conclusions are conditional analysis of the proposed text; a court has not reviewed this bill. A final introduction process would require committee counsel review, a current statutory and litigation update, agency technical assistance, and formal budget and mandate estimates.</w:t>
      </w:r>
    </w:p>
    <w:p>
      <w:bookmarkStart w:id="335" w:name="ANNEX_SECTION_334"/>
      <w:pPr>
        <w:pStyle w:val="Heading2"/>
      </w:pPr>
      <w:r>
        <w:t>A.2. Human origins, variation, and evolutionary hypotheses</w:t>
      </w:r>
      <w:bookmarkEnd w:id="335"/>
    </w:p>
    <w:p>
      <w:pPr/>
      <w:r>
        <w:t xml:space="preserve">The Smithsonian's account of human characteristics includes tool use, social life, symbolic communication, and cumulative changes in human behavior. This supports treating technological adaptation as part of human history rather than presuming that technology is inherently incompatible with humanity. It does not establish that every technology is beneficial or identify one historically authentic way of living. </w:t>
      </w:r>
      <w:hyperlink w:anchor="R01" w:history="1">
        <w:r>
          <w:rPr>
            <w:rFonts w:ascii="Liberation Serif" w:hAnsi="Liberation Serif"/>
            <w:color w:val="254F72"/>
          </w:rPr>
          <w:t>[R01]</w:t>
        </w:r>
      </w:hyperlink>
      <w:r/>
    </w:p>
    <w:p>
      <w:pPr/>
      <w:r>
        <w:t xml:space="preserve">The NHGRI discussion of the National Academies' population-descriptor work emphasizes precision in the use of categories in genetics and genomics. The drafting consequence is to separate scientifically relevant variables from assumptions about a person's worth, ability, or entitlement. A category used to investigate exposure or ancestry does not become a legal ranking of people. </w:t>
      </w:r>
      <w:hyperlink w:anchor="R02" w:history="1">
        <w:r>
          <w:rPr>
            <w:rFonts w:ascii="Liberation Serif" w:hAnsi="Liberation Serif"/>
            <w:color w:val="254F72"/>
          </w:rPr>
          <w:t>[R02]</w:t>
        </w:r>
      </w:hyperlink>
      <w:r/>
    </w:p>
    <w:p>
      <w:pPr/>
      <w:r>
        <w:t xml:space="preserve">Evolutionary mismatch scholarship examines whether interactions between contemporary environments and evolved traits contribute to particular outcomes, while also identifying the limitations of research concentrated in relatively narrow populations. A plausible mismatch mechanism requires empirical testing and comparison with alternatives. The draft authorizes those tests; it does not prescribe a diet, family structure, reproductive pattern, or work arrangement on the ground that it is supposedly prehistoric. </w:t>
      </w:r>
      <w:hyperlink w:anchor="R03" w:history="1">
        <w:r>
          <w:rPr>
            <w:rFonts w:ascii="Liberation Serif" w:hAnsi="Liberation Serif"/>
            <w:color w:val="254F72"/>
          </w:rPr>
          <w:t>[R03]</w:t>
        </w:r>
      </w:hyperlink>
      <w:r/>
    </w:p>
    <w:p>
      <w:pPr/>
      <w:r>
        <w:t>Sections 401 through 410 accordingly support longitudinal and comparative research, replication, infrastructure, provenance, and an evidence clearinghouse. The statutory exclusion of eugenic coercion is a rights-based design constraint, not a prediction that biology has no influence on behavior. Research can investigate difference without assigning superior legal status to one form of difference.</w:t>
      </w:r>
    </w:p>
    <w:p>
      <w:bookmarkStart w:id="336" w:name="ANNEX_SECTION_335"/>
      <w:pPr>
        <w:pStyle w:val="Heading2"/>
      </w:pPr>
      <w:r>
        <w:t>A.3. Pregnancy, early care, childhood, and learning</w:t>
      </w:r>
      <w:bookmarkEnd w:id="336"/>
    </w:p>
    <w:p>
      <w:pPr/>
      <w:r>
        <w:t xml:space="preserve">WHO's nurturing-care framework identifies health, adequate nutrition, responsive caregiving, security and safety, and opportunities for early learning as developmental conditions. This framework supports examining services together rather than reducing early development to one biomarker or parental behavior. It does not establish a federal duty for every family to accept home visits or to adopt a particular feeding method. </w:t>
      </w:r>
      <w:hyperlink w:anchor="R04" w:history="1">
        <w:r>
          <w:rPr>
            <w:rFonts w:ascii="Liberation Serif" w:hAnsi="Liberation Serif"/>
            <w:color w:val="254F72"/>
          </w:rPr>
          <w:t>[R04]</w:t>
        </w:r>
      </w:hyperlink>
      <w:r/>
    </w:p>
    <w:p>
      <w:pPr/>
      <w:r>
        <w:t xml:space="preserve">The American Academy of Pediatrics' play report connects developmentally appropriate play with cognitive, language, social-emotional, and self-regulatory development. Its reaffirmation in 2025 keeps it relevant as professional guidance. It is not an experimental estimate of the effect of the precise grant levels in this bill, nor does it imply that all play environments have equal accessibility or safety. </w:t>
      </w:r>
      <w:hyperlink w:anchor="R05" w:history="1">
        <w:r>
          <w:rPr>
            <w:rFonts w:ascii="Liberation Serif" w:hAnsi="Liberation Serif"/>
            <w:color w:val="254F72"/>
          </w:rPr>
          <w:t>[R05]</w:t>
        </w:r>
      </w:hyperlink>
      <w:r/>
    </w:p>
    <w:p>
      <w:pPr/>
      <w:r>
        <w:t>Titles V through VII translate this material into voluntary services, caregiver supports, accessible play and learning opportunities, and evaluation. They do not federalize a complete curriculum. The human-development objective includes adolescent participation and progressively greater autonomy, while preserving applicable consent and safeguarding law. The research agenda includes disability, multilingual development, differences in household resources, transitions between care systems, and the effects of unstable services.</w:t>
      </w:r>
    </w:p>
    <w:p>
      <w:pPr/>
      <w:r>
        <w:t>Specific gaps remain. A national implementation record would need a current inventory of early-childhood providers, local waitlists, staffing and qualification constraints, culturally appropriate service models, and the marginal cost of additional capacity. Neither the source literature nor the bill's appropriation establishes that enough trained staff will immediately be available. Grant applicants must therefore identify recruitment and delivery dependencies.</w:t>
      </w:r>
    </w:p>
    <w:p>
      <w:bookmarkStart w:id="337" w:name="ANNEX_SECTION_336"/>
      <w:pPr>
        <w:pStyle w:val="Heading2"/>
      </w:pPr>
      <w:r>
        <w:t>A.4. Embodiment, nutrition, movement, and biological time</w:t>
      </w:r>
      <w:bookmarkEnd w:id="337"/>
    </w:p>
    <w:p>
      <w:pPr/>
      <w:r>
        <w:t xml:space="preserve">WHO physical-activity guidance differentiates recommendations across ages and circumstances and addresses sedentary behavior. It supports making movement practical and accessible, including for people with disabilities. The proposed bill does not convert guideline targets into conditions on insurance, employment, public benefits, or personal dignity. </w:t>
      </w:r>
      <w:hyperlink w:anchor="R06" w:history="1">
        <w:r>
          <w:rPr>
            <w:rFonts w:ascii="Liberation Serif" w:hAnsi="Liberation Serif"/>
            <w:color w:val="254F72"/>
          </w:rPr>
          <w:t>[R06]</w:t>
        </w:r>
      </w:hyperlink>
      <w:r/>
    </w:p>
    <w:p>
      <w:pPr/>
      <w:r>
        <w:t xml:space="preserve">NHLBI materials describe sleep-wake regulation and environmental influences on circadian timing. This provides a physiological basis for investigating light, schedules, fatigue, and recovery, but not a finding that one schedule is medically appropriate for every worker. The proposed rest rules are statutory choices with exceptions and coverage limits; their exact hours are not presented as universal biological cutoffs. </w:t>
      </w:r>
      <w:hyperlink w:anchor="R07" w:history="1">
        <w:r>
          <w:rPr>
            <w:rFonts w:ascii="Liberation Serif" w:hAnsi="Liberation Serif"/>
            <w:color w:val="254F72"/>
          </w:rPr>
          <w:t>[R07]</w:t>
        </w:r>
      </w:hyperlink>
      <w:r/>
    </w:p>
    <w:p>
      <w:pPr/>
      <w:r>
        <w:t xml:space="preserve">WHO's January 2026 healthy-diet guidance emphasizes adequacy, balance, moderation, and diversity. The draft uses that orientation to support food access, appropriate procurement, practical skills, and evaluation without making one cuisine or body size a legal norm. Nutrition services must accommodate clinical needs, affordability, disability, and cultural choice. </w:t>
      </w:r>
      <w:hyperlink w:anchor="R08" w:history="1">
        <w:r>
          <w:rPr>
            <w:rFonts w:ascii="Liberation Serif" w:hAnsi="Liberation Serif"/>
            <w:color w:val="254F72"/>
          </w:rPr>
          <w:t>[R08]</w:t>
        </w:r>
      </w:hyperlink>
      <w:r/>
    </w:p>
    <w:p>
      <w:pPr/>
      <w:r>
        <w:t>The linked research agenda concerns real environments rather than personal compliance alone: food availability, safe storage and preparation, accessible water, sensory conditions, fatigue-sensitive jobs, and the feasibility of activity in daily travel. Trials should distinguish offering an opportunity from uptake and sustained benefit. An unused facility, an inaccessible menu, or an unsupported recommendation should not be counted as improved health merely because a grant was awarded.</w:t>
      </w:r>
    </w:p>
    <w:p>
      <w:bookmarkStart w:id="338" w:name="ANNEX_SECTION_337"/>
      <w:pPr>
        <w:pStyle w:val="Heading2"/>
      </w:pPr>
      <w:r>
        <w:t>A.5. Social connection, mental health, care, and aging</w:t>
      </w:r>
      <w:bookmarkEnd w:id="338"/>
    </w:p>
    <w:p>
      <w:pPr/>
      <w:r>
        <w:t xml:space="preserve">The WHO Commission on Social Connection synthesizes evidence linking social connection with health and other outcomes. Its population estimates are not the effects of an enacted loneliness program. The bill therefore authorizes voluntary community infrastructure and service access rather than treating relationship frequency as a compulsory clinical target. </w:t>
      </w:r>
      <w:hyperlink w:anchor="R09" w:history="1">
        <w:r>
          <w:rPr>
            <w:rFonts w:ascii="Liberation Serif" w:hAnsi="Liberation Serif"/>
            <w:color w:val="254F72"/>
          </w:rPr>
          <w:t>[R09]</w:t>
        </w:r>
      </w:hyperlink>
      <w:r/>
    </w:p>
    <w:p>
      <w:pPr/>
      <w:r>
        <w:t xml:space="preserve">OECD analysis documents variation in social relationships, loneliness, and contact patterns across its covered countries and groups. Frequency, quality, and desired contact are different concepts. An individual who chooses solitude should not be classified as a program failure; an individual with frequent contact can still experience unwanted isolation or distress. </w:t>
      </w:r>
      <w:hyperlink w:anchor="R10" w:history="1">
        <w:r>
          <w:rPr>
            <w:rFonts w:ascii="Liberation Serif" w:hAnsi="Liberation Serif"/>
            <w:color w:val="254F72"/>
          </w:rPr>
          <w:t>[R10]</w:t>
        </w:r>
      </w:hyperlink>
      <w:r/>
    </w:p>
    <w:p>
      <w:pPr/>
      <w:r>
        <w:t xml:space="preserve">WHO's mental-health action plan supplies a framework for services and rights. WHO's healthy-aging approach focuses on functional ability, including the interaction between capacities and environments. These materials inform the bill's emphasis on accessible care, support, communication, independence, and participation rather than normalizing every person toward a single psychological profile. </w:t>
      </w:r>
      <w:hyperlink w:anchor="R12" w:history="1">
        <w:r>
          <w:rPr>
            <w:rFonts w:ascii="Liberation Serif" w:hAnsi="Liberation Serif"/>
            <w:color w:val="254F72"/>
          </w:rPr>
          <w:t>[R12]</w:t>
        </w:r>
      </w:hyperlink>
      <w:r>
        <w:t xml:space="preserve"> </w:t>
      </w:r>
      <w:hyperlink w:anchor="R13" w:history="1">
        <w:r>
          <w:rPr>
            <w:rFonts w:ascii="Liberation Serif" w:hAnsi="Liberation Serif"/>
            <w:color w:val="254F72"/>
          </w:rPr>
          <w:t>[R13]</w:t>
        </w:r>
      </w:hyperlink>
      <w:r/>
    </w:p>
    <w:p>
      <w:pPr/>
      <w:r>
        <w:t>Titles IX, XII, and XV contain separate service, consent, abuse-prevention, caregiver, chosen-supporter, and end-of-life provisions. Adult sexuality and intimacy are addressed through voluntary health information and protection from coercion, not government direction of lawful relationships. The text does not amend assisted-suicide, abortion, marriage, or guardianship law by implication. Those subjects require their own explicit legislative choices and jurisdictional analysis.</w:t>
      </w:r>
    </w:p>
    <w:p>
      <w:pPr/>
      <w:r>
        <w:t>Implementation research must distinguish improved access from clinical benefit and from fiscal savings. Crisis response needs safe follow-through, not simply a new contact point. Community-living support needs housing and paid support capacity, not only discharge from an institution. The Act's grant ceiling does not extinguish independently existing rights or responsibilities under other law.</w:t>
      </w:r>
    </w:p>
    <w:p>
      <w:bookmarkStart w:id="339" w:name="ANNEX_SECTION_338"/>
      <w:pPr>
        <w:pStyle w:val="Heading2"/>
      </w:pPr>
      <w:r>
        <w:t>A.6. Housing, community design, arts, and environmental conditions</w:t>
      </w:r>
      <w:bookmarkEnd w:id="339"/>
    </w:p>
    <w:p>
      <w:pPr/>
      <w:r>
        <w:t xml:space="preserve">CDC and the Community Preventive Services Task Force identify built-environment approaches that connect routes and destinations to support physical activity. This informs grant eligibility for accessible walking, rolling, cycling, and transit connections. It does not establish one mandatory density, building form, or nationwide zoning map. </w:t>
      </w:r>
      <w:hyperlink w:anchor="R15" w:history="1">
        <w:r>
          <w:rPr>
            <w:rFonts w:ascii="Liberation Serif" w:hAnsi="Liberation Serif"/>
            <w:color w:val="254F72"/>
          </w:rPr>
          <w:t>[R15]</w:t>
        </w:r>
      </w:hyperlink>
      <w:r>
        <w:t xml:space="preserve"> </w:t>
      </w:r>
      <w:hyperlink w:anchor="R16" w:history="1">
        <w:r>
          <w:rPr>
            <w:rFonts w:ascii="Liberation Serif" w:hAnsi="Liberation Serif"/>
            <w:color w:val="254F72"/>
          </w:rPr>
          <w:t>[R16]</w:t>
        </w:r>
      </w:hyperlink>
      <w:r/>
    </w:p>
    <w:p>
      <w:pPr/>
      <w:r>
        <w:t xml:space="preserve">The Philadelphia vacant-land greening trial randomized 110 clusters containing 541 lots. Among participants with follow-up, the study reported reductions in some self-reported symptoms, while the overall poor-mental-health outcome did not meet the conventional statistical-significance threshold. The result supports further place-based evaluation; it is not proof that every park project treats a clinical disorder or that benefits transfer unchanged to other locations. </w:t>
      </w:r>
      <w:hyperlink w:anchor="R17" w:history="1">
        <w:r>
          <w:rPr>
            <w:rFonts w:ascii="Liberation Serif" w:hAnsi="Liberation Serif"/>
            <w:color w:val="254F72"/>
          </w:rPr>
          <w:t>[R17]</w:t>
        </w:r>
      </w:hyperlink>
      <w:r/>
    </w:p>
    <w:p>
      <w:pPr/>
      <w:r>
        <w:t xml:space="preserve">WHO housing, air-quality, and environmental-noise materials identify environmental conditions relevant to health. The draft does not automatically turn WHO guideline values into enforceable United States standards. It finances assessment, adaptation, and improvements within existing environmental and building-law processes, and requires accounting for maintenance and displacement. </w:t>
      </w:r>
      <w:hyperlink w:anchor="R18" w:history="1">
        <w:r>
          <w:rPr>
            <w:rFonts w:ascii="Liberation Serif" w:hAnsi="Liberation Serif"/>
            <w:color w:val="254F72"/>
          </w:rPr>
          <w:t>[R18]</w:t>
        </w:r>
      </w:hyperlink>
      <w:r>
        <w:t xml:space="preserve"> </w:t>
      </w:r>
      <w:hyperlink w:anchor="R19" w:history="1">
        <w:r>
          <w:rPr>
            <w:rFonts w:ascii="Liberation Serif" w:hAnsi="Liberation Serif"/>
            <w:color w:val="254F72"/>
          </w:rPr>
          <w:t>[R19]</w:t>
        </w:r>
      </w:hyperlink>
      <w:r>
        <w:t xml:space="preserve"> </w:t>
      </w:r>
      <w:hyperlink w:anchor="R20" w:history="1">
        <w:r>
          <w:rPr>
            <w:rFonts w:ascii="Liberation Serif" w:hAnsi="Liberation Serif"/>
            <w:color w:val="254F72"/>
          </w:rPr>
          <w:t>[R20]</w:t>
        </w:r>
      </w:hyperlink>
      <w:r/>
    </w:p>
    <w:p>
      <w:pPr/>
      <w:r>
        <w:t xml:space="preserve">The WHO arts synthesis covers a wide range of activities and study designs. That breadth supports a research and access chapter, but not an assertion that every artistic intervention has a clinically established effect. The bill treats cultural expression as an independent voluntary capability and pays for evaluation when a program makes a health claim. It does not require the arts to justify their existence solely through medical outcomes. </w:t>
      </w:r>
      <w:hyperlink w:anchor="R14" w:history="1">
        <w:r>
          <w:rPr>
            <w:rFonts w:ascii="Liberation Serif" w:hAnsi="Liberation Serif"/>
            <w:color w:val="254F72"/>
          </w:rPr>
          <w:t>[R14]</w:t>
        </w:r>
      </w:hyperlink>
      <w:r/>
    </w:p>
    <w:p>
      <w:pPr/>
      <w:r>
        <w:t xml:space="preserve">The One Health framework connects human, animal, plant, and ecosystem concerns. WHO announced in August 2026 that its original 2022–2026 joint plan would extend through 2029. The model bill uses cooperation and research authorities rather than incorporating the international plan as domestic regulatory law. </w:t>
      </w:r>
      <w:hyperlink w:anchor="R21" w:history="1">
        <w:r>
          <w:rPr>
            <w:rFonts w:ascii="Liberation Serif" w:hAnsi="Liberation Serif"/>
            <w:color w:val="254F72"/>
          </w:rPr>
          <w:t>[R21]</w:t>
        </w:r>
      </w:hyperlink>
      <w:r>
        <w:t xml:space="preserve"> </w:t>
      </w:r>
      <w:hyperlink w:anchor="R22" w:history="1">
        <w:r>
          <w:rPr>
            <w:rFonts w:ascii="Liberation Serif" w:hAnsi="Liberation Serif"/>
            <w:color w:val="254F72"/>
          </w:rPr>
          <w:t>[R22]</w:t>
        </w:r>
      </w:hyperlink>
      <w:r/>
    </w:p>
    <w:p>
      <w:pPr/>
      <w:r>
        <w:t>Capital implementation remains highly local. Land price, acquisition authority, utilities, environmental remediation, relocation, insurance, staffing, security, repairs, and replacement can dominate costs. Title XVI therefore operates with the lifecycle requirements of title XXVII. A construction award is not treated as proof of twenty years of operating finance.</w:t>
      </w:r>
    </w:p>
    <w:p>
      <w:bookmarkStart w:id="340" w:name="ANNEX_SECTION_339"/>
      <w:pPr>
        <w:pStyle w:val="Heading2"/>
      </w:pPr>
      <w:r>
        <w:t>A.7. Employment, time, and technological transition</w:t>
      </w:r>
      <w:bookmarkEnd w:id="340"/>
    </w:p>
    <w:p>
      <w:pPr/>
      <w:r>
        <w:t xml:space="preserve">WHO and ILO's 2021 work on long working hours analyzed historical exposure and disease burden, including comparison of very long hours with 35-to-40-hour weeks. It does not show that this bill's exact rest provisions will generate a known national reduction in disease or a specific Treasury saving. </w:t>
      </w:r>
      <w:hyperlink w:anchor="R23" w:history="1">
        <w:r>
          <w:rPr>
            <w:rFonts w:ascii="Liberation Serif" w:hAnsi="Liberation Serif"/>
            <w:color w:val="254F72"/>
          </w:rPr>
          <w:t>[R23]</w:t>
        </w:r>
      </w:hyperlink>
      <w:r/>
    </w:p>
    <w:p>
      <w:pPr/>
      <w:r>
        <w:t xml:space="preserve">The 2025 four-day-workweek study involved participating organizations and a six-month intervention rather than random assignment of the entire economy. Reported well-being improvements warrant investigation, but do not settle effects in hospitals, manufacturing, seasonal work, small businesses, or jobs requiring continuous coverage. The bill therefore uses evaluated reduced-hours demonstrations rather than imposing a universal four-day week. </w:t>
      </w:r>
      <w:hyperlink w:anchor="R24" w:history="1">
        <w:r>
          <w:rPr>
            <w:rFonts w:ascii="Liberation Serif" w:hAnsi="Liberation Serif"/>
            <w:color w:val="254F72"/>
          </w:rPr>
          <w:t>[R24]</w:t>
        </w:r>
      </w:hyperlink>
      <w:r/>
    </w:p>
    <w:p>
      <w:pPr/>
      <w:r>
        <w:t>The direct employment provisions are separate from that demonstration authority. They create specified leave, rest, scheduling, and after-hours-contact protections for defined employers and employees. Their benefit-cost balance depends on existing employer practices, staffing, wages, labor supply, productivity, substitution, and enforcement. Those effects remain empirical questions, not assumptions that can be settled by selecting a favorable pilot.</w:t>
      </w:r>
    </w:p>
    <w:p>
      <w:pPr/>
      <w:r>
        <w:t>The fiscal annex discloses private compliance costs separately from federal expenditure. Monitoring should capture both improved worker conditions and possible changes in hours, prices, hiring, contracting, and service availability. Agencies must distinguish lawful business adjustment from prohibited retaliation. Automation-transition grants are limited services, not a guarantee against displacement or a prohibition on labor-saving technology.</w:t>
      </w:r>
    </w:p>
    <w:p>
      <w:bookmarkStart w:id="341" w:name="ANNEX_SECTION_340"/>
      <w:pPr>
        <w:pStyle w:val="Heading2"/>
      </w:pPr>
      <w:r>
        <w:t>A.8. Digital environments and automated decisions</w:t>
      </w:r>
      <w:bookmarkEnd w:id="341"/>
    </w:p>
    <w:p>
      <w:pPr/>
      <w:r>
        <w:t xml:space="preserve">The National Academies' social-media report does not support a simple population-wide conclusion that all social-media use causes adolescent mental-health deterioration. Effects vary with users, activities, design, and context, and causal identification is difficult. The bill consequently regulates specified data and transaction practices and supports research, rather than declaring a universal screen-time ceiling or authorizing viewpoint control. </w:t>
      </w:r>
      <w:hyperlink w:anchor="R11" w:history="1">
        <w:r>
          <w:rPr>
            <w:rFonts w:ascii="Liberation Serif" w:hAnsi="Liberation Serif"/>
            <w:color w:val="254F72"/>
          </w:rPr>
          <w:t>[R11]</w:t>
        </w:r>
      </w:hyperlink>
      <w:r/>
    </w:p>
    <w:p>
      <w:pPr/>
      <w:r>
        <w:t xml:space="preserve">NIST's AI Risk Management Framework and generative-AI profile organize risk analysis, measurement, governance, and lifecycle management. They are voluntary technical resources, not independent statutory authority. Titles XIX and XXII translate selected functions into express duties for defined high-impact uses, with notice, contestability, records, evaluation, and court review. </w:t>
      </w:r>
      <w:hyperlink w:anchor="R27" w:history="1">
        <w:r>
          <w:rPr>
            <w:rFonts w:ascii="Liberation Serif" w:hAnsi="Liberation Serif"/>
            <w:color w:val="254F72"/>
          </w:rPr>
          <w:t>[R27]</w:t>
        </w:r>
      </w:hyperlink>
      <w:r>
        <w:t xml:space="preserve"> </w:t>
      </w:r>
      <w:hyperlink w:anchor="R28" w:history="1">
        <w:r>
          <w:rPr>
            <w:rFonts w:ascii="Liberation Serif" w:hAnsi="Liberation Serif"/>
            <w:color w:val="254F72"/>
          </w:rPr>
          <w:t>[R28]</w:t>
        </w:r>
      </w:hyperlink>
      <w:r/>
    </w:p>
    <w:p>
      <w:pPr/>
      <w:r>
        <w:t xml:space="preserve">The 2025 COPPA rule announcement concerns the existing child-privacy framework. The HUMAN Act's additional protections for known minors younger than 18 are a new policy choice, not a description of COPPA's general age coverage. The draft rejects a universal government-identification requirement and preserves other applicable child-privacy duties. </w:t>
      </w:r>
      <w:hyperlink w:anchor="R31" w:history="1">
        <w:r>
          <w:rPr>
            <w:rFonts w:ascii="Liberation Serif" w:hAnsi="Liberation Serif"/>
            <w:color w:val="254F72"/>
          </w:rPr>
          <w:t>[R31]</w:t>
        </w:r>
      </w:hyperlink>
      <w:r/>
    </w:p>
    <w:p>
      <w:pPr/>
      <w:r>
        <w:t>Regulatory thresholds are administrability choices. One million monthly users, 100,000 consequential decisions, and the other numeric triggers are not scientifically established boundaries between safe and unsafe systems. Below-threshold systems remain subject to duties that apply independently. Agencies may improve methods but may not invent new substantive categories through guidance.</w:t>
      </w:r>
    </w:p>
    <w:p>
      <w:pPr/>
      <w:r>
        <w:t>The research agenda includes accessibility benefits, false positives, error distribution, feedback loops, human-review quality, user autonomy, and the consequences of delayed deployment. A human reviewer must have information and authority; merely placing a person in the workflow does not establish that a decision has become meaningful or fair.</w:t>
      </w:r>
    </w:p>
    <w:p>
      <w:bookmarkStart w:id="342" w:name="ANNEX_SECTION_341"/>
      <w:pPr>
        <w:pStyle w:val="Heading2"/>
      </w:pPr>
      <w:r>
        <w:t>A.9. Neurotechnology, genome editing, and human research</w:t>
      </w:r>
      <w:bookmarkEnd w:id="342"/>
    </w:p>
    <w:p>
      <w:pPr/>
      <w:r>
        <w:t xml:space="preserve">UNESCO adopted its Recommendation on the Ethics of Neurotechnology on November 11, 2025. It addresses dignity and the ethical implications of technologies affecting neural processes. It is not a globally enforceable statute. Title XX supplies its own proposed domestic duties, including specific consent, neural-data, coercion, and lifecycle protections. </w:t>
      </w:r>
      <w:hyperlink w:anchor="R32" w:history="1">
        <w:r>
          <w:rPr>
            <w:rFonts w:ascii="Liberation Serif" w:hAnsi="Liberation Serif"/>
            <w:color w:val="254F72"/>
          </w:rPr>
          <w:t>[R32]</w:t>
        </w:r>
      </w:hyperlink>
      <w:r/>
    </w:p>
    <w:p>
      <w:pPr/>
      <w:r>
        <w:t xml:space="preserve">WHO's genome-editing governance framework distinguishes different applications and their implications. FDA's January 2024 guidance addresses development of products incorporating human genome editing. A June 2026 FDA document concerning prior knowledge remains draft guidance and is not represented here as a binding or final standard. None of these sources dictates the bill's five-year clinical heritable-editing restriction. </w:t>
      </w:r>
      <w:hyperlink w:anchor="R33" w:history="1">
        <w:r>
          <w:rPr>
            <w:rFonts w:ascii="Liberation Serif" w:hAnsi="Liberation Serif"/>
            <w:color w:val="254F72"/>
          </w:rPr>
          <w:t>[R33]</w:t>
        </w:r>
      </w:hyperlink>
      <w:r>
        <w:t xml:space="preserve"> </w:t>
      </w:r>
      <w:hyperlink w:anchor="R34" w:history="1">
        <w:r>
          <w:rPr>
            <w:rFonts w:ascii="Liberation Serif" w:hAnsi="Liberation Serif"/>
            <w:color w:val="254F72"/>
          </w:rPr>
          <w:t>[R34]</w:t>
        </w:r>
      </w:hyperlink>
      <w:r>
        <w:t xml:space="preserve"> </w:t>
      </w:r>
      <w:hyperlink w:anchor="R35" w:history="1">
        <w:r>
          <w:rPr>
            <w:rFonts w:ascii="Liberation Serif" w:hAnsi="Liberation Serif"/>
            <w:color w:val="254F72"/>
          </w:rPr>
          <w:t>[R35]</w:t>
        </w:r>
      </w:hyperlink>
      <w:r/>
    </w:p>
    <w:p>
      <w:pPr/>
      <w:r>
        <w:t>That restriction is an explicit precautionary legislative choice concerning intentional transmission to future generations. It is not a ban on otherwise lawful somatic treatment or nonimplantation research. The sunset does not approve a product or override other applicable restrictions. The review must examine both potential harms and forgone benefits, including the costs of delay to patients and researchers.</w:t>
      </w:r>
    </w:p>
    <w:p>
      <w:pPr/>
      <w:r>
        <w:t xml:space="preserve">The Common Rule and the 2024 Declaration of Helsinki address human-research protections through different legal and ethical mechanisms. The bill preserves applicable legal requirements and uses additional funding conditions for consent, independent review, community engagement, and evidence integrity. Ethical declarations do not replace an institutional review board, product authorization, host-country law, or a legally valid participant consent. </w:t>
      </w:r>
      <w:hyperlink w:anchor="R36" w:history="1">
        <w:r>
          <w:rPr>
            <w:rFonts w:ascii="Liberation Serif" w:hAnsi="Liberation Serif"/>
            <w:color w:val="254F72"/>
          </w:rPr>
          <w:t>[R36]</w:t>
        </w:r>
      </w:hyperlink>
      <w:r>
        <w:t xml:space="preserve"> </w:t>
      </w:r>
      <w:hyperlink w:anchor="R37" w:history="1">
        <w:r>
          <w:rPr>
            <w:rFonts w:ascii="Liberation Serif" w:hAnsi="Liberation Serif"/>
            <w:color w:val="254F72"/>
          </w:rPr>
          <w:t>[R37]</w:t>
        </w:r>
      </w:hyperlink>
      <w:r/>
    </w:p>
    <w:p>
      <w:pPr/>
      <w:r>
        <w:t xml:space="preserve">The 2023 NAGPRA final rule, effective in January 2024, is relevant where remains or cultural materials fall within its scope. Section 406 requires lawful provenance and applicable permission; a claim of scientific value is not a substitute for repatriation or consent duties. This also informs the handling of derived images, sequences, and digital reconstructions. </w:t>
      </w:r>
      <w:hyperlink w:anchor="R38" w:history="1">
        <w:r>
          <w:rPr>
            <w:rFonts w:ascii="Liberation Serif" w:hAnsi="Liberation Serif"/>
            <w:color w:val="254F72"/>
          </w:rPr>
          <w:t>[R38]</w:t>
        </w:r>
      </w:hyperlink>
      <w:r/>
    </w:p>
    <w:p>
      <w:bookmarkStart w:id="343" w:name="ANNEX_SECTION_342"/>
      <w:pPr>
        <w:pStyle w:val="Heading2"/>
      </w:pPr>
      <w:r>
        <w:t>A.10. International comparison without automatic transplantation</w:t>
      </w:r>
      <w:bookmarkEnd w:id="343"/>
    </w:p>
    <w:p>
      <w:pPr/>
      <w:r>
        <w:t xml:space="preserve">Wales. The Well-being of Future Generations (Wales) Act 2015 supplies a statutory example of public-body duties and long-term governance. The transferable mechanism considered here is structured planning and accountability. United States federalism, appropriations, and judicial-review rules differ; the HUMAN Act does not import Welsh institutions as a source of federal power. </w:t>
      </w:r>
      <w:hyperlink w:anchor="R41" w:history="1">
        <w:r>
          <w:rPr>
            <w:rFonts w:ascii="Liberation Serif" w:hAnsi="Liberation Serif"/>
            <w:color w:val="254F72"/>
          </w:rPr>
          <w:t>[R41]</w:t>
        </w:r>
      </w:hyperlink>
      <w:r/>
    </w:p>
    <w:p>
      <w:pPr/>
      <w:r>
        <w:t xml:space="preserve">Australia. The Australian right to disconnect uses a reasonableness framework rather than forbidding every communication outside scheduled hours. Section 1405 adapts that distinction through explicit coverage, emergency, on-call, compensation, and retaliation rules. An employment right in one jurisdiction is not evidence that its precise costs or workplace effects will be identical elsewhere. </w:t>
      </w:r>
      <w:hyperlink w:anchor="R42" w:history="1">
        <w:r>
          <w:rPr>
            <w:rFonts w:ascii="Liberation Serif" w:hAnsi="Liberation Serif"/>
            <w:color w:val="254F72"/>
          </w:rPr>
          <w:t>[R42]</w:t>
        </w:r>
      </w:hyperlink>
      <w:r/>
    </w:p>
    <w:p>
      <w:pPr/>
      <w:r>
        <w:t xml:space="preserve">European Union working time. Directive 2003/88/EC contains working-time and rest protections, subject to its detailed structure, exceptions, and national implementation. The model borrows the idea of clearly specified recovery periods but does not reproduce the directive as a whole. Differences in overtime law, bargaining systems, service staffing, and enforcement require United States-specific evaluation. </w:t>
      </w:r>
      <w:hyperlink w:anchor="R43" w:history="1">
        <w:r>
          <w:rPr>
            <w:rFonts w:ascii="Liberation Serif" w:hAnsi="Liberation Serif"/>
            <w:color w:val="254F72"/>
          </w:rPr>
          <w:t>[R43]</w:t>
        </w:r>
      </w:hyperlink>
      <w:r/>
    </w:p>
    <w:p>
      <w:pPr/>
      <w:r>
        <w:t xml:space="preserve">European Union AI. The Commission's current explanatory page reports an amended implementation schedule, including later dates for certain high-risk requirements in 2027 and 2028. This package does not rely on an outdated assumption that all high-risk duties began in August 2026. The comparative lesson is the need to separate risk classes, documentation, oversight, and transition. Transaction-specific advice would require review of the final consolidated instrument and applicable implementing measures. </w:t>
      </w:r>
      <w:hyperlink w:anchor="R30" w:history="1">
        <w:r>
          <w:rPr>
            <w:rFonts w:ascii="Liberation Serif" w:hAnsi="Liberation Serif"/>
            <w:color w:val="254F72"/>
          </w:rPr>
          <w:t>[R30]</w:t>
        </w:r>
      </w:hyperlink>
      <w:r/>
    </w:p>
    <w:p>
      <w:pPr/>
      <w:r>
        <w:t xml:space="preserve">Council of Europe. The AI Framework Convention connects risk and impact assessment with human rights and governance. Its status is that of a treaty framework, with legal effects depending on the relevant jurisdiction and treaty processes. The HUMAN Act derives any enforceable duty from its own text, not from the convention's mention. </w:t>
      </w:r>
      <w:hyperlink w:anchor="R29" w:history="1">
        <w:r>
          <w:rPr>
            <w:rFonts w:ascii="Liberation Serif" w:hAnsi="Liberation Serif"/>
            <w:color w:val="254F72"/>
          </w:rPr>
          <w:t>[R29]</w:t>
        </w:r>
      </w:hyperlink>
      <w:r/>
    </w:p>
    <w:p>
      <w:pPr/>
      <w:r>
        <w:t xml:space="preserve">Japan. The Cabinet Office's loneliness and isolation materials provide an administrative coordination example. The proposed interagency structure similarly recognizes that community access can involve several ministries or departments. The existence of a coordinating policy does not itself demonstrate reduced loneliness or establish a causal estimate for federal spending. </w:t>
      </w:r>
      <w:hyperlink w:anchor="R44" w:history="1">
        <w:r>
          <w:rPr>
            <w:rFonts w:ascii="Liberation Serif" w:hAnsi="Liberation Serif"/>
            <w:color w:val="254F72"/>
          </w:rPr>
          <w:t>[R44]</w:t>
        </w:r>
      </w:hyperlink>
      <w:r/>
    </w:p>
    <w:p>
      <w:pPr/>
      <w:r>
        <w:t xml:space="preserve">Chile. Law No. 21.383 amended constitutional language concerning scientific and technological development, integrity, and brain activity. It informs the distinction between protecting persons and regulating devices. The United States model uses an ordinary statute with defined coverage and remedies; it does not claim that a foreign constitutional provision changes United States constitutional doctrine. Later Chilean proposals are not treated as already enacted merely because a chamber considered them. </w:t>
      </w:r>
      <w:hyperlink w:anchor="R45" w:history="1">
        <w:r>
          <w:rPr>
            <w:rFonts w:ascii="Liberation Serif" w:hAnsi="Liberation Serif"/>
            <w:color w:val="254F72"/>
          </w:rPr>
          <w:t>[R45]</w:t>
        </w:r>
      </w:hyperlink>
      <w:r/>
    </w:p>
    <w:p>
      <w:pPr/>
      <w:r>
        <w:t xml:space="preserve">African Union. The AU Data Policy Framework adds a regional perspective on data governance, development, cross-border cooperation, and local capacity. Title XXIV accordingly addresses local implementation partners and research capacity, rather than treating foreign communities solely as sources of specimens or data. National laws and infrastructure conditions still differ across the continent. </w:t>
      </w:r>
      <w:hyperlink w:anchor="R39" w:history="1">
        <w:r>
          <w:rPr>
            <w:rFonts w:ascii="Liberation Serif" w:hAnsi="Liberation Serif"/>
            <w:color w:val="254F72"/>
          </w:rPr>
          <w:t>[R39]</w:t>
        </w:r>
      </w:hyperlink>
      <w:r/>
    </w:p>
    <w:p>
      <w:pPr/>
      <w:r>
        <w:t xml:space="preserve">Disability convention. The Convention on the Rights of Persons with Disabilities supplies comparative concepts concerning autonomy, participation, and support. This package does not assume United States ratification or automatic domestic enforceability. Operative domestic provisions are drafted independently and preserve existing disability law. </w:t>
      </w:r>
      <w:hyperlink w:anchor="R40" w:history="1">
        <w:r>
          <w:rPr>
            <w:rFonts w:ascii="Liberation Serif" w:hAnsi="Liberation Serif"/>
            <w:color w:val="254F72"/>
          </w:rPr>
          <w:t>[R40]</w:t>
        </w:r>
      </w:hyperlink>
      <w:r/>
    </w:p>
    <w:p>
      <w:pPr/>
      <w:r>
        <w:t>These comparisons identify mechanisms and constraints, not a ranking of countries or political systems. The bill's global account supports lawful partnerships and reciprocal learning. It does not create a world legislature, require foreign governments to adopt the model, or condition essential humanitarian participation on political agreement with the United States.</w:t>
      </w:r>
    </w:p>
    <w:p>
      <w:pPr/>
      <w:r>
        <w:t xml:space="preserve">Measurement requires a separate distinction between conditions, reported experience, and policy effects. OECD well-being resources use multiple dimensions rather than treating economic production alone as a complete account of living conditions. Its subjective-well-being guidance addresses survey concepts and measurement practice; a self-reported life evaluation is not a diagnosis or a causal estimate of a program. Title XXV therefore separates a population dashboard from individual eligibility and requires methods, uncertainty, and correction rather than a compulsory personal score. </w:t>
      </w:r>
      <w:hyperlink w:anchor="R25" w:history="1">
        <w:r>
          <w:rPr>
            <w:rFonts w:ascii="Liberation Serif" w:hAnsi="Liberation Serif"/>
            <w:color w:val="254F72"/>
          </w:rPr>
          <w:t>[R25]</w:t>
        </w:r>
      </w:hyperlink>
      <w:r>
        <w:t xml:space="preserve"> </w:t>
      </w:r>
      <w:hyperlink w:anchor="R26" w:history="1">
        <w:r>
          <w:rPr>
            <w:rFonts w:ascii="Liberation Serif" w:hAnsi="Liberation Serif"/>
            <w:color w:val="254F72"/>
          </w:rPr>
          <w:t>[R26]</w:t>
        </w:r>
      </w:hyperlink>
      <w:r/>
    </w:p>
    <w:p>
      <w:bookmarkStart w:id="344" w:name="ANNEX_SECTION_343"/>
      <w:pPr>
        <w:pStyle w:val="Heading2"/>
      </w:pPr>
      <w:r>
        <w:t>A.11. What the evidence does not establish</w:t>
      </w:r>
      <w:bookmarkEnd w:id="344"/>
    </w:p>
    <w:p>
      <w:pPr/>
      <w:r>
        <w:t>The record does not establish a single ideal human lifestyle, a universal dose of social contact or nature, a preferred family form, a national causal effect of a four-day week, a uniform harm from digital communication, a clinically validated target for maximizing happiness, or a scientifically required budget of $400 billion. These are not hidden assumptions in the fiscal score.</w:t>
      </w:r>
    </w:p>
    <w:p>
      <w:pPr/>
      <w:r>
        <w:t>Nor does this research demonstrate that broad well-being improvements necessarily save the federal budget. Benefits may accrue to individuals, families, employers, local governments, or future cohorts while requiring federal expenditure. Some effective care can increase measured spending by making previously unmet need visible. Fiscal, health, liberty, distributional, and cultural outcomes must therefore be reported separately.</w:t>
      </w:r>
    </w:p>
    <w:p>
      <w:pPr/>
      <w:r>
        <w:t>The draft directs future evaluation toward these uncertainties. It allows useful research and lawful experimentation, requires a stated basis for intervention, and prevents a general appeal to humanity from becoming an unlimited regulatory power. Those are design features of this bill, not claims that its implementation or constitutionality has already been established.</w:t>
      </w:r>
    </w:p>
    <w:p>
      <w:bookmarkStart w:id="345" w:name="ANNEX_B"/>
      <w:pPr>
        <w:pStyle w:val="Heading1"/>
        <w:pageBreakBefore/>
      </w:pPr>
      <w:r>
        <w:t>ANNEX B. TITLE AND SECTION COMMENTARY</w:t>
      </w:r>
      <w:bookmarkEnd w:id="345"/>
    </w:p>
    <w:p>
      <w:bookmarkStart w:id="346" w:name="ANNEX_SECTION_345"/>
      <w:pPr>
        <w:pStyle w:val="Heading2"/>
        <w:spacing w:before="200" w:after="120"/>
      </w:pPr>
      <w:r>
        <w:t>B.1. General provisions: sections 101–110</w:t>
      </w:r>
      <w:bookmarkEnd w:id="346"/>
    </w:p>
    <w:p>
      <w:pPr>
        <w:spacing w:after="60" w:line="252" w:lineRule="auto"/>
      </w:pPr>
      <w:r>
        <w:rPr>
          <w:sz w:val="22"/>
        </w:rPr>
        <w:t>The short title expands HUMAN as Human Understanding, Mutuality, Autonomy, and Nurture. Findings and purposes guide interpretation but do not independently regulate private conduct. Definitions preserve equal status across disability, ancestry, cognitive differences, and technological assistance. Section 104 supplies jurisdictional limits; section 110 separates enactment days from fiscal program years. This distinction matters because the first installment includes an advance available before the first full program year, while duties may commence on different dates.</w:t>
      </w:r>
    </w:p>
    <w:p>
      <w:bookmarkStart w:id="347" w:name="ANNEX_SECTION_346"/>
      <w:pPr>
        <w:pStyle w:val="Heading2"/>
        <w:spacing w:before="200" w:after="120"/>
      </w:pPr>
      <w:r>
        <w:t>B.2. Individual safeguards: sections 201–210</w:t>
      </w:r>
      <w:bookmarkEnd w:id="347"/>
    </w:p>
    <w:p>
      <w:pPr>
        <w:spacing w:after="60" w:line="252" w:lineRule="auto"/>
      </w:pPr>
      <w:r>
        <w:rPr>
          <w:sz w:val="22"/>
        </w:rPr>
        <w:t>The minimum safeguards protect access, consent, integrity, privacy, communication, accommodation, and reporting in covered activities. They are not an unlimited federal guarantee of every desired service. The defined actor and activity remain essential to enforcement. Sections 201 through 209 are among the provisions expressly enforceable through section 2807 when its injury, defendant, and immunity conditions are met. The anti-eugenics rule limits coercion and hierarchy without suppressing lawful research into human variation.</w:t>
      </w:r>
    </w:p>
    <w:p>
      <w:bookmarkStart w:id="348" w:name="ANNEX_SECTION_347"/>
      <w:pPr>
        <w:pStyle w:val="Heading2"/>
        <w:spacing w:before="200" w:after="120"/>
      </w:pPr>
      <w:r>
        <w:t>B.3. Federal administration: sections 301–310</w:t>
      </w:r>
      <w:bookmarkEnd w:id="348"/>
    </w:p>
    <w:p>
      <w:pPr>
        <w:spacing w:after="60" w:line="252" w:lineRule="auto"/>
      </w:pPr>
      <w:r>
        <w:rPr>
          <w:sz w:val="22"/>
        </w:rPr>
        <w:t>The HHS Office coordinates existing departments rather than replacing their organic statutes. The advisory body supplies expertise, not binding orders. Section 304 assigns lead responsibilities; the Office cannot acquire an unassigned coercive power merely by coordinating a related subject. The 150-position central ceiling is included within the Act-wide ceiling. This prevents the organizational chapter and fiscal chapter from accidentally authorizing separate, cumulative staffing totals.</w:t>
      </w:r>
    </w:p>
    <w:p>
      <w:bookmarkStart w:id="349" w:name="ANNEX_SECTION_348"/>
      <w:pPr>
        <w:pStyle w:val="Heading2"/>
        <w:spacing w:before="200" w:after="120"/>
      </w:pPr>
      <w:r>
        <w:t>B.4. Science of humanity: sections 401–410</w:t>
      </w:r>
      <w:bookmarkEnd w:id="349"/>
    </w:p>
    <w:p>
      <w:pPr>
        <w:spacing w:after="60" w:line="252" w:lineRule="auto"/>
      </w:pPr>
      <w:r>
        <w:rPr>
          <w:sz w:val="22"/>
        </w:rPr>
        <w:t>Research authorities span human origins, longitudinal development, comparative populations, replication, and the interaction between biology and changing environments. Section 406 preserves lawful provenance and applicable consent for remains and materials. Section 407 treats mismatch as a hypothesis to test. The title does not make a scientifically controversial result unlawful merely because it is unwelcome. Publication and data-access duties remain bounded by consent, privacy, security, and heritage obligations.</w:t>
      </w:r>
    </w:p>
    <w:p>
      <w:bookmarkStart w:id="350" w:name="ANNEX_SECTION_349"/>
      <w:pPr>
        <w:pStyle w:val="Heading2"/>
        <w:spacing w:before="200" w:after="120"/>
      </w:pPr>
      <w:r>
        <w:t>B.5. Pregnancy and infancy: sections 501–510</w:t>
      </w:r>
      <w:bookmarkEnd w:id="350"/>
    </w:p>
    <w:p>
      <w:pPr>
        <w:spacing w:after="60" w:line="252" w:lineRule="auto"/>
      </w:pPr>
      <w:r>
        <w:rPr>
          <w:sz w:val="22"/>
        </w:rPr>
        <w:t>The title supports services through pregnancy, postpartum periods, infancy, and caregiving transitions. Voluntary participation and individual choice remain structural conditions, including for home visits and feeding support. Existing clinical and funding law is preserved. The program does not create a nationwide insurance entitlement or independently revise reproductive law. Workforce and service continuity must be financed and planned before an award is treated as operational.</w:t>
      </w:r>
    </w:p>
    <w:p>
      <w:bookmarkStart w:id="351" w:name="ANNEX_SECTION_350"/>
      <w:pPr>
        <w:pStyle w:val="Heading2"/>
        <w:spacing w:before="200" w:after="120"/>
      </w:pPr>
      <w:r>
        <w:t>B.6. Childhood and adolescence: sections 601–610</w:t>
      </w:r>
      <w:bookmarkEnd w:id="351"/>
    </w:p>
    <w:p>
      <w:pPr>
        <w:spacing w:after="60" w:line="252" w:lineRule="auto"/>
      </w:pPr>
      <w:r>
        <w:rPr>
          <w:sz w:val="22"/>
        </w:rPr>
        <w:t>The title combines play, exploration, safety, developmental autonomy, time, peer connection, and participation. Adolescents are not treated as adults for every legal purpose, but are entitled to meaningful participation appropriate to the activity and applicable law. Recipients must avoid using safeguarding as a general justification for surveillance or suppression of lawful identity. Evaluation measures access and outcomes without ranking children's worth or punishing disability-related differences.</w:t>
      </w:r>
    </w:p>
    <w:p>
      <w:bookmarkStart w:id="352" w:name="ANNEX_SECTION_351"/>
      <w:pPr>
        <w:pStyle w:val="Heading2"/>
        <w:spacing w:before="200" w:after="120"/>
      </w:pPr>
      <w:r>
        <w:t>B.7. Education and learning: sections 701–710</w:t>
      </w:r>
      <w:bookmarkEnd w:id="352"/>
    </w:p>
    <w:p>
      <w:pPr>
        <w:spacing w:after="60" w:line="252" w:lineRule="auto"/>
      </w:pPr>
      <w:r>
        <w:rPr>
          <w:sz w:val="22"/>
        </w:rPr>
        <w:t>The Secretary of Education leads voluntary assistance and research rather than prescribing a complete national curriculum. The title includes practical skills, reasoning, arts, libraries, adult learning, and technology use. Student data and automated tools must comply with applicable safeguards. A vendor's claimed innovation does not establish educational benefit. Institutional choices must distinguish measured learning, accessibility, teacher capacity, and the burdens of additional data collection.</w:t>
      </w:r>
    </w:p>
    <w:p>
      <w:bookmarkStart w:id="353" w:name="ANNEX_SECTION_352"/>
      <w:pPr>
        <w:pStyle w:val="Heading2"/>
        <w:spacing w:before="200" w:after="120"/>
      </w:pPr>
      <w:r>
        <w:t>B.8. Healthcare: sections 801–810</w:t>
      </w:r>
      <w:bookmarkEnd w:id="353"/>
    </w:p>
    <w:p>
      <w:pPr>
        <w:spacing w:after="60" w:line="252" w:lineRule="auto"/>
      </w:pPr>
      <w:r>
        <w:rPr>
          <w:sz w:val="22"/>
        </w:rPr>
        <w:t>The health chapter finances specified improvements in prevention, primary care, navigation, rehabilitation, sensory and oral health, and coordinated delivery. It is not an amendment creating universal Medicare eligibility or first-dollar coverage of all care. Clinical standards remain within applicable professional and product law. Outcome measures include function and access while preserving patient choice. The health account also finances mental-health activities, so the same allocation cannot be counted twice.</w:t>
      </w:r>
    </w:p>
    <w:p>
      <w:bookmarkStart w:id="354" w:name="ANNEX_SECTION_353"/>
      <w:pPr>
        <w:pStyle w:val="Heading2"/>
        <w:spacing w:before="200" w:after="120"/>
      </w:pPr>
      <w:r>
        <w:t>B.9. Mental health: sections 901–910</w:t>
      </w:r>
      <w:bookmarkEnd w:id="354"/>
    </w:p>
    <w:p>
      <w:pPr>
        <w:spacing w:after="60" w:line="252" w:lineRule="auto"/>
      </w:pPr>
      <w:r>
        <w:rPr>
          <w:sz w:val="22"/>
        </w:rPr>
        <w:t>The title addresses crisis response, trauma, substance-use support, peers, and the risks of unsupported therapeutic claims. Services must distinguish consent, urgent protection, clinical necessity, and normal variation. Digital tools do not displace professional responsibilities where those responsibilities apply. A referral or contact number is not counted as completed care. The implementing record must show follow-through, safeguarding, continuity, and the availability of appropriate alternatives.</w:t>
      </w:r>
    </w:p>
    <w:p>
      <w:bookmarkStart w:id="355" w:name="ANNEX_SECTION_354"/>
      <w:pPr>
        <w:pStyle w:val="Heading2"/>
        <w:spacing w:before="200" w:after="120"/>
      </w:pPr>
      <w:r>
        <w:t>B.10. Food and water: sections 1001–1010</w:t>
      </w:r>
      <w:bookmarkEnd w:id="355"/>
    </w:p>
    <w:p>
      <w:pPr>
        <w:spacing w:after="60" w:line="252" w:lineRule="auto"/>
      </w:pPr>
      <w:r>
        <w:rPr>
          <w:sz w:val="22"/>
        </w:rPr>
        <w:t>The title supports access, procurement, food skills, shared facilities, and responsible research without prescribing a single diet. Nutritional adequacy, cultural relevance, disability, affordability, safe storage, and preparation are distinct design considerations. Food-waste projects must preserve safety. Commercial claims remain subject to applicable substantiation and consumer law. Funding does not create authority to penalize an individual for body size, eating preferences, or refusal to join a program.</w:t>
      </w:r>
    </w:p>
    <w:p>
      <w:bookmarkStart w:id="356" w:name="ANNEX_SECTION_355"/>
      <w:pPr>
        <w:pStyle w:val="Heading2"/>
        <w:spacing w:before="200" w:after="120"/>
      </w:pPr>
      <w:r>
        <w:t>B.11. Movement and biological time: sections 1101–1110</w:t>
      </w:r>
      <w:bookmarkEnd w:id="356"/>
    </w:p>
    <w:p>
      <w:pPr>
        <w:spacing w:after="60" w:line="252" w:lineRule="auto"/>
      </w:pPr>
      <w:r>
        <w:rPr>
          <w:sz w:val="22"/>
        </w:rPr>
        <w:t>The title supports practical movement, sleep, circadian, sensory, and fatigue interventions. It does not authorize compulsory tracking or make wearable-device data a condition of benefits. Public guidance remains distinguishable from enforceable workplace duties in title XIV. Recipients must accommodate disability and differing sensory needs. The same activity may serve several objectives, but evaluation must avoid attributing all observed changes to a single untested mechanism.</w:t>
      </w:r>
    </w:p>
    <w:p>
      <w:bookmarkStart w:id="357" w:name="ANNEX_SECTION_356"/>
      <w:pPr>
        <w:pStyle w:val="Heading2"/>
        <w:spacing w:before="200" w:after="120"/>
      </w:pPr>
      <w:r>
        <w:t>B.12. Relationships and community: sections 1201–1210</w:t>
      </w:r>
      <w:bookmarkEnd w:id="357"/>
    </w:p>
    <w:p>
      <w:pPr>
        <w:spacing w:after="60" w:line="252" w:lineRule="auto"/>
      </w:pPr>
      <w:r>
        <w:rPr>
          <w:sz w:val="22"/>
        </w:rPr>
        <w:t>The title supports community spaces, intergenerational contact, family and chosen-family relationships, adult sexual health, grief support, and voluntary service. It protects the choice not to participate. AI companionship is examined as a service with possible benefits and risks rather than banned as nonhuman. The chapter does not authorize government to prescribe intimacy, household composition, friendship quotas, or a preferred lawful relationship structure.</w:t>
      </w:r>
    </w:p>
    <w:p>
      <w:bookmarkStart w:id="358" w:name="ANNEX_SECTION_357"/>
      <w:pPr>
        <w:pStyle w:val="Heading2"/>
        <w:spacing w:before="200" w:after="120"/>
      </w:pPr>
      <w:r>
        <w:t>B.13. Culture and creativity: sections 1301–1310</w:t>
      </w:r>
      <w:bookmarkEnd w:id="358"/>
    </w:p>
    <w:p>
      <w:pPr>
        <w:spacing w:after="60" w:line="252" w:lineRule="auto"/>
      </w:pPr>
      <w:r>
        <w:rPr>
          <w:sz w:val="22"/>
        </w:rPr>
        <w:t>Arts, language, heritage, festivals, and cultural exchange are treated as voluntary capabilities. Funding conditions include fair administration, lawful rights in creative work, and appropriate compensation. A health claim requires evidence rather than a cultural label. The title neither authorizes censorship of lawful expression nor promises funding to every applicant. Digital creation provisions preserve applicable intellectual-property law instead of deciding all authorship questions by implication.</w:t>
      </w:r>
    </w:p>
    <w:p>
      <w:bookmarkStart w:id="359" w:name="ANNEX_SECTION_358"/>
      <w:pPr>
        <w:pStyle w:val="Heading2"/>
        <w:spacing w:before="200" w:after="120"/>
      </w:pPr>
      <w:r>
        <w:t>B.14. Employment and time: sections 1401–1410</w:t>
      </w:r>
      <w:bookmarkEnd w:id="359"/>
    </w:p>
    <w:p>
      <w:pPr>
        <w:spacing w:after="60" w:line="252" w:lineRule="auto"/>
      </w:pPr>
      <w:r>
        <w:rPr>
          <w:sz w:val="22"/>
        </w:rPr>
        <w:t>Private coverage generally begins at 15 employees under the specified enterprise and commerce rules. Paid health and caregiving time accrues at one hour per 30 hours worked, capped at 56 hours annually, subject to the detailed use and carryover provisions. Daily rest, weekly recovery, large-employer scheduling, and reasonable after-hours disconnection have separate requirements. Reduced-hours pilots are voluntary. Employer compliance costs are not automatically reimbursed from the work-and-care account.</w:t>
      </w:r>
    </w:p>
    <w:p>
      <w:bookmarkStart w:id="360" w:name="ANNEX_SECTION_359"/>
      <w:pPr>
        <w:pStyle w:val="Heading2"/>
        <w:spacing w:before="200" w:after="120"/>
      </w:pPr>
      <w:r>
        <w:t>B.15. Disability, care, and later life: sections 1501–1510</w:t>
      </w:r>
      <w:bookmarkEnd w:id="360"/>
    </w:p>
    <w:p>
      <w:pPr>
        <w:spacing w:after="60" w:line="252" w:lineRule="auto"/>
      </w:pPr>
      <w:r>
        <w:rPr>
          <w:sz w:val="22"/>
        </w:rPr>
        <w:t>The chapter supports community living, chosen assistance, caregivers, assistive technologies, aging, and end-of-life care. It does not make unaided performance the test of a person's worth or capability. Supported decision-making is not a disguised transfer of authority to a supporter. Care transitions require actual service capacity. Existing disability rights remain independently applicable; a grant's expiration does not repeal them.</w:t>
      </w:r>
    </w:p>
    <w:p>
      <w:bookmarkStart w:id="361" w:name="ANNEX_SECTION_360"/>
      <w:pPr>
        <w:pStyle w:val="Heading2"/>
        <w:spacing w:before="200" w:after="120"/>
      </w:pPr>
      <w:r>
        <w:t>B.16. Places and mobility: sections 1601–1610</w:t>
      </w:r>
      <w:bookmarkEnd w:id="361"/>
    </w:p>
    <w:p>
      <w:pPr>
        <w:spacing w:after="60" w:line="252" w:lineRule="auto"/>
      </w:pPr>
      <w:r>
        <w:rPr>
          <w:sz w:val="22"/>
        </w:rPr>
        <w:t>Housing, routes, public facilities, green space, and inclusive design are financed through voluntary programs and existing legal processes. Federal funding is not a national zoning ordinance. Project budgets must include acquisition, legal review, utilities, staffing, maintenance, accessibility, and displacement risks. A funded improvement may not be presented as successful solely on completion of construction. Section 2708 supplies the longer public-use and maintenance obligations.</w:t>
      </w:r>
    </w:p>
    <w:p>
      <w:bookmarkStart w:id="362" w:name="ANNEX_SECTION_361"/>
      <w:pPr>
        <w:pStyle w:val="Heading2"/>
        <w:spacing w:before="200" w:after="120"/>
      </w:pPr>
      <w:r>
        <w:t>B.17. Environment and resilience: sections 1701–1710</w:t>
      </w:r>
      <w:bookmarkEnd w:id="362"/>
    </w:p>
    <w:p>
      <w:pPr>
        <w:spacing w:after="60" w:line="252" w:lineRule="auto"/>
      </w:pPr>
      <w:r>
        <w:rPr>
          <w:sz w:val="22"/>
        </w:rPr>
        <w:t>The chapter addresses exposure, indoor conditions, heat, environmental resilience, One Health, and related research. It supplements rather than silently replaces existing environmental statutes. Monitoring must protect privacy and communicate uncertainty. Human-animal relationships and biodiversity are considered through their relevant health, access, and environmental functions. The chapter does not confer authority to regulate any activity merely because an agency describes it as affecting humanity.</w:t>
      </w:r>
    </w:p>
    <w:p>
      <w:bookmarkStart w:id="363" w:name="ANNEX_SECTION_362"/>
      <w:pPr>
        <w:pStyle w:val="Heading2"/>
        <w:spacing w:before="200" w:after="120"/>
      </w:pPr>
      <w:r>
        <w:t>B.18. Digital commercial practices: sections 1801–1810</w:t>
      </w:r>
      <w:bookmarkEnd w:id="363"/>
    </w:p>
    <w:p>
      <w:pPr>
        <w:spacing w:after="60" w:line="252" w:lineRule="auto"/>
      </w:pPr>
      <w:r>
        <w:rPr>
          <w:sz w:val="22"/>
        </w:rPr>
        <w:t>The title creates defined data, consent, user-rights, minor-protection, cancellation, security, and research duties. Coverage and scaled obligations must be established. It does not require every user to identify themselves or direct platforms to favor a political viewpoint. The FTC receives authority for this Act's specified duties, including express treatment of coverage otherwise affected by its organic statute. Ordinary compliance begins after the stated transition, not retroactively.</w:t>
      </w:r>
    </w:p>
    <w:p>
      <w:bookmarkStart w:id="364" w:name="ANNEX_SECTION_363"/>
      <w:pPr>
        <w:pStyle w:val="Heading2"/>
        <w:spacing w:before="200" w:after="120"/>
      </w:pPr>
      <w:r>
        <w:t>B.19. Automated decisions: sections 1901–1910</w:t>
      </w:r>
      <w:bookmarkEnd w:id="364"/>
    </w:p>
    <w:p>
      <w:pPr>
        <w:spacing w:after="60" w:line="252" w:lineRule="auto"/>
      </w:pPr>
      <w:r>
        <w:rPr>
          <w:sz w:val="22"/>
        </w:rPr>
        <w:t>The closed high-impact domains focus on consequential decisions rather than every use of software. Responsibility is allocated across developers and deployers; affected individuals receive notice and review rights. Audits, records, monitoring, and validation have defined functions. A human reviewer must be able to change a decision where appropriate. Legacy arrangements are limited transitions, not permanent exemptions, and do not suspend independently applicable rights.</w:t>
      </w:r>
    </w:p>
    <w:p>
      <w:bookmarkStart w:id="365" w:name="ANNEX_SECTION_364"/>
      <w:pPr>
        <w:pStyle w:val="Heading2"/>
        <w:spacing w:before="200" w:after="120"/>
      </w:pPr>
      <w:r>
        <w:t>B.20. Neurotechnology: sections 2001–2010</w:t>
      </w:r>
      <w:bookmarkEnd w:id="365"/>
    </w:p>
    <w:p>
      <w:pPr>
        <w:spacing w:after="60" w:line="252" w:lineRule="auto"/>
      </w:pPr>
      <w:r>
        <w:rPr>
          <w:sz w:val="22"/>
        </w:rPr>
        <w:t>The chapter treats neural collection, intervention, inference, consent, coercion, and lifecycle support separately. The definition does not turn every ordinary language analysis into direct neural sensing. Clinical benefits remain available under applicable product and professional law. A patient using an implant does not lose dignity or autonomy. The title addresses abandonment and exit because withdrawal of a service can have consequences after a device has been implanted.</w:t>
      </w:r>
    </w:p>
    <w:p>
      <w:bookmarkStart w:id="366" w:name="ANNEX_SECTION_365"/>
      <w:pPr>
        <w:pStyle w:val="Heading2"/>
        <w:spacing w:before="200" w:after="120"/>
      </w:pPr>
      <w:r>
        <w:t>B.21. Genetics and enhancement: sections 2101–2110</w:t>
      </w:r>
      <w:bookmarkEnd w:id="366"/>
    </w:p>
    <w:p>
      <w:pPr>
        <w:spacing w:after="60" w:line="252" w:lineRule="auto"/>
      </w:pPr>
      <w:r>
        <w:rPr>
          <w:sz w:val="22"/>
        </w:rPr>
        <w:t>The chapter separates somatic treatment, research, voluntary enhancement, and intentionally heritable clinical intervention. Section 2104 creates a five-year restriction beginning on its specified effective date, not an indefinite agency moratorium. Patients and children are not made liable merely because of their status. Expiration does not confer FDA approval. Privacy and consent provisions do not silently rewrite every insurance underwriting or reproductive statute.</w:t>
      </w:r>
    </w:p>
    <w:p>
      <w:bookmarkStart w:id="367" w:name="ANNEX_SECTION_366"/>
      <w:pPr>
        <w:pStyle w:val="Heading2"/>
        <w:spacing w:before="200" w:after="120"/>
      </w:pPr>
      <w:r>
        <w:t>B.22. Compatibility assessment: sections 2201–2210</w:t>
      </w:r>
      <w:bookmarkEnd w:id="367"/>
    </w:p>
    <w:p>
      <w:pPr>
        <w:spacing w:after="60" w:line="252" w:lineRule="auto"/>
      </w:pPr>
      <w:r>
        <w:rPr>
          <w:sz w:val="22"/>
        </w:rPr>
        <w:t>Only closed statutory classes trigger this additional process. A notice filing is not a general license requirement for all innovation. Ordinary deployment suspension requires court proceedings and defined findings; emergency orders require heightened evidence and rapid judicial involvement. Delay-related losses and less restrictive alternatives belong in the record. A pilot does not waive rights or guarantee eventual approval. The agency cannot restart the emergency clock on substantially identical facts.</w:t>
      </w:r>
    </w:p>
    <w:p>
      <w:bookmarkStart w:id="368" w:name="ANNEX_SECTION_367"/>
      <w:pPr>
        <w:pStyle w:val="Heading2"/>
        <w:spacing w:before="200" w:after="120"/>
      </w:pPr>
      <w:r>
        <w:t>B.23. Institutions and public services: sections 2301–2310</w:t>
      </w:r>
      <w:bookmarkEnd w:id="368"/>
    </w:p>
    <w:p>
      <w:pPr>
        <w:spacing w:after="60" w:line="252" w:lineRule="auto"/>
      </w:pPr>
      <w:r>
        <w:rPr>
          <w:sz w:val="22"/>
        </w:rPr>
        <w:t>The title addresses Federal operations and accepted funding conditions in institutional and emergency settings. It includes access, human contact, care, communication, and continuity while preserving lawful security requirements. It is not a wholesale rewrite of criminal procedure or immigration eligibility. A public digital service must not eliminate an appropriate human assistance path merely for administrative convenience. Constitutional and other statutory remedies retain their own requirements.</w:t>
      </w:r>
    </w:p>
    <w:p>
      <w:bookmarkStart w:id="369" w:name="ANNEX_SECTION_368"/>
      <w:pPr>
        <w:pStyle w:val="Heading2"/>
        <w:spacing w:before="200" w:after="120"/>
      </w:pPr>
      <w:r>
        <w:t>B.24. International cooperation: sections 2401–2410</w:t>
      </w:r>
      <w:bookmarkEnd w:id="369"/>
    </w:p>
    <w:p>
      <w:pPr>
        <w:spacing w:after="60" w:line="252" w:lineRule="auto"/>
      </w:pPr>
      <w:r>
        <w:rPr>
          <w:sz w:val="22"/>
        </w:rPr>
        <w:t>The global account supports lawful partnerships, local research and delivery capacity, responsible transfers, displaced populations, future generations, and research in extreme environments. The ordinary local-partner implementation requirement and documented exceptions are grant conditions, not commands to foreign governments. The chapter is not a treaty and cannot bind the world. United States restrictions and host-country requirements must be reconciled before funded activity begins.</w:t>
      </w:r>
    </w:p>
    <w:p>
      <w:bookmarkStart w:id="370" w:name="ANNEX_SECTION_369"/>
      <w:pPr>
        <w:pStyle w:val="Heading2"/>
        <w:spacing w:before="200" w:after="120"/>
      </w:pPr>
      <w:r>
        <w:t>B.25. Measurement and data: sections 2501–2510</w:t>
      </w:r>
      <w:bookmarkEnd w:id="370"/>
    </w:p>
    <w:p>
      <w:pPr>
        <w:spacing w:after="60" w:line="252" w:lineRule="auto"/>
      </w:pPr>
      <w:r>
        <w:rPr>
          <w:sz w:val="22"/>
        </w:rPr>
        <w:t>The dashboard is a set of population indicators, not an individual human-value score. Voluntary surveys, minimized collection, controlled linkage, correction, security, and evaluation must be planned together. A statistical purpose does not authorize unrestricted secondary use. Aggregate reporting must distinguish access, outputs, outcomes, and uncertainty. A favorable national average does not excuse an individual statutory violation or conceal materially unequal access.</w:t>
      </w:r>
    </w:p>
    <w:p>
      <w:bookmarkStart w:id="371" w:name="ANNEX_SECTION_370"/>
      <w:pPr>
        <w:pStyle w:val="Heading2"/>
        <w:spacing w:before="200" w:after="120"/>
      </w:pPr>
      <w:r>
        <w:t>B.26. Participation and federalism: sections 2601–2610</w:t>
      </w:r>
      <w:bookmarkEnd w:id="371"/>
    </w:p>
    <w:p>
      <w:pPr>
        <w:spacing w:after="60" w:line="252" w:lineRule="auto"/>
      </w:pPr>
      <w:r>
        <w:rPr>
          <w:sz w:val="22"/>
        </w:rPr>
        <w:t>Public input, tribal consultation, deliberative processes, and review are structured to inform lawful decisions rather than transfer governmental power to private panels. Conditions apply through the specified authority and voluntary acceptance. A general waiver cannot remove substantive rights. Participation must be accessible and conflicts managed. The title does not require State legislatures to enact a companion law or imply a tribal waiver of sovereign immunity.</w:t>
      </w:r>
    </w:p>
    <w:p>
      <w:bookmarkStart w:id="372" w:name="ANNEX_SECTION_371"/>
      <w:pPr>
        <w:pStyle w:val="Heading2"/>
        <w:spacing w:before="200" w:after="120"/>
      </w:pPr>
      <w:r>
        <w:t>B.27. Grants and delivery: sections 2701–2710</w:t>
      </w:r>
      <w:bookmarkEnd w:id="372"/>
    </w:p>
    <w:p>
      <w:pPr>
        <w:spacing w:after="60" w:line="252" w:lineRule="auto"/>
      </w:pPr>
      <w:r>
        <w:rPr>
          <w:sz w:val="22"/>
        </w:rPr>
        <w:t>Common award provisions connect eligibility, evidence, budgets, selection, federal share, milestones, procurement, property, audits, and closeout. Operating and research assistance may reach 100 percent; ordinary capital assistance has a 90-percent federal share with specified hardship authority. Reservations for tribal and territorial applicants are aggregate rules for the defined domestic grant pool. Section 2704 requires express notice of private remedies before acceptance, including proven emotional-distress damages under section 2807.</w:t>
      </w:r>
    </w:p>
    <w:p>
      <w:bookmarkStart w:id="373" w:name="ANNEX_SECTION_372"/>
      <w:pPr>
        <w:pStyle w:val="Heading2"/>
        <w:spacing w:before="200" w:after="120"/>
      </w:pPr>
      <w:r>
        <w:t>B.28. Enforcement and remedies: sections 2801–2810</w:t>
      </w:r>
      <w:bookmarkEnd w:id="373"/>
    </w:p>
    <w:p>
      <w:pPr>
        <w:spacing w:after="60" w:line="252" w:lineRule="auto"/>
      </w:pPr>
      <w:r>
        <w:rPr>
          <w:sz w:val="22"/>
        </w:rPr>
        <w:t>The enforcement system distinguishes investigations, protective grant action, court-imposed monetary penalties, equitable relief, and enumerated private claims. Penalty aggregation prevents mechanical multiplication by every record or click. Actual injury and causation remain necessary for private relief; express damages do not eliminate constitutional standing. Sovereign-immunity and arbitration limitations remain. State attorneys general receive a defined route for commercial enforcement, while overlapping relief must avoid double recovery.</w:t>
      </w:r>
    </w:p>
    <w:p>
      <w:bookmarkStart w:id="374" w:name="ANNEX_SECTION_373"/>
      <w:pPr>
        <w:pStyle w:val="Heading2"/>
        <w:spacing w:before="200" w:after="120"/>
      </w:pPr>
      <w:r>
        <w:t>B.29. Appropriations and execution: sections 2901–2910</w:t>
      </w:r>
      <w:bookmarkEnd w:id="374"/>
    </w:p>
    <w:p>
      <w:pPr>
        <w:spacing w:after="60" w:line="252" w:lineRule="auto"/>
      </w:pPr>
      <w:r>
        <w:rPr>
          <w:sz w:val="22"/>
        </w:rPr>
        <w:t>The bill directly appropriates $400 billion over ten program years, with eleven account shares and a $1 billion advance included in the first installment. It does not enact an offsetting tax. Transfer authority is limited, staffing ceilings are aggregate, and oversight support is expressly included. The annual GAO transfer is $10 million; the Inspector General reserve is two percent of the administration allocation. Permanent duties outlast the installment schedule, creating a disclosed future administrative-funding question.</w:t>
      </w:r>
    </w:p>
    <w:p>
      <w:bookmarkStart w:id="375" w:name="ANNEX_SECTION_374"/>
      <w:pPr>
        <w:pStyle w:val="Heading2"/>
        <w:spacing w:before="200" w:after="120"/>
      </w:pPr>
      <w:r>
        <w:t>B.30. Commencement and continuing law: sections 3001–3010</w:t>
      </w:r>
      <w:bookmarkEnd w:id="375"/>
    </w:p>
    <w:p>
      <w:pPr>
        <w:spacing w:after="60" w:line="252" w:lineRule="auto"/>
      </w:pPr>
      <w:r>
        <w:rPr>
          <w:sz w:val="22"/>
        </w:rPr>
        <w:t>Organizational and funding provisions begin at enactment, most provisions at 180 days, and specified private-employer and technical-commercial duties at 730 days. Core rules are proposed by day 365 and finalized by day 540. Five-year review does not automatically amend the statute. Savings, preemption, severability, and continuity provisions preserve applicable law while requiring a specific legal basis for each action. No global objective supplies an otherwise missing power or appropriation.</w:t>
      </w:r>
    </w:p>
    <w:p>
      <w:bookmarkStart w:id="376" w:name="ANNEX_C"/>
      <w:pPr>
        <w:pStyle w:val="Heading1"/>
        <w:pageBreakBefore/>
      </w:pPr>
      <w:r>
        <w:t>ANNEX C. CONSTITUTIONAL AND LEGAL ANALYSIS</w:t>
      </w:r>
      <w:bookmarkEnd w:id="376"/>
    </w:p>
    <w:p>
      <w:bookmarkStart w:id="377" w:name="ANNEX_SECTION_376"/>
      <w:pPr>
        <w:pStyle w:val="Heading2"/>
      </w:pPr>
      <w:r>
        <w:t>C.1. Nature of this analysis</w:t>
      </w:r>
      <w:bookmarkEnd w:id="377"/>
    </w:p>
    <w:p>
      <w:pPr/>
      <w:r>
        <w:t>This memorandum identifies legal bases, drafting safeguards, and unresolved questions. It is not a judicial ruling or certification of constitutionality. The bill combines several different legal mechanisms, so its validity cannot be established by identifying one broad federal power. Each duty requires analysis of the covered person, conduct, remedy, and jurisdiction. The research record includes important decisions and official legal materials, but is not a comprehensive current citator search of every potentially relevant case.</w:t>
      </w:r>
    </w:p>
    <w:p>
      <w:pPr/>
      <w:r>
        <w:t>The draft deliberately leaves some policy subjects to existing law. It does not establish universal health insurance, amend abortion or assisted-suicide law, abolish sovereign immunity, displace all arbitration agreements, or comprehensively regulate every insurance use of genetic information. These limits are substantive features, not typographical omissions to be supplied by an agency.</w:t>
      </w:r>
    </w:p>
    <w:p>
      <w:bookmarkStart w:id="378" w:name="ANNEX_SECTION_377"/>
      <w:pPr>
        <w:pStyle w:val="Heading2"/>
      </w:pPr>
      <w:r>
        <w:t>C.2. Enumerated powers and the structure of coverage</w:t>
      </w:r>
      <w:bookmarkEnd w:id="378"/>
    </w:p>
    <w:p>
      <w:pPr/>
      <w:r>
        <w:t xml:space="preserve">The research, services, infrastructure, and international-assistance provisions are principally spending programs. The Constitution Annotated describes Congress's spending authority and associated limitations. The model uses separate new appropriations and advance notice rather than threatening unrelated preexisting assistance. However, a voluntary label does not by itself answer coercion, relatedness, or constitutional-rights questions. The specific condition and program must be examined. </w:t>
      </w:r>
      <w:hyperlink w:anchor="R46" w:history="1">
        <w:r>
          <w:rPr>
            <w:rFonts w:ascii="Liberation Serif" w:hAnsi="Liberation Serif"/>
            <w:color w:val="254F72"/>
          </w:rPr>
          <w:t>[R46]</w:t>
        </w:r>
      </w:hyperlink>
      <w:r>
        <w:t xml:space="preserve"> </w:t>
      </w:r>
      <w:hyperlink w:anchor="R47" w:history="1">
        <w:r>
          <w:rPr>
            <w:rFonts w:ascii="Liberation Serif" w:hAnsi="Liberation Serif"/>
            <w:color w:val="254F72"/>
          </w:rPr>
          <w:t>[R47]</w:t>
        </w:r>
      </w:hyperlink>
      <w:r/>
    </w:p>
    <w:p>
      <w:pPr/>
      <w:r>
        <w:t>Direct commercial duties rely on a covered transaction, enterprise, product, or processing activity in or affecting interstate or foreign commerce. Section 104 requires the jurisdictional element to be established rather than inferred from identity or belief. A provision applied to wholly intrastate noncommercial activity could raise different issues; the general purpose of promoting human well-being would not supply missing authority.</w:t>
      </w:r>
    </w:p>
    <w:p>
      <w:pPr/>
      <w:r>
        <w:t xml:space="preserve">Federal employment, property, procurement, and agency operations have their own stated coverage. State and local governments are not ordered to administer a federal scheme. Tribal authority is addressed through consultation, voluntary assistance, and preserved immunity. The anti-commandeering doctrine remains relevant whenever implementation would direct State legislative or executive machinery rather than regulate an activity through valid authority. </w:t>
      </w:r>
      <w:hyperlink w:anchor="R48" w:history="1">
        <w:r>
          <w:rPr>
            <w:rFonts w:ascii="Liberation Serif" w:hAnsi="Liberation Serif"/>
            <w:color w:val="254F72"/>
          </w:rPr>
          <w:t>[R48]</w:t>
        </w:r>
      </w:hyperlink>
      <w:r/>
    </w:p>
    <w:p>
      <w:pPr/>
      <w:r>
        <w:t>Section 2401 and the general jurisdictional clause limit foreign reach. Directing a service to United States users is not equivalent to regulating every overseas research institution. Grant conditions can govern recipients' use of federal funds, but do not create unlimited extraterritorial police power or dispense with host-country law.</w:t>
      </w:r>
    </w:p>
    <w:p>
      <w:bookmarkStart w:id="379" w:name="ANNEX_SECTION_378"/>
      <w:pPr>
        <w:pStyle w:val="Heading2"/>
      </w:pPr>
      <w:r>
        <w:t>C.3. Delegation, agency structure, and judicial interpretation</w:t>
      </w:r>
      <w:bookmarkEnd w:id="379"/>
    </w:p>
    <w:p>
      <w:pPr/>
      <w:r>
        <w:t>The bill places coordination within HHS and retains defined sectoral agency responsibilities. Advisory participants do not issue binding orders. This limits, but does not eliminate, questions about appointments, interagency authority, and accountability. Implementation must identify the official legally responsible for a decision; an interagency memorandum cannot create a power absent from the statute.</w:t>
      </w:r>
    </w:p>
    <w:p>
      <w:pPr/>
      <w:r>
        <w:t xml:space="preserve">The major-questions doctrine makes statutory clarity particularly relevant to consequential regulatory programs. The bill therefore uses closed classes for high-impact automated decisions and compatibility review, specifies remedies, and limits the ability to enlarge coverage by rule. Broad findings concerning humanity do not independently authorize regulation. </w:t>
      </w:r>
      <w:hyperlink w:anchor="R49" w:history="1">
        <w:r>
          <w:rPr>
            <w:rFonts w:ascii="Liberation Serif" w:hAnsi="Liberation Serif"/>
            <w:color w:val="254F72"/>
          </w:rPr>
          <w:t>[R49]</w:t>
        </w:r>
      </w:hyperlink>
      <w:r/>
    </w:p>
    <w:p>
      <w:pPr/>
      <w:r>
        <w:t xml:space="preserve">Loper Bright Enterprises v. Raimondo, No. 22-451 (June 28, 2024), requires courts to exercise independent judgment on statutory interpretation under the Administrative Procedure Act rather than applying Chevron deference. The draft does not depend on an assumption that ambiguous terms will necessarily receive an agency's preferred interpretation. Delegated technical methods remain bounded by text and reviewable reasoning. </w:t>
      </w:r>
      <w:hyperlink w:anchor="R50" w:history="1">
        <w:r>
          <w:rPr>
            <w:rFonts w:ascii="Liberation Serif" w:hAnsi="Liberation Serif"/>
            <w:color w:val="254F72"/>
          </w:rPr>
          <w:t>[R50]</w:t>
        </w:r>
      </w:hyperlink>
      <w:r/>
    </w:p>
    <w:p>
      <w:pPr/>
      <w:r>
        <w:t>The remaining risk is specificity at the edges: materially influencing a consequential decision, genuine independence of an auditor, sufficient consent, and comparably grave deprivation of liberty require application to facts. Rulemaking can clarify methods and examples but cannot replace a missing substantive standard. Technical-assistance review should test those terms against concrete industry and clinical scenarios before introduction.</w:t>
      </w:r>
    </w:p>
    <w:p>
      <w:bookmarkStart w:id="380" w:name="ANNEX_SECTION_379"/>
      <w:pPr>
        <w:pStyle w:val="Heading2"/>
      </w:pPr>
      <w:r>
        <w:t>C.4. Speech, digital autonomy, and age-related protections</w:t>
      </w:r>
      <w:bookmarkEnd w:id="380"/>
    </w:p>
    <w:p>
      <w:pPr/>
      <w:r>
        <w:t xml:space="preserve">Moody v. NetChoice, LLC, No. 22-277 (July 1, 2024), addresses platform editorial expression and the analysis required for facial challenges. It does not make every data-processing or consumer-protection rule invalid. Nevertheless, an ostensibly neutral design requirement may burden expressive selection in a particular application. The bill avoids viewpoint-balancing mandates and does not authorize an agency to suppress lawful content because it deems that content insufficiently human-centered. </w:t>
      </w:r>
      <w:hyperlink w:anchor="R52" w:history="1">
        <w:r>
          <w:rPr>
            <w:rFonts w:ascii="Liberation Serif" w:hAnsi="Liberation Serif"/>
            <w:color w:val="254F72"/>
          </w:rPr>
          <w:t>[R52]</w:t>
        </w:r>
      </w:hyperlink>
      <w:r/>
    </w:p>
    <w:p>
      <w:pPr/>
      <w:r>
        <w:t xml:space="preserve">Free Speech Coalition, Inc. v. Paxton, No. 23-1122 (June 27, 2025), upheld the challenged Texas age-verification requirement under intermediate scrutiny in its specific obscenity-to-minors context. That decision is not treated as a general approval of universal identification for all online services. The HUMAN Act instead uses defined knowledge of minority and avoids compelling every user to identify themselves to obtain ordinary lawful information. </w:t>
      </w:r>
      <w:hyperlink w:anchor="R53" w:history="1">
        <w:r>
          <w:rPr>
            <w:rFonts w:ascii="Liberation Serif" w:hAnsi="Liberation Serif"/>
            <w:color w:val="254F72"/>
          </w:rPr>
          <w:t>[R53]</w:t>
        </w:r>
      </w:hyperlink>
      <w:r/>
    </w:p>
    <w:p>
      <w:pPr/>
      <w:r>
        <w:t>Compelled notices, explanation duties, user controls, research access, and confidentiality rules still require application-specific review. Necessary factual disclosures in a commercial relationship present different issues from government direction of an editorial viewpoint. Narrow implementation should focus on the transaction, data practice, or consequential decision, identify the precise harm addressed, and examine less speech-burdening alternatives.</w:t>
      </w:r>
    </w:p>
    <w:p>
      <w:pPr/>
      <w:r>
        <w:t>Youth safety must also preserve lawful access to health, identity, support, and educational material. The draft does not resolve that tension by declaring all controversial content harmful. Nor does it exempt fraud, unlawful exploitation, or independently unlawful conduct. Its savings clauses preserve those distinctions rather than giving either safety or expression an unlimited, context-free priority.</w:t>
      </w:r>
    </w:p>
    <w:p>
      <w:bookmarkStart w:id="381" w:name="ANNEX_SECTION_380"/>
      <w:pPr>
        <w:pStyle w:val="Heading2"/>
      </w:pPr>
      <w:r>
        <w:t>C.5. Equality, disability, religion, and intimate autonomy</w:t>
      </w:r>
      <w:bookmarkEnd w:id="381"/>
    </w:p>
    <w:p>
      <w:pPr/>
      <w:r>
        <w:t>The draft protects equal dignity without creating a federal authority to select preferred bodies, minds, households, or beliefs. Research inclusion and program access must be tied to relevant purposes and constitutional constraints. The allocation provisions use geographic, fiscal, service, and governmental-status considerations rather than a general numerical ranking of races or cultures.</w:t>
      </w:r>
    </w:p>
    <w:p>
      <w:pPr/>
      <w:r>
        <w:t xml:space="preserve">DOJ's Olmstead guidance explains its interpretation of integrated services under title II of the ADA, including relevant choice, appropriateness, and resource considerations. The model supports community alternatives without making an institutional discharge or an unsupported claim of independence a success metric. Existing disability obligations are not reduced to the size of a HUMAN Act grant. </w:t>
      </w:r>
      <w:hyperlink w:anchor="R56" w:history="1">
        <w:r>
          <w:rPr>
            <w:rFonts w:ascii="Liberation Serif" w:hAnsi="Liberation Serif"/>
            <w:color w:val="254F72"/>
          </w:rPr>
          <w:t>[R56]</w:t>
        </w:r>
      </w:hyperlink>
      <w:r/>
    </w:p>
    <w:p>
      <w:pPr/>
      <w:r>
        <w:t>Religious exercise, association, privacy, and bodily integrity may be burdened by particular program conditions. The text limits coercion and preserves applicable law, but a savings clause cannot automatically cure an unconstitutional application. Agencies must identify the burden, authority, applicable review standard, and less restrictive means where required. Funding an accessible service is not the same as compelling an individual to use it.</w:t>
      </w:r>
    </w:p>
    <w:p>
      <w:pPr/>
      <w:r>
        <w:t>Reproductive matters illustrate the distinction. Most existing law is preserved, while section 2104 adds an express temporary restriction on a defined clinical heritable intervention. That restriction could prompt challenges concerning federal authority, liberty, equal treatment, medical judgment, and the sufficiency of the supporting record. Its five-year period is a legislative choice, not a scientifically inevitable duration.</w:t>
      </w:r>
    </w:p>
    <w:p>
      <w:bookmarkStart w:id="382" w:name="ANNEX_SECTION_381"/>
      <w:pPr>
        <w:pStyle w:val="Heading2"/>
      </w:pPr>
      <w:r>
        <w:t>C.6. Scientific inquiry, neural privacy, and biotechnology</w:t>
      </w:r>
      <w:bookmarkEnd w:id="382"/>
    </w:p>
    <w:p>
      <w:pPr/>
      <w:r>
        <w:t>The bill does not make cognitive liberty an unlimited constitutional amendment. It creates specific statutory protections for covered neural activity, data, and coercion. The relationship between those protections and future investigative technologies will require careful adjudication. Existing warrant or subpoena authority is not silently expanded by calling an inquiry a compatibility review.</w:t>
      </w:r>
    </w:p>
    <w:p>
      <w:pPr/>
      <w:r>
        <w:t xml:space="preserve">The genetic chapter also has defined limits. NHGRI explains that GINA's protections do not extend in the same way to life, disability, and long-term-care insurance. The draft's consent and coercion provisions should not be described as a comprehensive repeal of those coverage gaps. A future decision to regulate underwriting directly would require explicit scope, enforcement, and fiscal analysis. </w:t>
      </w:r>
      <w:hyperlink w:anchor="R57" w:history="1">
        <w:r>
          <w:rPr>
            <w:rFonts w:ascii="Liberation Serif" w:hAnsi="Liberation Serif"/>
            <w:color w:val="254F72"/>
          </w:rPr>
          <w:t>[R57]</w:t>
        </w:r>
      </w:hyperlink>
      <w:r/>
    </w:p>
    <w:p>
      <w:pPr/>
      <w:r>
        <w:t>Somatic therapy, research, clinical heritable intervention, and enhancement present different questions. FDA product responsibilities and the Common Rule are preserved. A research exemption cannot be used to conduct otherwise unlawful clinical treatment, and an international partner cannot lower an applicable federal funding safeguard by relocating the activity. Conversely, a broad appeal to uncertainty does not authorize stopping lawful research outside the defined restriction.</w:t>
      </w:r>
    </w:p>
    <w:p>
      <w:pPr/>
      <w:r>
        <w:t>Review procedures must examine patients' forgone benefits and the consequences of withdrawing an implanted or dependency-creating technology. An order to stop new deployment may be materially different from an order interrupting support for existing users. Sections 2007 through 2010 and title XXII require attention to those lifecycle consequences rather than treating every remedy as a simple on-off switch.</w:t>
      </w:r>
    </w:p>
    <w:p>
      <w:bookmarkStart w:id="383" w:name="ANNEX_SECTION_382"/>
      <w:pPr>
        <w:pStyle w:val="Heading2"/>
      </w:pPr>
      <w:r>
        <w:t>C.7. Enforcement, juries, fair notice, and proportionality</w:t>
      </w:r>
      <w:bookmarkEnd w:id="383"/>
    </w:p>
    <w:p>
      <w:pPr/>
      <w:r>
        <w:t xml:space="preserve">SEC v. Jarkesy, No. 22-859 (June 27, 2024), holds that the SEC's particular fraud-based civil-penalty proceeding implicated the Seventh Amendment. It does not prohibit every administrative grant remedy. The HUMAN Act routes its civil monetary penalties through district court and separates them from protective funding action, documentation correction, and judicially supervised relief. </w:t>
      </w:r>
      <w:hyperlink w:anchor="R51" w:history="1">
        <w:r>
          <w:rPr>
            <w:rFonts w:ascii="Liberation Serif" w:hAnsi="Liberation Serif"/>
            <w:color w:val="254F72"/>
          </w:rPr>
          <w:t>[R51]</w:t>
        </w:r>
      </w:hyperlink>
      <w:r/>
    </w:p>
    <w:p>
      <w:pPr/>
      <w:r>
        <w:t>The defined monetary ceilings, course-of-conduct aggregation, culpability distinctions, and no-double-recovery rules address notice and proportionality. They do not guarantee that every future penalty is constitutionally proportionate. Courts still must examine the conduct, harm, culpability, procedural protections, and applicable constitutional limits. Restitution and compensation are not automatically interchangeable with penalties.</w:t>
      </w:r>
    </w:p>
    <w:p>
      <w:pPr/>
      <w:r>
        <w:t>Emergency orders require clear and convincing evidence of the specified imminent risk, a court filing within 72 hours, and expiration after no more than 14 days without judicial continuation. Ordinary temporary deployment suspensions have separate duration limits. Those safeguards constrain authority but do not establish that any particular order satisfies due process or equitable requirements. Agencies must preserve a meaningful opportunity to contest the actual basis.</w:t>
      </w:r>
    </w:p>
    <w:p>
      <w:pPr/>
      <w:r>
        <w:t>Investigative demands must be relevant and proportionate, with a route to challenge and court enforcement. Privilege, trade secrets, security, and individual privacy require protective procedures. A refusal to surrender protected material cannot itself be treated as proof that a product is unsafe. Evidence generated in a pilot remains subject to ordinary reliability and disclosure analysis.</w:t>
      </w:r>
    </w:p>
    <w:p>
      <w:bookmarkStart w:id="384" w:name="ANNEX_SECTION_383"/>
      <w:pPr>
        <w:pStyle w:val="Heading2"/>
      </w:pPr>
      <w:r>
        <w:t>C.8. Private claims, remedies, and access gaps</w:t>
      </w:r>
      <w:bookmarkEnd w:id="384"/>
    </w:p>
    <w:p>
      <w:pPr/>
      <w:r>
        <w:t xml:space="preserve">TransUnion LLC v. Ramirez, No. 20-297 (June 25, 2021), requires concrete injury for Federal damages standing. Section 2807 therefore requires coverage, violation, causation, injury, and an appropriate remedy. A bare procedural defect is not presumed to satisfy Article III. State-law claims or State-court standing may involve different questions not comprehensively resolved here. </w:t>
      </w:r>
      <w:hyperlink w:anchor="R55" w:history="1">
        <w:r>
          <w:rPr>
            <w:rFonts w:ascii="Liberation Serif" w:hAnsi="Liberation Serif"/>
            <w:color w:val="254F72"/>
          </w:rPr>
          <w:t>[R55]</w:t>
        </w:r>
      </w:hyperlink>
      <w:r/>
    </w:p>
    <w:p>
      <w:pPr/>
      <w:r>
        <w:t xml:space="preserve">Cummings v. Premier Rehab Keller, P.L.L.C., No. 20-219 (April 28, 2022), rejected emotional-distress damages under the existing Rehabilitation Act and ACA remedial framework at issue. The HUMAN Act instead expressly authorizes proven emotional-distress damages for its enumerated new claims and requires clear recipient notice. It does not rewrite the remedies of those other statutes. The constitutional and doctrinal treatment of this new express provision would remain open to litigation. </w:t>
      </w:r>
      <w:hyperlink w:anchor="R54" w:history="1">
        <w:r>
          <w:rPr>
            <w:rFonts w:ascii="Liberation Serif" w:hAnsi="Liberation Serif"/>
            <w:color w:val="254F72"/>
          </w:rPr>
          <w:t>[R54]</w:t>
        </w:r>
      </w:hyperlink>
      <w:r/>
    </w:p>
    <w:p>
      <w:pPr/>
      <w:r>
        <w:t>The bill does not abrogate State or tribal sovereign immunity or create a general Federal damages remedy. Consequently, materially similar violations can have different remedial routes depending on the defendant. Grant enforcement, lawful prospective relief, existing waivers, and judicial review may be available, but are not interchangeable with damages. That gap is disclosed rather than concealed by a universal-rights slogan.</w:t>
      </w:r>
    </w:p>
    <w:p>
      <w:pPr/>
      <w:r>
        <w:t>The Federal Arbitration Act is not amended. Otherwise enforceable arbitration arrangements and existing procedural restrictions may affect how private claims proceed. A separate congressional choice to restrict pre-dispute arbitration or class waivers would require express text. This package does not assume that the newly created cause of action automatically displaces them.</w:t>
      </w:r>
    </w:p>
    <w:p>
      <w:bookmarkStart w:id="385" w:name="ANNEX_SECTION_384"/>
      <w:pPr>
        <w:pStyle w:val="Heading2"/>
      </w:pPr>
      <w:r>
        <w:t>C.9. Fiscal law, preemption, and durability</w:t>
      </w:r>
      <w:bookmarkEnd w:id="385"/>
    </w:p>
    <w:p>
      <w:pPr/>
      <w:r>
        <w:t xml:space="preserve">The direct appropriation is distinct from an authorization to seek later appropriations. The bill leaves applicable budget controls in place and does not assume an exemption from PAYGO or sequestration. Formal scoring and parliamentary review are necessary to determine effects under the budget rules applicable at introduction. CBO's methodology separately identifies direct spending, mandate issues, and relevant budget enforcement considerations. </w:t>
      </w:r>
      <w:hyperlink w:anchor="R58" w:history="1">
        <w:r>
          <w:rPr>
            <w:rFonts w:ascii="Liberation Serif" w:hAnsi="Liberation Serif"/>
            <w:color w:val="254F72"/>
          </w:rPr>
          <w:t>[R58]</w:t>
        </w:r>
      </w:hyperlink>
      <w:r/>
    </w:p>
    <w:p>
      <w:pPr/>
      <w:r>
        <w:t xml:space="preserve">The common award framework preserves applicable federal grant cost principles and requires express conditions, documented obligations, and lawful closeout. A multi-year availability period does not permit an agency to promise more than the lawfully obligated amount or bypass procurement, property, or audit duties. </w:t>
      </w:r>
      <w:hyperlink w:anchor="R59" w:history="1">
        <w:r>
          <w:rPr>
            <w:rFonts w:ascii="Liberation Serif" w:hAnsi="Liberation Serif"/>
            <w:color w:val="254F72"/>
          </w:rPr>
          <w:t>[R59]</w:t>
        </w:r>
      </w:hyperlink>
      <w:r/>
    </w:p>
    <w:p>
      <w:pPr/>
      <w:r>
        <w:t>The general preemption rule preserves more protective law except where an actual conflict or another constitutional preemption principle applies. It does not override specific existing federal preemption statutes by general implication. Regulated entities may therefore face overlapping requirements; agencies can coordinate reporting but cannot repeal another jurisdiction's valid law merely to simplify compliance.</w:t>
      </w:r>
    </w:p>
    <w:p>
      <w:pPr/>
      <w:r>
        <w:t>The principal long-term financing issue is the distinction between permanent rights and ten years of new installments. The statute provides notice and review but not an infinite appropriation. After the funded period, continued administration must rely on legally available resources or later legislation. Severability can preserve independently operative provisions, but cannot manufacture staffing, appropriations, jurisdiction, or a remedy that Congress did not provide.</w:t>
      </w:r>
    </w:p>
    <w:p>
      <w:bookmarkStart w:id="386" w:name="ANNEX_D"/>
      <w:pPr>
        <w:pStyle w:val="Heading1"/>
        <w:pageBreakBefore/>
      </w:pPr>
      <w:r>
        <w:t>ANNEX D. FISCAL NOTE AND SCENARIO ANALYSIS</w:t>
      </w:r>
      <w:bookmarkEnd w:id="386"/>
    </w:p>
    <w:p>
      <w:bookmarkStart w:id="387" w:name="ANNEX_SECTION_386"/>
      <w:pPr>
        <w:pStyle w:val="Heading2"/>
      </w:pPr>
      <w:r>
        <w:t>D.1. Status and accounting boundaries</w:t>
      </w:r>
      <w:bookmarkEnd w:id="387"/>
    </w:p>
    <w:p>
      <w:pPr/>
      <w:r>
        <w:t>This is an illustrative counsel model, not an official CBO, Joint Committee on Taxation, OMB, or agency estimate. The $400 billion figure is a legislative allocation assumption chosen for this draft. It is not a bottom-up estimate of all national unmet need and does not guarantee nationwide service coverage. The statutory appropriations, not this annex's assumptions, determine legal spending authority.</w:t>
      </w:r>
    </w:p>
    <w:p>
      <w:pPr/>
      <w:r>
        <w:t>All dollar amounts in the following tables are billions of nominal United States dollars unless expressly labeled otherwise. Program years are the fiscal years defined in section 110, not fixed calendar years. The $1 billion available at enactment is part of program year 1's $10 billion, leaving $9 billion at the beginning of that program year. The illustration assumes that the advance is spent at enactment; actual obligations and outlays must be reported in the fiscal year when they occur.</w:t>
      </w:r>
    </w:p>
    <w:p>
      <w:pPr/>
      <w:r>
        <w:t>The model assumes no enacted tax increase, dedicated fee, offsetting reduction, or measurable federal savings. That is an accounting assumption, not a finding that no social or economic benefit can occur. The proposal therefore increases primary federal financing requirements to the extent funds are spent, before any independently estimated revenue, behavioral, or savings effect. Penalties are not credited as financing the appropriation.</w:t>
      </w:r>
    </w:p>
    <w:p>
      <w:bookmarkStart w:id="388" w:name="ANNEX_SECTION_387"/>
      <w:pPr>
        <w:pStyle w:val="Heading2"/>
      </w:pPr>
      <w:r>
        <w:t>D.2. Statutory budget authority</w:t>
      </w:r>
      <w:bookmarkEnd w:id="388"/>
    </w:p>
    <w:tbl>
      <w:tblPr>
        <w:tblW w:type="auto" w:w="0"/>
        <w:jc w:val="center"/>
        <w:tblLayout w:type="fixed"/>
        <w:tblLook w:firstColumn="1" w:firstRow="1" w:lastColumn="0" w:lastRow="0" w:noHBand="0" w:noVBand="1" w:val="04A0"/>
        <w:tblBorders>
          <w:top w:val="single" w:sz="3" w:color="C8CDD2"/>
          <w:bottom w:val="single" w:sz="3" w:color="C8CDD2"/>
          <w:insideH w:val="single" w:sz="3" w:color="C8CDD2"/>
        </w:tblBorders>
      </w:tblPr>
      <w:tblGrid>
        <w:gridCol w:w="5256"/>
        <w:gridCol w:w="1872"/>
        <w:gridCol w:w="2520"/>
      </w:tblGrid>
      <w:tr>
        <w:trPr>
          <w:cantSplit/>
          <w:tblHeader/>
        </w:trPr>
        <w:tc>
          <w:tcPr>
            <w:tcW w:type="dxa" w:w="5256"/>
            <w:vAlign w:val="top"/>
            <w:shd w:fill="182C3D"/>
          </w:tcPr>
          <w:p>
            <w:pPr>
              <w:pStyle w:val="TableText"/>
              <w:spacing w:line="245" w:lineRule="auto" w:after="60" w:before="60"/>
            </w:pPr>
            <w:r>
              <w:rPr>
                <w:b/>
                <w:color w:val="FFFFFF"/>
              </w:rPr>
              <w:t>Program year</w:t>
            </w:r>
          </w:p>
        </w:tc>
        <w:tc>
          <w:tcPr>
            <w:tcW w:type="dxa" w:w="1872"/>
            <w:vAlign w:val="top"/>
            <w:shd w:fill="182C3D"/>
          </w:tcPr>
          <w:p>
            <w:pPr>
              <w:pStyle w:val="TableText"/>
              <w:spacing w:line="245" w:lineRule="auto" w:after="60" w:before="60"/>
            </w:pPr>
            <w:r>
              <w:rPr>
                <w:b/>
                <w:color w:val="FFFFFF"/>
              </w:rPr>
              <w:t>Installment</w:t>
            </w:r>
          </w:p>
        </w:tc>
        <w:tc>
          <w:tcPr>
            <w:tcW w:type="dxa" w:w="2520"/>
            <w:vAlign w:val="top"/>
            <w:shd w:fill="182C3D"/>
          </w:tcPr>
          <w:p>
            <w:pPr>
              <w:pStyle w:val="TableText"/>
              <w:spacing w:line="245" w:lineRule="auto" w:after="60" w:before="60"/>
            </w:pPr>
            <w:r>
              <w:rPr>
                <w:b/>
                <w:color w:val="FFFFFF"/>
              </w:rPr>
              <w:t>Cumulative authority</w:t>
            </w:r>
          </w:p>
        </w:tc>
      </w:tr>
      <w:tr>
        <w:trPr>
          <w:cantSplit/>
        </w:trPr>
        <w:tc>
          <w:tcPr>
            <w:tcW w:type="dxa" w:w="5256"/>
            <w:vAlign w:val="top"/>
          </w:tcPr>
          <w:p>
            <w:pPr>
              <w:pStyle w:val="TableText"/>
              <w:spacing w:line="245" w:lineRule="auto" w:after="60" w:before="60"/>
            </w:pPr>
            <w:r>
              <w:t>1</w:t>
            </w:r>
          </w:p>
        </w:tc>
        <w:tc>
          <w:tcPr>
            <w:tcW w:type="dxa" w:w="1872"/>
            <w:vAlign w:val="top"/>
          </w:tcPr>
          <w:p>
            <w:pPr>
              <w:pStyle w:val="TableText"/>
              <w:spacing w:line="245" w:lineRule="auto" w:after="60" w:before="60"/>
            </w:pPr>
            <w:r>
              <w:t>10.00</w:t>
            </w:r>
          </w:p>
        </w:tc>
        <w:tc>
          <w:tcPr>
            <w:tcW w:type="dxa" w:w="2520"/>
            <w:vAlign w:val="top"/>
          </w:tcPr>
          <w:p>
            <w:pPr>
              <w:pStyle w:val="TableText"/>
              <w:spacing w:line="245" w:lineRule="auto" w:after="60" w:before="60"/>
            </w:pPr>
            <w:r>
              <w:t>10.00</w:t>
            </w:r>
          </w:p>
        </w:tc>
      </w:tr>
      <w:tr>
        <w:trPr>
          <w:cantSplit/>
        </w:trPr>
        <w:tc>
          <w:tcPr>
            <w:tcW w:type="dxa" w:w="5256"/>
            <w:vAlign w:val="top"/>
          </w:tcPr>
          <w:p>
            <w:pPr>
              <w:pStyle w:val="TableText"/>
              <w:spacing w:line="245" w:lineRule="auto" w:after="60" w:before="60"/>
            </w:pPr>
            <w:r>
              <w:t>2</w:t>
            </w:r>
          </w:p>
        </w:tc>
        <w:tc>
          <w:tcPr>
            <w:tcW w:type="dxa" w:w="1872"/>
            <w:vAlign w:val="top"/>
          </w:tcPr>
          <w:p>
            <w:pPr>
              <w:pStyle w:val="TableText"/>
              <w:spacing w:line="245" w:lineRule="auto" w:after="60" w:before="60"/>
            </w:pPr>
            <w:r>
              <w:t>20.00</w:t>
            </w:r>
          </w:p>
        </w:tc>
        <w:tc>
          <w:tcPr>
            <w:tcW w:type="dxa" w:w="2520"/>
            <w:vAlign w:val="top"/>
          </w:tcPr>
          <w:p>
            <w:pPr>
              <w:pStyle w:val="TableText"/>
              <w:spacing w:line="245" w:lineRule="auto" w:after="60" w:before="60"/>
            </w:pPr>
            <w:r>
              <w:t>30.00</w:t>
            </w:r>
          </w:p>
        </w:tc>
      </w:tr>
      <w:tr>
        <w:trPr>
          <w:cantSplit/>
        </w:trPr>
        <w:tc>
          <w:tcPr>
            <w:tcW w:type="dxa" w:w="5256"/>
            <w:vAlign w:val="top"/>
          </w:tcPr>
          <w:p>
            <w:pPr>
              <w:pStyle w:val="TableText"/>
              <w:spacing w:line="245" w:lineRule="auto" w:after="60" w:before="60"/>
            </w:pPr>
            <w:r>
              <w:t>3</w:t>
            </w:r>
          </w:p>
        </w:tc>
        <w:tc>
          <w:tcPr>
            <w:tcW w:type="dxa" w:w="1872"/>
            <w:vAlign w:val="top"/>
          </w:tcPr>
          <w:p>
            <w:pPr>
              <w:pStyle w:val="TableText"/>
              <w:spacing w:line="245" w:lineRule="auto" w:after="60" w:before="60"/>
            </w:pPr>
            <w:r>
              <w:t>30.00</w:t>
            </w:r>
          </w:p>
        </w:tc>
        <w:tc>
          <w:tcPr>
            <w:tcW w:type="dxa" w:w="2520"/>
            <w:vAlign w:val="top"/>
          </w:tcPr>
          <w:p>
            <w:pPr>
              <w:pStyle w:val="TableText"/>
              <w:spacing w:line="245" w:lineRule="auto" w:after="60" w:before="60"/>
            </w:pPr>
            <w:r>
              <w:t>60.00</w:t>
            </w:r>
          </w:p>
        </w:tc>
      </w:tr>
      <w:tr>
        <w:trPr>
          <w:cantSplit/>
        </w:trPr>
        <w:tc>
          <w:tcPr>
            <w:tcW w:type="dxa" w:w="5256"/>
            <w:vAlign w:val="top"/>
          </w:tcPr>
          <w:p>
            <w:pPr>
              <w:pStyle w:val="TableText"/>
              <w:spacing w:line="245" w:lineRule="auto" w:after="60" w:before="60"/>
            </w:pPr>
            <w:r>
              <w:t>4</w:t>
            </w:r>
          </w:p>
        </w:tc>
        <w:tc>
          <w:tcPr>
            <w:tcW w:type="dxa" w:w="1872"/>
            <w:vAlign w:val="top"/>
          </w:tcPr>
          <w:p>
            <w:pPr>
              <w:pStyle w:val="TableText"/>
              <w:spacing w:line="245" w:lineRule="auto" w:after="60" w:before="60"/>
            </w:pPr>
            <w:r>
              <w:t>40.00</w:t>
            </w:r>
          </w:p>
        </w:tc>
        <w:tc>
          <w:tcPr>
            <w:tcW w:type="dxa" w:w="2520"/>
            <w:vAlign w:val="top"/>
          </w:tcPr>
          <w:p>
            <w:pPr>
              <w:pStyle w:val="TableText"/>
              <w:spacing w:line="245" w:lineRule="auto" w:after="60" w:before="60"/>
            </w:pPr>
            <w:r>
              <w:t>100.00</w:t>
            </w:r>
          </w:p>
        </w:tc>
      </w:tr>
      <w:tr>
        <w:trPr>
          <w:cantSplit/>
        </w:trPr>
        <w:tc>
          <w:tcPr>
            <w:tcW w:type="dxa" w:w="5256"/>
            <w:vAlign w:val="top"/>
          </w:tcPr>
          <w:p>
            <w:pPr>
              <w:pStyle w:val="TableText"/>
              <w:spacing w:line="245" w:lineRule="auto" w:after="60" w:before="60"/>
            </w:pPr>
            <w:r>
              <w:t>5</w:t>
            </w:r>
          </w:p>
        </w:tc>
        <w:tc>
          <w:tcPr>
            <w:tcW w:type="dxa" w:w="1872"/>
            <w:vAlign w:val="top"/>
          </w:tcPr>
          <w:p>
            <w:pPr>
              <w:pStyle w:val="TableText"/>
              <w:spacing w:line="245" w:lineRule="auto" w:after="60" w:before="60"/>
            </w:pPr>
            <w:r>
              <w:t>50.00</w:t>
            </w:r>
          </w:p>
        </w:tc>
        <w:tc>
          <w:tcPr>
            <w:tcW w:type="dxa" w:w="2520"/>
            <w:vAlign w:val="top"/>
          </w:tcPr>
          <w:p>
            <w:pPr>
              <w:pStyle w:val="TableText"/>
              <w:spacing w:line="245" w:lineRule="auto" w:after="60" w:before="60"/>
            </w:pPr>
            <w:r>
              <w:t>150.00</w:t>
            </w:r>
          </w:p>
        </w:tc>
      </w:tr>
      <w:tr>
        <w:trPr>
          <w:cantSplit/>
        </w:trPr>
        <w:tc>
          <w:tcPr>
            <w:tcW w:type="dxa" w:w="5256"/>
            <w:vAlign w:val="top"/>
          </w:tcPr>
          <w:p>
            <w:pPr>
              <w:pStyle w:val="TableText"/>
              <w:spacing w:line="245" w:lineRule="auto" w:after="60" w:before="60"/>
            </w:pPr>
            <w:r>
              <w:t>6</w:t>
            </w:r>
          </w:p>
        </w:tc>
        <w:tc>
          <w:tcPr>
            <w:tcW w:type="dxa" w:w="1872"/>
            <w:vAlign w:val="top"/>
          </w:tcPr>
          <w:p>
            <w:pPr>
              <w:pStyle w:val="TableText"/>
              <w:spacing w:line="245" w:lineRule="auto" w:after="60" w:before="60"/>
            </w:pPr>
            <w:r>
              <w:t>50.00</w:t>
            </w:r>
          </w:p>
        </w:tc>
        <w:tc>
          <w:tcPr>
            <w:tcW w:type="dxa" w:w="2520"/>
            <w:vAlign w:val="top"/>
          </w:tcPr>
          <w:p>
            <w:pPr>
              <w:pStyle w:val="TableText"/>
              <w:spacing w:line="245" w:lineRule="auto" w:after="60" w:before="60"/>
            </w:pPr>
            <w:r>
              <w:t>200.00</w:t>
            </w:r>
          </w:p>
        </w:tc>
      </w:tr>
      <w:tr>
        <w:trPr>
          <w:cantSplit/>
        </w:trPr>
        <w:tc>
          <w:tcPr>
            <w:tcW w:type="dxa" w:w="5256"/>
            <w:vAlign w:val="top"/>
          </w:tcPr>
          <w:p>
            <w:pPr>
              <w:pStyle w:val="TableText"/>
              <w:spacing w:line="245" w:lineRule="auto" w:after="60" w:before="60"/>
            </w:pPr>
            <w:r>
              <w:t>7</w:t>
            </w:r>
          </w:p>
        </w:tc>
        <w:tc>
          <w:tcPr>
            <w:tcW w:type="dxa" w:w="1872"/>
            <w:vAlign w:val="top"/>
          </w:tcPr>
          <w:p>
            <w:pPr>
              <w:pStyle w:val="TableText"/>
              <w:spacing w:line="245" w:lineRule="auto" w:after="60" w:before="60"/>
            </w:pPr>
            <w:r>
              <w:t>50.00</w:t>
            </w:r>
          </w:p>
        </w:tc>
        <w:tc>
          <w:tcPr>
            <w:tcW w:type="dxa" w:w="2520"/>
            <w:vAlign w:val="top"/>
          </w:tcPr>
          <w:p>
            <w:pPr>
              <w:pStyle w:val="TableText"/>
              <w:spacing w:line="245" w:lineRule="auto" w:after="60" w:before="60"/>
            </w:pPr>
            <w:r>
              <w:t>250.00</w:t>
            </w:r>
          </w:p>
        </w:tc>
      </w:tr>
      <w:tr>
        <w:trPr>
          <w:cantSplit/>
        </w:trPr>
        <w:tc>
          <w:tcPr>
            <w:tcW w:type="dxa" w:w="5256"/>
            <w:vAlign w:val="top"/>
          </w:tcPr>
          <w:p>
            <w:pPr>
              <w:pStyle w:val="TableText"/>
              <w:spacing w:line="245" w:lineRule="auto" w:after="60" w:before="60"/>
            </w:pPr>
            <w:r>
              <w:t>8</w:t>
            </w:r>
          </w:p>
        </w:tc>
        <w:tc>
          <w:tcPr>
            <w:tcW w:type="dxa" w:w="1872"/>
            <w:vAlign w:val="top"/>
          </w:tcPr>
          <w:p>
            <w:pPr>
              <w:pStyle w:val="TableText"/>
              <w:spacing w:line="245" w:lineRule="auto" w:after="60" w:before="60"/>
            </w:pPr>
            <w:r>
              <w:t>50.00</w:t>
            </w:r>
          </w:p>
        </w:tc>
        <w:tc>
          <w:tcPr>
            <w:tcW w:type="dxa" w:w="2520"/>
            <w:vAlign w:val="top"/>
          </w:tcPr>
          <w:p>
            <w:pPr>
              <w:pStyle w:val="TableText"/>
              <w:spacing w:line="245" w:lineRule="auto" w:after="60" w:before="60"/>
            </w:pPr>
            <w:r>
              <w:t>300.00</w:t>
            </w:r>
          </w:p>
        </w:tc>
      </w:tr>
      <w:tr>
        <w:trPr>
          <w:cantSplit/>
        </w:trPr>
        <w:tc>
          <w:tcPr>
            <w:tcW w:type="dxa" w:w="5256"/>
            <w:vAlign w:val="top"/>
          </w:tcPr>
          <w:p>
            <w:pPr>
              <w:pStyle w:val="TableText"/>
              <w:spacing w:line="245" w:lineRule="auto" w:after="60" w:before="60"/>
            </w:pPr>
            <w:r>
              <w:t>9</w:t>
            </w:r>
          </w:p>
        </w:tc>
        <w:tc>
          <w:tcPr>
            <w:tcW w:type="dxa" w:w="1872"/>
            <w:vAlign w:val="top"/>
          </w:tcPr>
          <w:p>
            <w:pPr>
              <w:pStyle w:val="TableText"/>
              <w:spacing w:line="245" w:lineRule="auto" w:after="60" w:before="60"/>
            </w:pPr>
            <w:r>
              <w:t>50.00</w:t>
            </w:r>
          </w:p>
        </w:tc>
        <w:tc>
          <w:tcPr>
            <w:tcW w:type="dxa" w:w="2520"/>
            <w:vAlign w:val="top"/>
          </w:tcPr>
          <w:p>
            <w:pPr>
              <w:pStyle w:val="TableText"/>
              <w:spacing w:line="245" w:lineRule="auto" w:after="60" w:before="60"/>
            </w:pPr>
            <w:r>
              <w:t>350.00</w:t>
            </w:r>
          </w:p>
        </w:tc>
      </w:tr>
      <w:tr>
        <w:trPr>
          <w:cantSplit/>
        </w:trPr>
        <w:tc>
          <w:tcPr>
            <w:tcW w:type="dxa" w:w="5256"/>
            <w:vAlign w:val="top"/>
          </w:tcPr>
          <w:p>
            <w:pPr>
              <w:pStyle w:val="TableText"/>
              <w:spacing w:line="245" w:lineRule="auto" w:after="60" w:before="60"/>
            </w:pPr>
            <w:r>
              <w:t>10</w:t>
            </w:r>
          </w:p>
        </w:tc>
        <w:tc>
          <w:tcPr>
            <w:tcW w:type="dxa" w:w="1872"/>
            <w:vAlign w:val="top"/>
          </w:tcPr>
          <w:p>
            <w:pPr>
              <w:pStyle w:val="TableText"/>
              <w:spacing w:line="245" w:lineRule="auto" w:after="60" w:before="60"/>
            </w:pPr>
            <w:r>
              <w:t>50.00</w:t>
            </w:r>
          </w:p>
        </w:tc>
        <w:tc>
          <w:tcPr>
            <w:tcW w:type="dxa" w:w="2520"/>
            <w:vAlign w:val="top"/>
          </w:tcPr>
          <w:p>
            <w:pPr>
              <w:pStyle w:val="TableText"/>
              <w:spacing w:line="245" w:lineRule="auto" w:after="60" w:before="60"/>
            </w:pPr>
            <w:r>
              <w:t>400.00</w:t>
            </w:r>
          </w:p>
        </w:tc>
      </w:tr>
      <w:tr>
        <w:trPr>
          <w:cantSplit/>
        </w:trPr>
        <w:tc>
          <w:tcPr>
            <w:tcW w:type="dxa" w:w="5256"/>
            <w:vAlign w:val="top"/>
          </w:tcPr>
          <w:p>
            <w:pPr>
              <w:pStyle w:val="TableText"/>
              <w:spacing w:line="245" w:lineRule="auto" w:after="60" w:before="60"/>
            </w:pPr>
            <w:r>
              <w:t>11–30</w:t>
            </w:r>
          </w:p>
        </w:tc>
        <w:tc>
          <w:tcPr>
            <w:tcW w:type="dxa" w:w="1872"/>
            <w:vAlign w:val="top"/>
          </w:tcPr>
          <w:p>
            <w:pPr>
              <w:pStyle w:val="TableText"/>
              <w:spacing w:line="245" w:lineRule="auto" w:after="60" w:before="60"/>
            </w:pPr>
            <w:r>
              <w:t>0.00 new installments</w:t>
            </w:r>
          </w:p>
        </w:tc>
        <w:tc>
          <w:tcPr>
            <w:tcW w:type="dxa" w:w="2520"/>
            <w:vAlign w:val="top"/>
          </w:tcPr>
          <w:p>
            <w:pPr>
              <w:pStyle w:val="TableText"/>
              <w:spacing w:line="245" w:lineRule="auto" w:after="60" w:before="60"/>
            </w:pPr>
            <w:r>
              <w:t>400.00 total</w:t>
            </w:r>
          </w:p>
        </w:tc>
      </w:tr>
    </w:tbl>
    <w:p>
      <w:pPr>
        <w:spacing w:after="20"/>
      </w:pPr>
    </w:p>
    <w:p>
      <w:pPr/>
      <w:r>
        <w:t>The advance is included in the first row and must not be added again. Annual installments remain available for obligation through the end of the third fiscal year following the relevant program year. Subsequent expiration, payment of valid obligations, and cancellation follow applicable appropriations law. This does not require every dollar to be spent on the timetable assumed below.</w:t>
      </w:r>
    </w:p>
    <w:p>
      <w:bookmarkStart w:id="389" w:name="ANNEX_SECTION_388"/>
      <w:pPr>
        <w:pStyle w:val="Heading2"/>
      </w:pPr>
      <w:r>
        <w:t>D.3. Account allocation</w:t>
      </w:r>
      <w:bookmarkEnd w:id="389"/>
    </w:p>
    <w:tbl>
      <w:tblPr>
        <w:tblW w:type="auto" w:w="0"/>
        <w:jc w:val="center"/>
        <w:tblLayout w:type="fixed"/>
        <w:tblLook w:firstColumn="1" w:firstRow="1" w:lastColumn="0" w:lastRow="0" w:noHBand="0" w:noVBand="1" w:val="04A0"/>
        <w:tblBorders>
          <w:top w:val="single" w:sz="3" w:color="C8CDD2"/>
          <w:bottom w:val="single" w:sz="3" w:color="C8CDD2"/>
          <w:insideH w:val="single" w:sz="3" w:color="C8CDD2"/>
        </w:tblBorders>
      </w:tblPr>
      <w:tblGrid>
        <w:gridCol w:w="5256"/>
        <w:gridCol w:w="1872"/>
        <w:gridCol w:w="2520"/>
      </w:tblGrid>
      <w:tr>
        <w:trPr>
          <w:cantSplit/>
          <w:tblHeader/>
        </w:trPr>
        <w:tc>
          <w:tcPr>
            <w:tcW w:type="dxa" w:w="5256"/>
            <w:vAlign w:val="top"/>
            <w:shd w:fill="182C3D"/>
          </w:tcPr>
          <w:p>
            <w:pPr>
              <w:pStyle w:val="TableText"/>
              <w:spacing w:line="245" w:lineRule="auto" w:after="60" w:before="60"/>
            </w:pPr>
            <w:r>
              <w:rPr>
                <w:b/>
                <w:color w:val="FFFFFF"/>
              </w:rPr>
              <w:t>Account</w:t>
            </w:r>
          </w:p>
        </w:tc>
        <w:tc>
          <w:tcPr>
            <w:tcW w:type="dxa" w:w="1872"/>
            <w:vAlign w:val="top"/>
            <w:shd w:fill="182C3D"/>
          </w:tcPr>
          <w:p>
            <w:pPr>
              <w:pStyle w:val="TableText"/>
              <w:spacing w:line="245" w:lineRule="auto" w:after="60" w:before="60"/>
            </w:pPr>
            <w:r>
              <w:rPr>
                <w:b/>
                <w:color w:val="FFFFFF"/>
              </w:rPr>
              <w:t>Share</w:t>
            </w:r>
          </w:p>
        </w:tc>
        <w:tc>
          <w:tcPr>
            <w:tcW w:type="dxa" w:w="2520"/>
            <w:vAlign w:val="top"/>
            <w:shd w:fill="182C3D"/>
          </w:tcPr>
          <w:p>
            <w:pPr>
              <w:pStyle w:val="TableText"/>
              <w:spacing w:line="245" w:lineRule="auto" w:after="60" w:before="60"/>
            </w:pPr>
            <w:r>
              <w:rPr>
                <w:b/>
                <w:color w:val="FFFFFF"/>
              </w:rPr>
              <w:t>Ten-year authority</w:t>
            </w:r>
          </w:p>
        </w:tc>
      </w:tr>
      <w:tr>
        <w:trPr>
          <w:cantSplit/>
        </w:trPr>
        <w:tc>
          <w:tcPr>
            <w:tcW w:type="dxa" w:w="5256"/>
            <w:vAlign w:val="top"/>
          </w:tcPr>
          <w:p>
            <w:pPr>
              <w:pStyle w:val="TableText"/>
              <w:spacing w:line="245" w:lineRule="auto" w:after="60" w:before="60"/>
            </w:pPr>
            <w:r>
              <w:t>Science and evidence</w:t>
            </w:r>
          </w:p>
        </w:tc>
        <w:tc>
          <w:tcPr>
            <w:tcW w:type="dxa" w:w="1872"/>
            <w:vAlign w:val="top"/>
          </w:tcPr>
          <w:p>
            <w:pPr>
              <w:pStyle w:val="TableText"/>
              <w:spacing w:line="245" w:lineRule="auto" w:after="60" w:before="60"/>
            </w:pPr>
            <w:r>
              <w:t>15%</w:t>
            </w:r>
          </w:p>
        </w:tc>
        <w:tc>
          <w:tcPr>
            <w:tcW w:type="dxa" w:w="2520"/>
            <w:vAlign w:val="top"/>
          </w:tcPr>
          <w:p>
            <w:pPr>
              <w:pStyle w:val="TableText"/>
              <w:spacing w:line="245" w:lineRule="auto" w:after="60" w:before="60"/>
            </w:pPr>
            <w:r>
              <w:t>60.00</w:t>
            </w:r>
          </w:p>
        </w:tc>
      </w:tr>
      <w:tr>
        <w:trPr>
          <w:cantSplit/>
        </w:trPr>
        <w:tc>
          <w:tcPr>
            <w:tcW w:type="dxa" w:w="5256"/>
            <w:vAlign w:val="top"/>
          </w:tcPr>
          <w:p>
            <w:pPr>
              <w:pStyle w:val="TableText"/>
              <w:spacing w:line="245" w:lineRule="auto" w:after="60" w:before="60"/>
            </w:pPr>
            <w:r>
              <w:t>Health and mental health</w:t>
            </w:r>
          </w:p>
        </w:tc>
        <w:tc>
          <w:tcPr>
            <w:tcW w:type="dxa" w:w="1872"/>
            <w:vAlign w:val="top"/>
          </w:tcPr>
          <w:p>
            <w:pPr>
              <w:pStyle w:val="TableText"/>
              <w:spacing w:line="245" w:lineRule="auto" w:after="60" w:before="60"/>
            </w:pPr>
            <w:r>
              <w:t>20%</w:t>
            </w:r>
          </w:p>
        </w:tc>
        <w:tc>
          <w:tcPr>
            <w:tcW w:type="dxa" w:w="2520"/>
            <w:vAlign w:val="top"/>
          </w:tcPr>
          <w:p>
            <w:pPr>
              <w:pStyle w:val="TableText"/>
              <w:spacing w:line="245" w:lineRule="auto" w:after="60" w:before="60"/>
            </w:pPr>
            <w:r>
              <w:t>80.00</w:t>
            </w:r>
          </w:p>
        </w:tc>
      </w:tr>
      <w:tr>
        <w:trPr>
          <w:cantSplit/>
        </w:trPr>
        <w:tc>
          <w:tcPr>
            <w:tcW w:type="dxa" w:w="5256"/>
            <w:vAlign w:val="top"/>
          </w:tcPr>
          <w:p>
            <w:pPr>
              <w:pStyle w:val="TableText"/>
              <w:spacing w:line="245" w:lineRule="auto" w:after="60" w:before="60"/>
            </w:pPr>
            <w:r>
              <w:t>Childhood and learning</w:t>
            </w:r>
          </w:p>
        </w:tc>
        <w:tc>
          <w:tcPr>
            <w:tcW w:type="dxa" w:w="1872"/>
            <w:vAlign w:val="top"/>
          </w:tcPr>
          <w:p>
            <w:pPr>
              <w:pStyle w:val="TableText"/>
              <w:spacing w:line="245" w:lineRule="auto" w:after="60" w:before="60"/>
            </w:pPr>
            <w:r>
              <w:t>10%</w:t>
            </w:r>
          </w:p>
        </w:tc>
        <w:tc>
          <w:tcPr>
            <w:tcW w:type="dxa" w:w="2520"/>
            <w:vAlign w:val="top"/>
          </w:tcPr>
          <w:p>
            <w:pPr>
              <w:pStyle w:val="TableText"/>
              <w:spacing w:line="245" w:lineRule="auto" w:after="60" w:before="60"/>
            </w:pPr>
            <w:r>
              <w:t>40.00</w:t>
            </w:r>
          </w:p>
        </w:tc>
      </w:tr>
      <w:tr>
        <w:trPr>
          <w:cantSplit/>
        </w:trPr>
        <w:tc>
          <w:tcPr>
            <w:tcW w:type="dxa" w:w="5256"/>
            <w:vAlign w:val="top"/>
          </w:tcPr>
          <w:p>
            <w:pPr>
              <w:pStyle w:val="TableText"/>
              <w:spacing w:line="245" w:lineRule="auto" w:after="60" w:before="60"/>
            </w:pPr>
            <w:r>
              <w:t>Community and culture</w:t>
            </w:r>
          </w:p>
        </w:tc>
        <w:tc>
          <w:tcPr>
            <w:tcW w:type="dxa" w:w="1872"/>
            <w:vAlign w:val="top"/>
          </w:tcPr>
          <w:p>
            <w:pPr>
              <w:pStyle w:val="TableText"/>
              <w:spacing w:line="245" w:lineRule="auto" w:after="60" w:before="60"/>
            </w:pPr>
            <w:r>
              <w:t>8%</w:t>
            </w:r>
          </w:p>
        </w:tc>
        <w:tc>
          <w:tcPr>
            <w:tcW w:type="dxa" w:w="2520"/>
            <w:vAlign w:val="top"/>
          </w:tcPr>
          <w:p>
            <w:pPr>
              <w:pStyle w:val="TableText"/>
              <w:spacing w:line="245" w:lineRule="auto" w:after="60" w:before="60"/>
            </w:pPr>
            <w:r>
              <w:t>32.00</w:t>
            </w:r>
          </w:p>
        </w:tc>
      </w:tr>
      <w:tr>
        <w:trPr>
          <w:cantSplit/>
        </w:trPr>
        <w:tc>
          <w:tcPr>
            <w:tcW w:type="dxa" w:w="5256"/>
            <w:vAlign w:val="top"/>
          </w:tcPr>
          <w:p>
            <w:pPr>
              <w:pStyle w:val="TableText"/>
              <w:spacing w:line="245" w:lineRule="auto" w:after="60" w:before="60"/>
            </w:pPr>
            <w:r>
              <w:t>Work and care</w:t>
            </w:r>
          </w:p>
        </w:tc>
        <w:tc>
          <w:tcPr>
            <w:tcW w:type="dxa" w:w="1872"/>
            <w:vAlign w:val="top"/>
          </w:tcPr>
          <w:p>
            <w:pPr>
              <w:pStyle w:val="TableText"/>
              <w:spacing w:line="245" w:lineRule="auto" w:after="60" w:before="60"/>
            </w:pPr>
            <w:r>
              <w:t>10%</w:t>
            </w:r>
          </w:p>
        </w:tc>
        <w:tc>
          <w:tcPr>
            <w:tcW w:type="dxa" w:w="2520"/>
            <w:vAlign w:val="top"/>
          </w:tcPr>
          <w:p>
            <w:pPr>
              <w:pStyle w:val="TableText"/>
              <w:spacing w:line="245" w:lineRule="auto" w:after="60" w:before="60"/>
            </w:pPr>
            <w:r>
              <w:t>40.00</w:t>
            </w:r>
          </w:p>
        </w:tc>
      </w:tr>
      <w:tr>
        <w:trPr>
          <w:cantSplit/>
        </w:trPr>
        <w:tc>
          <w:tcPr>
            <w:tcW w:type="dxa" w:w="5256"/>
            <w:vAlign w:val="top"/>
          </w:tcPr>
          <w:p>
            <w:pPr>
              <w:pStyle w:val="TableText"/>
              <w:spacing w:line="245" w:lineRule="auto" w:after="60" w:before="60"/>
            </w:pPr>
            <w:r>
              <w:t>Places and mobility</w:t>
            </w:r>
          </w:p>
        </w:tc>
        <w:tc>
          <w:tcPr>
            <w:tcW w:type="dxa" w:w="1872"/>
            <w:vAlign w:val="top"/>
          </w:tcPr>
          <w:p>
            <w:pPr>
              <w:pStyle w:val="TableText"/>
              <w:spacing w:line="245" w:lineRule="auto" w:after="60" w:before="60"/>
            </w:pPr>
            <w:r>
              <w:t>12%</w:t>
            </w:r>
          </w:p>
        </w:tc>
        <w:tc>
          <w:tcPr>
            <w:tcW w:type="dxa" w:w="2520"/>
            <w:vAlign w:val="top"/>
          </w:tcPr>
          <w:p>
            <w:pPr>
              <w:pStyle w:val="TableText"/>
              <w:spacing w:line="245" w:lineRule="auto" w:after="60" w:before="60"/>
            </w:pPr>
            <w:r>
              <w:t>48.00</w:t>
            </w:r>
          </w:p>
        </w:tc>
      </w:tr>
      <w:tr>
        <w:trPr>
          <w:cantSplit/>
        </w:trPr>
        <w:tc>
          <w:tcPr>
            <w:tcW w:type="dxa" w:w="5256"/>
            <w:vAlign w:val="top"/>
          </w:tcPr>
          <w:p>
            <w:pPr>
              <w:pStyle w:val="TableText"/>
              <w:spacing w:line="245" w:lineRule="auto" w:after="60" w:before="60"/>
            </w:pPr>
            <w:r>
              <w:t>Environment and resilience</w:t>
            </w:r>
          </w:p>
        </w:tc>
        <w:tc>
          <w:tcPr>
            <w:tcW w:type="dxa" w:w="1872"/>
            <w:vAlign w:val="top"/>
          </w:tcPr>
          <w:p>
            <w:pPr>
              <w:pStyle w:val="TableText"/>
              <w:spacing w:line="245" w:lineRule="auto" w:after="60" w:before="60"/>
            </w:pPr>
            <w:r>
              <w:t>7%</w:t>
            </w:r>
          </w:p>
        </w:tc>
        <w:tc>
          <w:tcPr>
            <w:tcW w:type="dxa" w:w="2520"/>
            <w:vAlign w:val="top"/>
          </w:tcPr>
          <w:p>
            <w:pPr>
              <w:pStyle w:val="TableText"/>
              <w:spacing w:line="245" w:lineRule="auto" w:after="60" w:before="60"/>
            </w:pPr>
            <w:r>
              <w:t>28.00</w:t>
            </w:r>
          </w:p>
        </w:tc>
      </w:tr>
      <w:tr>
        <w:trPr>
          <w:cantSplit/>
        </w:trPr>
        <w:tc>
          <w:tcPr>
            <w:tcW w:type="dxa" w:w="5256"/>
            <w:vAlign w:val="top"/>
          </w:tcPr>
          <w:p>
            <w:pPr>
              <w:pStyle w:val="TableText"/>
              <w:spacing w:line="245" w:lineRule="auto" w:after="60" w:before="60"/>
            </w:pPr>
            <w:r>
              <w:t>Technology safeguards</w:t>
            </w:r>
          </w:p>
        </w:tc>
        <w:tc>
          <w:tcPr>
            <w:tcW w:type="dxa" w:w="1872"/>
            <w:vAlign w:val="top"/>
          </w:tcPr>
          <w:p>
            <w:pPr>
              <w:pStyle w:val="TableText"/>
              <w:spacing w:line="245" w:lineRule="auto" w:after="60" w:before="60"/>
            </w:pPr>
            <w:r>
              <w:t>6%</w:t>
            </w:r>
          </w:p>
        </w:tc>
        <w:tc>
          <w:tcPr>
            <w:tcW w:type="dxa" w:w="2520"/>
            <w:vAlign w:val="top"/>
          </w:tcPr>
          <w:p>
            <w:pPr>
              <w:pStyle w:val="TableText"/>
              <w:spacing w:line="245" w:lineRule="auto" w:after="60" w:before="60"/>
            </w:pPr>
            <w:r>
              <w:t>24.00</w:t>
            </w:r>
          </w:p>
        </w:tc>
      </w:tr>
      <w:tr>
        <w:trPr>
          <w:cantSplit/>
        </w:trPr>
        <w:tc>
          <w:tcPr>
            <w:tcW w:type="dxa" w:w="5256"/>
            <w:vAlign w:val="top"/>
          </w:tcPr>
          <w:p>
            <w:pPr>
              <w:pStyle w:val="TableText"/>
              <w:spacing w:line="245" w:lineRule="auto" w:after="60" w:before="60"/>
            </w:pPr>
            <w:r>
              <w:t>Global cooperation</w:t>
            </w:r>
          </w:p>
        </w:tc>
        <w:tc>
          <w:tcPr>
            <w:tcW w:type="dxa" w:w="1872"/>
            <w:vAlign w:val="top"/>
          </w:tcPr>
          <w:p>
            <w:pPr>
              <w:pStyle w:val="TableText"/>
              <w:spacing w:line="245" w:lineRule="auto" w:after="60" w:before="60"/>
            </w:pPr>
            <w:r>
              <w:t>5%</w:t>
            </w:r>
          </w:p>
        </w:tc>
        <w:tc>
          <w:tcPr>
            <w:tcW w:type="dxa" w:w="2520"/>
            <w:vAlign w:val="top"/>
          </w:tcPr>
          <w:p>
            <w:pPr>
              <w:pStyle w:val="TableText"/>
              <w:spacing w:line="245" w:lineRule="auto" w:after="60" w:before="60"/>
            </w:pPr>
            <w:r>
              <w:t>20.00</w:t>
            </w:r>
          </w:p>
        </w:tc>
      </w:tr>
      <w:tr>
        <w:trPr>
          <w:cantSplit/>
        </w:trPr>
        <w:tc>
          <w:tcPr>
            <w:tcW w:type="dxa" w:w="5256"/>
            <w:vAlign w:val="top"/>
          </w:tcPr>
          <w:p>
            <w:pPr>
              <w:pStyle w:val="TableText"/>
              <w:spacing w:line="245" w:lineRule="auto" w:after="60" w:before="60"/>
            </w:pPr>
            <w:r>
              <w:t>Data and evaluation</w:t>
            </w:r>
          </w:p>
        </w:tc>
        <w:tc>
          <w:tcPr>
            <w:tcW w:type="dxa" w:w="1872"/>
            <w:vAlign w:val="top"/>
          </w:tcPr>
          <w:p>
            <w:pPr>
              <w:pStyle w:val="TableText"/>
              <w:spacing w:line="245" w:lineRule="auto" w:after="60" w:before="60"/>
            </w:pPr>
            <w:r>
              <w:t>4%</w:t>
            </w:r>
          </w:p>
        </w:tc>
        <w:tc>
          <w:tcPr>
            <w:tcW w:type="dxa" w:w="2520"/>
            <w:vAlign w:val="top"/>
          </w:tcPr>
          <w:p>
            <w:pPr>
              <w:pStyle w:val="TableText"/>
              <w:spacing w:line="245" w:lineRule="auto" w:after="60" w:before="60"/>
            </w:pPr>
            <w:r>
              <w:t>16.00</w:t>
            </w:r>
          </w:p>
        </w:tc>
      </w:tr>
      <w:tr>
        <w:trPr>
          <w:cantSplit/>
        </w:trPr>
        <w:tc>
          <w:tcPr>
            <w:tcW w:type="dxa" w:w="5256"/>
            <w:vAlign w:val="top"/>
          </w:tcPr>
          <w:p>
            <w:pPr>
              <w:pStyle w:val="TableText"/>
              <w:spacing w:line="245" w:lineRule="auto" w:after="60" w:before="60"/>
            </w:pPr>
            <w:r>
              <w:t>Administration and accountability</w:t>
            </w:r>
          </w:p>
        </w:tc>
        <w:tc>
          <w:tcPr>
            <w:tcW w:type="dxa" w:w="1872"/>
            <w:vAlign w:val="top"/>
          </w:tcPr>
          <w:p>
            <w:pPr>
              <w:pStyle w:val="TableText"/>
              <w:spacing w:line="245" w:lineRule="auto" w:after="60" w:before="60"/>
            </w:pPr>
            <w:r>
              <w:t>3%</w:t>
            </w:r>
          </w:p>
        </w:tc>
        <w:tc>
          <w:tcPr>
            <w:tcW w:type="dxa" w:w="2520"/>
            <w:vAlign w:val="top"/>
          </w:tcPr>
          <w:p>
            <w:pPr>
              <w:pStyle w:val="TableText"/>
              <w:spacing w:line="245" w:lineRule="auto" w:after="60" w:before="60"/>
            </w:pPr>
            <w:r>
              <w:t>12.00</w:t>
            </w:r>
          </w:p>
        </w:tc>
      </w:tr>
      <w:tr>
        <w:trPr>
          <w:cantSplit/>
        </w:trPr>
        <w:tc>
          <w:tcPr>
            <w:tcW w:type="dxa" w:w="5256"/>
            <w:vAlign w:val="top"/>
          </w:tcPr>
          <w:p>
            <w:pPr>
              <w:pStyle w:val="TableText"/>
              <w:spacing w:line="245" w:lineRule="auto" w:after="60" w:before="60"/>
            </w:pPr>
            <w:r>
              <w:t>Total</w:t>
            </w:r>
          </w:p>
        </w:tc>
        <w:tc>
          <w:tcPr>
            <w:tcW w:type="dxa" w:w="1872"/>
            <w:vAlign w:val="top"/>
          </w:tcPr>
          <w:p>
            <w:pPr>
              <w:pStyle w:val="TableText"/>
              <w:spacing w:line="245" w:lineRule="auto" w:after="60" w:before="60"/>
            </w:pPr>
            <w:r>
              <w:t>100%</w:t>
            </w:r>
          </w:p>
        </w:tc>
        <w:tc>
          <w:tcPr>
            <w:tcW w:type="dxa" w:w="2520"/>
            <w:vAlign w:val="top"/>
          </w:tcPr>
          <w:p>
            <w:pPr>
              <w:pStyle w:val="TableText"/>
              <w:spacing w:line="245" w:lineRule="auto" w:after="60" w:before="60"/>
            </w:pPr>
            <w:r>
              <w:t>400.00</w:t>
            </w:r>
          </w:p>
        </w:tc>
      </w:tr>
    </w:tbl>
    <w:p>
      <w:pPr>
        <w:spacing w:after="20"/>
      </w:pPr>
    </w:p>
    <w:p>
      <w:pPr/>
      <w:r>
        <w:t>The shares apply to each installment before limited lawful transfers. Reserves are inside the allocation. The two-percent interaccount transfer authority does not increase total budget authority. Central administration cannot also be charged in full to each substantive account. Direct technical work may be charged to a substantive account only when properly attributable and not duplicated.</w:t>
      </w:r>
    </w:p>
    <w:p>
      <w:pPr/>
      <w:r>
        <w:t>The annual GAO transfer totals $0.10 billion over ten program years. The Inspector General reserve equals two percent of the $12 billion administration allocation, or $0.24 billion before any legally relevant adjustment. Both are already inside the $400 billion. The overall new Federal staffing ceiling rises from 750 to 1,500 to 2,500 full-time-equivalent positions; the 150-person central Office is included.</w:t>
      </w:r>
    </w:p>
    <w:p>
      <w:bookmarkStart w:id="390" w:name="ANNEX_SECTION_389"/>
      <w:pPr>
        <w:pStyle w:val="Heading2"/>
      </w:pPr>
      <w:r>
        <w:t>D.4. Outlay timing at one, five, ten, and thirty years</w:t>
      </w:r>
      <w:bookmarkEnd w:id="390"/>
    </w:p>
    <w:p>
      <w:pPr/>
      <w:r>
        <w:t>The baseline timing assumption spends each post-advance annual cohort at 35 percent in its first year, 40 percent in its second, 20 percent in its third, and 5 percent in its fourth. The faster illustration uses 50, 35, and 15 percent. The slower illustration uses 20, 35, 30, and 15 percent. These are analytical assumptions, not estimated probabilities or statutory deadlines. The lower-absorption illustration spends 85 percent of post-advance authority on the slower pattern, with the remaining amount unspent.</w:t>
      </w:r>
    </w:p>
    <w:tbl>
      <w:tblPr>
        <w:tblW w:type="auto" w:w="0"/>
        <w:jc w:val="center"/>
        <w:tblLayout w:type="fixed"/>
        <w:tblLook w:firstColumn="1" w:firstRow="1" w:lastColumn="0" w:lastRow="0" w:noHBand="0" w:noVBand="1" w:val="04A0"/>
        <w:tblBorders>
          <w:top w:val="single" w:sz="3" w:color="C8CDD2"/>
          <w:bottom w:val="single" w:sz="3" w:color="C8CDD2"/>
          <w:insideH w:val="single" w:sz="3" w:color="C8CDD2"/>
        </w:tblBorders>
      </w:tblPr>
      <w:tblGrid>
        <w:gridCol w:w="3888"/>
        <w:gridCol w:w="1440"/>
        <w:gridCol w:w="1440"/>
        <w:gridCol w:w="1440"/>
        <w:gridCol w:w="1440"/>
      </w:tblGrid>
      <w:tr>
        <w:trPr>
          <w:cantSplit/>
          <w:tblHeader/>
        </w:trPr>
        <w:tc>
          <w:tcPr>
            <w:tcW w:type="dxa" w:w="3888"/>
            <w:vAlign w:val="top"/>
            <w:shd w:fill="182C3D"/>
          </w:tcPr>
          <w:p>
            <w:pPr>
              <w:pStyle w:val="TableText"/>
              <w:spacing w:line="245" w:lineRule="auto" w:after="60" w:before="60"/>
            </w:pPr>
            <w:r>
              <w:rPr>
                <w:b/>
                <w:color w:val="FFFFFF"/>
              </w:rPr>
              <w:t>Cumulative measure</w:t>
            </w:r>
          </w:p>
        </w:tc>
        <w:tc>
          <w:tcPr>
            <w:tcW w:type="dxa" w:w="1440"/>
            <w:vAlign w:val="top"/>
            <w:shd w:fill="182C3D"/>
          </w:tcPr>
          <w:p>
            <w:pPr>
              <w:pStyle w:val="TableText"/>
              <w:spacing w:line="245" w:lineRule="auto" w:after="60" w:before="60"/>
              <w:jc w:val="right"/>
            </w:pPr>
            <w:r>
              <w:rPr>
                <w:b/>
                <w:color w:val="FFFFFF"/>
              </w:rPr>
              <w:t>Year 1</w:t>
            </w:r>
          </w:p>
        </w:tc>
        <w:tc>
          <w:tcPr>
            <w:tcW w:type="dxa" w:w="1440"/>
            <w:vAlign w:val="top"/>
            <w:shd w:fill="182C3D"/>
          </w:tcPr>
          <w:p>
            <w:pPr>
              <w:pStyle w:val="TableText"/>
              <w:spacing w:line="245" w:lineRule="auto" w:after="60" w:before="60"/>
              <w:jc w:val="right"/>
            </w:pPr>
            <w:r>
              <w:rPr>
                <w:b/>
                <w:color w:val="FFFFFF"/>
              </w:rPr>
              <w:t>Year 5</w:t>
            </w:r>
          </w:p>
        </w:tc>
        <w:tc>
          <w:tcPr>
            <w:tcW w:type="dxa" w:w="1440"/>
            <w:vAlign w:val="top"/>
            <w:shd w:fill="182C3D"/>
          </w:tcPr>
          <w:p>
            <w:pPr>
              <w:pStyle w:val="TableText"/>
              <w:spacing w:line="245" w:lineRule="auto" w:after="60" w:before="60"/>
              <w:jc w:val="right"/>
            </w:pPr>
            <w:r>
              <w:rPr>
                <w:b/>
                <w:color w:val="FFFFFF"/>
              </w:rPr>
              <w:t>Year 10</w:t>
            </w:r>
          </w:p>
        </w:tc>
        <w:tc>
          <w:tcPr>
            <w:tcW w:type="dxa" w:w="1440"/>
            <w:vAlign w:val="top"/>
            <w:shd w:fill="182C3D"/>
          </w:tcPr>
          <w:p>
            <w:pPr>
              <w:pStyle w:val="TableText"/>
              <w:spacing w:line="245" w:lineRule="auto" w:after="60" w:before="60"/>
              <w:jc w:val="right"/>
            </w:pPr>
            <w:r>
              <w:rPr>
                <w:b/>
                <w:color w:val="FFFFFF"/>
              </w:rPr>
              <w:t>Year 30</w:t>
            </w:r>
          </w:p>
        </w:tc>
      </w:tr>
      <w:tr>
        <w:trPr>
          <w:cantSplit/>
        </w:trPr>
        <w:tc>
          <w:tcPr>
            <w:tcW w:type="dxa" w:w="3888"/>
            <w:vAlign w:val="top"/>
          </w:tcPr>
          <w:p>
            <w:pPr>
              <w:pStyle w:val="TableText"/>
              <w:spacing w:line="245" w:lineRule="auto" w:after="60" w:before="60"/>
            </w:pPr>
            <w:r>
              <w:t>Statutory budget authority</w:t>
            </w:r>
          </w:p>
        </w:tc>
        <w:tc>
          <w:tcPr>
            <w:tcW w:type="dxa" w:w="1440"/>
            <w:vAlign w:val="top"/>
          </w:tcPr>
          <w:p>
            <w:pPr>
              <w:pStyle w:val="TableText"/>
              <w:spacing w:line="245" w:lineRule="auto" w:after="60" w:before="60"/>
              <w:jc w:val="right"/>
            </w:pPr>
            <w:r>
              <w:t>10.00</w:t>
            </w:r>
          </w:p>
        </w:tc>
        <w:tc>
          <w:tcPr>
            <w:tcW w:type="dxa" w:w="1440"/>
            <w:vAlign w:val="top"/>
          </w:tcPr>
          <w:p>
            <w:pPr>
              <w:pStyle w:val="TableText"/>
              <w:spacing w:line="245" w:lineRule="auto" w:after="60" w:before="60"/>
              <w:jc w:val="right"/>
            </w:pPr>
            <w:r>
              <w:t>150.00</w:t>
            </w:r>
          </w:p>
        </w:tc>
        <w:tc>
          <w:tcPr>
            <w:tcW w:type="dxa" w:w="1440"/>
            <w:vAlign w:val="top"/>
          </w:tcPr>
          <w:p>
            <w:pPr>
              <w:pStyle w:val="TableText"/>
              <w:spacing w:line="245" w:lineRule="auto" w:after="60" w:before="60"/>
              <w:jc w:val="right"/>
            </w:pPr>
            <w:r>
              <w:t>400.00</w:t>
            </w:r>
          </w:p>
        </w:tc>
        <w:tc>
          <w:tcPr>
            <w:tcW w:type="dxa" w:w="1440"/>
            <w:vAlign w:val="top"/>
          </w:tcPr>
          <w:p>
            <w:pPr>
              <w:pStyle w:val="TableText"/>
              <w:spacing w:line="245" w:lineRule="auto" w:after="60" w:before="60"/>
              <w:jc w:val="right"/>
            </w:pPr>
            <w:r>
              <w:t>400.00</w:t>
            </w:r>
          </w:p>
        </w:tc>
      </w:tr>
      <w:tr>
        <w:trPr>
          <w:cantSplit/>
        </w:trPr>
        <w:tc>
          <w:tcPr>
            <w:tcW w:type="dxa" w:w="3888"/>
            <w:vAlign w:val="top"/>
          </w:tcPr>
          <w:p>
            <w:pPr>
              <w:pStyle w:val="TableText"/>
              <w:spacing w:line="245" w:lineRule="auto" w:after="60" w:before="60"/>
            </w:pPr>
            <w:r>
              <w:t>Faster outlay illustration</w:t>
            </w:r>
          </w:p>
        </w:tc>
        <w:tc>
          <w:tcPr>
            <w:tcW w:type="dxa" w:w="1440"/>
            <w:vAlign w:val="top"/>
          </w:tcPr>
          <w:p>
            <w:pPr>
              <w:pStyle w:val="TableText"/>
              <w:spacing w:line="245" w:lineRule="auto" w:after="60" w:before="60"/>
              <w:jc w:val="right"/>
            </w:pPr>
            <w:r>
              <w:t>5.50</w:t>
            </w:r>
          </w:p>
        </w:tc>
        <w:tc>
          <w:tcPr>
            <w:tcW w:type="dxa" w:w="1440"/>
            <w:vAlign w:val="top"/>
          </w:tcPr>
          <w:p>
            <w:pPr>
              <w:pStyle w:val="TableText"/>
              <w:spacing w:line="245" w:lineRule="auto" w:after="60" w:before="60"/>
              <w:jc w:val="right"/>
            </w:pPr>
            <w:r>
              <w:t>119.00</w:t>
            </w:r>
          </w:p>
        </w:tc>
        <w:tc>
          <w:tcPr>
            <w:tcW w:type="dxa" w:w="1440"/>
            <w:vAlign w:val="top"/>
          </w:tcPr>
          <w:p>
            <w:pPr>
              <w:pStyle w:val="TableText"/>
              <w:spacing w:line="245" w:lineRule="auto" w:after="60" w:before="60"/>
              <w:jc w:val="right"/>
            </w:pPr>
            <w:r>
              <w:t>367.50</w:t>
            </w:r>
          </w:p>
        </w:tc>
        <w:tc>
          <w:tcPr>
            <w:tcW w:type="dxa" w:w="1440"/>
            <w:vAlign w:val="top"/>
          </w:tcPr>
          <w:p>
            <w:pPr>
              <w:pStyle w:val="TableText"/>
              <w:spacing w:line="245" w:lineRule="auto" w:after="60" w:before="60"/>
              <w:jc w:val="right"/>
            </w:pPr>
            <w:r>
              <w:t>400.00</w:t>
            </w:r>
          </w:p>
        </w:tc>
      </w:tr>
      <w:tr>
        <w:trPr>
          <w:cantSplit/>
        </w:trPr>
        <w:tc>
          <w:tcPr>
            <w:tcW w:type="dxa" w:w="3888"/>
            <w:vAlign w:val="top"/>
          </w:tcPr>
          <w:p>
            <w:pPr>
              <w:pStyle w:val="TableText"/>
              <w:spacing w:line="245" w:lineRule="auto" w:after="60" w:before="60"/>
            </w:pPr>
            <w:r>
              <w:t>Baseline outlay illustration</w:t>
            </w:r>
          </w:p>
        </w:tc>
        <w:tc>
          <w:tcPr>
            <w:tcW w:type="dxa" w:w="1440"/>
            <w:vAlign w:val="top"/>
          </w:tcPr>
          <w:p>
            <w:pPr>
              <w:pStyle w:val="TableText"/>
              <w:spacing w:line="245" w:lineRule="auto" w:after="60" w:before="60"/>
              <w:jc w:val="right"/>
            </w:pPr>
            <w:r>
              <w:t>4.15</w:t>
            </w:r>
          </w:p>
        </w:tc>
        <w:tc>
          <w:tcPr>
            <w:tcW w:type="dxa" w:w="1440"/>
            <w:vAlign w:val="top"/>
          </w:tcPr>
          <w:p>
            <w:pPr>
              <w:pStyle w:val="TableText"/>
              <w:spacing w:line="245" w:lineRule="auto" w:after="60" w:before="60"/>
              <w:jc w:val="right"/>
            </w:pPr>
            <w:r>
              <w:t>106.00</w:t>
            </w:r>
          </w:p>
        </w:tc>
        <w:tc>
          <w:tcPr>
            <w:tcW w:type="dxa" w:w="1440"/>
            <w:vAlign w:val="top"/>
          </w:tcPr>
          <w:p>
            <w:pPr>
              <w:pStyle w:val="TableText"/>
              <w:spacing w:line="245" w:lineRule="auto" w:after="60" w:before="60"/>
              <w:jc w:val="right"/>
            </w:pPr>
            <w:r>
              <w:t>352.50</w:t>
            </w:r>
          </w:p>
        </w:tc>
        <w:tc>
          <w:tcPr>
            <w:tcW w:type="dxa" w:w="1440"/>
            <w:vAlign w:val="top"/>
          </w:tcPr>
          <w:p>
            <w:pPr>
              <w:pStyle w:val="TableText"/>
              <w:spacing w:line="245" w:lineRule="auto" w:after="60" w:before="60"/>
              <w:jc w:val="right"/>
            </w:pPr>
            <w:r>
              <w:t>400.00</w:t>
            </w:r>
          </w:p>
        </w:tc>
      </w:tr>
      <w:tr>
        <w:trPr>
          <w:cantSplit/>
        </w:trPr>
        <w:tc>
          <w:tcPr>
            <w:tcW w:type="dxa" w:w="3888"/>
            <w:vAlign w:val="top"/>
          </w:tcPr>
          <w:p>
            <w:pPr>
              <w:pStyle w:val="TableText"/>
              <w:spacing w:line="245" w:lineRule="auto" w:after="60" w:before="60"/>
            </w:pPr>
            <w:r>
              <w:t>Slower outlay illustration</w:t>
            </w:r>
          </w:p>
        </w:tc>
        <w:tc>
          <w:tcPr>
            <w:tcW w:type="dxa" w:w="1440"/>
            <w:vAlign w:val="top"/>
          </w:tcPr>
          <w:p>
            <w:pPr>
              <w:pStyle w:val="TableText"/>
              <w:spacing w:line="245" w:lineRule="auto" w:after="60" w:before="60"/>
              <w:jc w:val="right"/>
            </w:pPr>
            <w:r>
              <w:t>2.80</w:t>
            </w:r>
          </w:p>
        </w:tc>
        <w:tc>
          <w:tcPr>
            <w:tcW w:type="dxa" w:w="1440"/>
            <w:vAlign w:val="top"/>
          </w:tcPr>
          <w:p>
            <w:pPr>
              <w:pStyle w:val="TableText"/>
              <w:spacing w:line="245" w:lineRule="auto" w:after="60" w:before="60"/>
              <w:jc w:val="right"/>
            </w:pPr>
            <w:r>
              <w:t>87.50</w:t>
            </w:r>
          </w:p>
        </w:tc>
        <w:tc>
          <w:tcPr>
            <w:tcW w:type="dxa" w:w="1440"/>
            <w:vAlign w:val="top"/>
          </w:tcPr>
          <w:p>
            <w:pPr>
              <w:pStyle w:val="TableText"/>
              <w:spacing w:line="245" w:lineRule="auto" w:after="60" w:before="60"/>
              <w:jc w:val="right"/>
            </w:pPr>
            <w:r>
              <w:t>330.00</w:t>
            </w:r>
          </w:p>
        </w:tc>
        <w:tc>
          <w:tcPr>
            <w:tcW w:type="dxa" w:w="1440"/>
            <w:vAlign w:val="top"/>
          </w:tcPr>
          <w:p>
            <w:pPr>
              <w:pStyle w:val="TableText"/>
              <w:spacing w:line="245" w:lineRule="auto" w:after="60" w:before="60"/>
              <w:jc w:val="right"/>
            </w:pPr>
            <w:r>
              <w:t>400.00</w:t>
            </w:r>
          </w:p>
        </w:tc>
      </w:tr>
      <w:tr>
        <w:trPr>
          <w:cantSplit/>
        </w:trPr>
        <w:tc>
          <w:tcPr>
            <w:tcW w:type="dxa" w:w="3888"/>
            <w:vAlign w:val="top"/>
          </w:tcPr>
          <w:p>
            <w:pPr>
              <w:pStyle w:val="TableText"/>
              <w:spacing w:line="245" w:lineRule="auto" w:after="60" w:before="60"/>
            </w:pPr>
            <w:r>
              <w:t>Slower, 85% absorption</w:t>
            </w:r>
          </w:p>
        </w:tc>
        <w:tc>
          <w:tcPr>
            <w:tcW w:type="dxa" w:w="1440"/>
            <w:vAlign w:val="top"/>
          </w:tcPr>
          <w:p>
            <w:pPr>
              <w:pStyle w:val="TableText"/>
              <w:spacing w:line="245" w:lineRule="auto" w:after="60" w:before="60"/>
              <w:jc w:val="right"/>
            </w:pPr>
            <w:r>
              <w:t>2.53</w:t>
            </w:r>
          </w:p>
        </w:tc>
        <w:tc>
          <w:tcPr>
            <w:tcW w:type="dxa" w:w="1440"/>
            <w:vAlign w:val="top"/>
          </w:tcPr>
          <w:p>
            <w:pPr>
              <w:pStyle w:val="TableText"/>
              <w:spacing w:line="245" w:lineRule="auto" w:after="60" w:before="60"/>
              <w:jc w:val="right"/>
            </w:pPr>
            <w:r>
              <w:t>74.53</w:t>
            </w:r>
          </w:p>
        </w:tc>
        <w:tc>
          <w:tcPr>
            <w:tcW w:type="dxa" w:w="1440"/>
            <w:vAlign w:val="top"/>
          </w:tcPr>
          <w:p>
            <w:pPr>
              <w:pStyle w:val="TableText"/>
              <w:spacing w:line="245" w:lineRule="auto" w:after="60" w:before="60"/>
              <w:jc w:val="right"/>
            </w:pPr>
            <w:r>
              <w:t>280.65</w:t>
            </w:r>
          </w:p>
        </w:tc>
        <w:tc>
          <w:tcPr>
            <w:tcW w:type="dxa" w:w="1440"/>
            <w:vAlign w:val="top"/>
          </w:tcPr>
          <w:p>
            <w:pPr>
              <w:pStyle w:val="TableText"/>
              <w:spacing w:line="245" w:lineRule="auto" w:after="60" w:before="60"/>
              <w:jc w:val="right"/>
            </w:pPr>
            <w:r>
              <w:t>340.15</w:t>
            </w:r>
          </w:p>
        </w:tc>
      </w:tr>
    </w:tbl>
    <w:p>
      <w:pPr>
        <w:spacing w:after="20"/>
      </w:pPr>
    </w:p>
    <w:p>
      <w:pPr/>
      <w:r>
        <w:t>Under the baseline illustration all original primary outlays are completed by program year 13. That is not a legal assurance: later obligations within statutory availability, disputes, and liquidation can move actual payments. Unspent authority is not a social benefit, and rapid spending is not evidence of effective delivery. The reasons for underexecution must be distinguished from genuine cost reduction.</w:t>
      </w:r>
    </w:p>
    <w:p>
      <w:pPr/>
      <w:r>
        <w:t>No automatic continuation is enacted for years 11 through 30. A hypothetical later appropriation of $50 billion annually for those twenty years would add $1,000 billion of budget authority, producing $1,400 billion in combined authority. That hypothetical is not part of this bill and is excluded from every baseline table here. Continuing permanent duties may require future administrative appropriations even if grant programs are not renewed.</w:t>
      </w:r>
    </w:p>
    <w:p>
      <w:bookmarkStart w:id="391" w:name="ANNEX_SECTION_390"/>
      <w:pPr>
        <w:pStyle w:val="Heading2"/>
      </w:pPr>
      <w:r>
        <w:t>D.5. Debt-service sensitivity</w:t>
      </w:r>
      <w:bookmarkEnd w:id="391"/>
    </w:p>
    <w:p>
      <w:pPr/>
      <w:r>
        <w:t>The following illustration assumes primary outlays are financed with additional borrowing and that interest is itself financed. The simplified recurrence is: annual interest equals the assumed rate multiplied by opening debt plus one-half of that year's primary outlay; closing debt equals opening debt plus primary outlay plus interest. Opening debt for program year 1 is the $1 billion assumed advance. No interest is assigned to the brief pre-program-year interval. Rates of 3, 4, and 5 percent are assumptions, not forecasts of Treasury rates.</w:t>
      </w:r>
    </w:p>
    <w:tbl>
      <w:tblPr>
        <w:tblW w:type="auto" w:w="0"/>
        <w:jc w:val="center"/>
        <w:tblLayout w:type="fixed"/>
        <w:tblLook w:firstColumn="1" w:firstRow="1" w:lastColumn="0" w:lastRow="0" w:noHBand="0" w:noVBand="1" w:val="04A0"/>
        <w:tblBorders>
          <w:top w:val="single" w:sz="3" w:color="C8CDD2"/>
          <w:bottom w:val="single" w:sz="3" w:color="C8CDD2"/>
          <w:insideH w:val="single" w:sz="3" w:color="C8CDD2"/>
        </w:tblBorders>
      </w:tblPr>
      <w:tblGrid>
        <w:gridCol w:w="3888"/>
        <w:gridCol w:w="1440"/>
        <w:gridCol w:w="1440"/>
        <w:gridCol w:w="1440"/>
        <w:gridCol w:w="1440"/>
      </w:tblGrid>
      <w:tr>
        <w:trPr>
          <w:cantSplit/>
          <w:tblHeader/>
        </w:trPr>
        <w:tc>
          <w:tcPr>
            <w:tcW w:type="dxa" w:w="3888"/>
            <w:vAlign w:val="top"/>
            <w:shd w:fill="182C3D"/>
          </w:tcPr>
          <w:p>
            <w:pPr>
              <w:pStyle w:val="TableText"/>
              <w:spacing w:line="245" w:lineRule="auto" w:after="60" w:before="60"/>
            </w:pPr>
            <w:r>
              <w:rPr>
                <w:b/>
                <w:color w:val="FFFFFF"/>
              </w:rPr>
              <w:t>Cumulative interest only</w:t>
            </w:r>
          </w:p>
        </w:tc>
        <w:tc>
          <w:tcPr>
            <w:tcW w:type="dxa" w:w="1440"/>
            <w:vAlign w:val="top"/>
            <w:shd w:fill="182C3D"/>
          </w:tcPr>
          <w:p>
            <w:pPr>
              <w:pStyle w:val="TableText"/>
              <w:spacing w:line="245" w:lineRule="auto" w:after="60" w:before="60"/>
              <w:jc w:val="right"/>
            </w:pPr>
            <w:r>
              <w:rPr>
                <w:b/>
                <w:color w:val="FFFFFF"/>
              </w:rPr>
              <w:t>Year 1</w:t>
            </w:r>
          </w:p>
        </w:tc>
        <w:tc>
          <w:tcPr>
            <w:tcW w:type="dxa" w:w="1440"/>
            <w:vAlign w:val="top"/>
            <w:shd w:fill="182C3D"/>
          </w:tcPr>
          <w:p>
            <w:pPr>
              <w:pStyle w:val="TableText"/>
              <w:spacing w:line="245" w:lineRule="auto" w:after="60" w:before="60"/>
              <w:jc w:val="right"/>
            </w:pPr>
            <w:r>
              <w:rPr>
                <w:b/>
                <w:color w:val="FFFFFF"/>
              </w:rPr>
              <w:t>Year 5</w:t>
            </w:r>
          </w:p>
        </w:tc>
        <w:tc>
          <w:tcPr>
            <w:tcW w:type="dxa" w:w="1440"/>
            <w:vAlign w:val="top"/>
            <w:shd w:fill="182C3D"/>
          </w:tcPr>
          <w:p>
            <w:pPr>
              <w:pStyle w:val="TableText"/>
              <w:spacing w:line="245" w:lineRule="auto" w:after="60" w:before="60"/>
              <w:jc w:val="right"/>
            </w:pPr>
            <w:r>
              <w:rPr>
                <w:b/>
                <w:color w:val="FFFFFF"/>
              </w:rPr>
              <w:t>Year 10</w:t>
            </w:r>
          </w:p>
        </w:tc>
        <w:tc>
          <w:tcPr>
            <w:tcW w:type="dxa" w:w="1440"/>
            <w:vAlign w:val="top"/>
            <w:shd w:fill="182C3D"/>
          </w:tcPr>
          <w:p>
            <w:pPr>
              <w:pStyle w:val="TableText"/>
              <w:spacing w:line="245" w:lineRule="auto" w:after="60" w:before="60"/>
              <w:jc w:val="right"/>
            </w:pPr>
            <w:r>
              <w:rPr>
                <w:b/>
                <w:color w:val="FFFFFF"/>
              </w:rPr>
              <w:t>Year 30</w:t>
            </w:r>
          </w:p>
        </w:tc>
      </w:tr>
      <w:tr>
        <w:trPr>
          <w:cantSplit/>
        </w:trPr>
        <w:tc>
          <w:tcPr>
            <w:tcW w:type="dxa" w:w="3888"/>
            <w:vAlign w:val="top"/>
          </w:tcPr>
          <w:p>
            <w:pPr>
              <w:pStyle w:val="TableText"/>
              <w:spacing w:line="245" w:lineRule="auto" w:after="60" w:before="60"/>
            </w:pPr>
            <w:r>
              <w:t>3% assumed rate</w:t>
            </w:r>
          </w:p>
        </w:tc>
        <w:tc>
          <w:tcPr>
            <w:tcW w:type="dxa" w:w="1440"/>
            <w:vAlign w:val="top"/>
          </w:tcPr>
          <w:p>
            <w:pPr>
              <w:pStyle w:val="TableText"/>
              <w:spacing w:line="245" w:lineRule="auto" w:after="60" w:before="60"/>
              <w:jc w:val="right"/>
            </w:pPr>
            <w:r>
              <w:t>0.08</w:t>
            </w:r>
          </w:p>
        </w:tc>
        <w:tc>
          <w:tcPr>
            <w:tcW w:type="dxa" w:w="1440"/>
            <w:vAlign w:val="top"/>
          </w:tcPr>
          <w:p>
            <w:pPr>
              <w:pStyle w:val="TableText"/>
              <w:spacing w:line="245" w:lineRule="auto" w:after="60" w:before="60"/>
              <w:jc w:val="right"/>
            </w:pPr>
            <w:r>
              <w:t>5.32</w:t>
            </w:r>
          </w:p>
        </w:tc>
        <w:tc>
          <w:tcPr>
            <w:tcW w:type="dxa" w:w="1440"/>
            <w:vAlign w:val="top"/>
          </w:tcPr>
          <w:p>
            <w:pPr>
              <w:pStyle w:val="TableText"/>
              <w:spacing w:line="245" w:lineRule="auto" w:after="60" w:before="60"/>
              <w:jc w:val="right"/>
            </w:pPr>
            <w:r>
              <w:t>42.00</w:t>
            </w:r>
          </w:p>
        </w:tc>
        <w:tc>
          <w:tcPr>
            <w:tcW w:type="dxa" w:w="1440"/>
            <w:vAlign w:val="top"/>
          </w:tcPr>
          <w:p>
            <w:pPr>
              <w:pStyle w:val="TableText"/>
              <w:spacing w:line="245" w:lineRule="auto" w:after="60" w:before="60"/>
              <w:jc w:val="right"/>
            </w:pPr>
            <w:r>
              <w:t>396.15</w:t>
            </w:r>
          </w:p>
        </w:tc>
      </w:tr>
      <w:tr>
        <w:trPr>
          <w:cantSplit/>
        </w:trPr>
        <w:tc>
          <w:tcPr>
            <w:tcW w:type="dxa" w:w="3888"/>
            <w:vAlign w:val="top"/>
          </w:tcPr>
          <w:p>
            <w:pPr>
              <w:pStyle w:val="TableText"/>
              <w:spacing w:line="245" w:lineRule="auto" w:after="60" w:before="60"/>
            </w:pPr>
            <w:r>
              <w:t>4% assumed rate</w:t>
            </w:r>
          </w:p>
        </w:tc>
        <w:tc>
          <w:tcPr>
            <w:tcW w:type="dxa" w:w="1440"/>
            <w:vAlign w:val="top"/>
          </w:tcPr>
          <w:p>
            <w:pPr>
              <w:pStyle w:val="TableText"/>
              <w:spacing w:line="245" w:lineRule="auto" w:after="60" w:before="60"/>
              <w:jc w:val="right"/>
            </w:pPr>
            <w:r>
              <w:t>0.10</w:t>
            </w:r>
          </w:p>
        </w:tc>
        <w:tc>
          <w:tcPr>
            <w:tcW w:type="dxa" w:w="1440"/>
            <w:vAlign w:val="top"/>
          </w:tcPr>
          <w:p>
            <w:pPr>
              <w:pStyle w:val="TableText"/>
              <w:spacing w:line="245" w:lineRule="auto" w:after="60" w:before="60"/>
              <w:jc w:val="right"/>
            </w:pPr>
            <w:r>
              <w:t>7.14</w:t>
            </w:r>
          </w:p>
        </w:tc>
        <w:tc>
          <w:tcPr>
            <w:tcW w:type="dxa" w:w="1440"/>
            <w:vAlign w:val="top"/>
          </w:tcPr>
          <w:p>
            <w:pPr>
              <w:pStyle w:val="TableText"/>
              <w:spacing w:line="245" w:lineRule="auto" w:after="60" w:before="60"/>
              <w:jc w:val="right"/>
            </w:pPr>
            <w:r>
              <w:t>57.24</w:t>
            </w:r>
          </w:p>
        </w:tc>
        <w:tc>
          <w:tcPr>
            <w:tcW w:type="dxa" w:w="1440"/>
            <w:vAlign w:val="top"/>
          </w:tcPr>
          <w:p>
            <w:pPr>
              <w:pStyle w:val="TableText"/>
              <w:spacing w:line="245" w:lineRule="auto" w:after="60" w:before="60"/>
              <w:jc w:val="right"/>
            </w:pPr>
            <w:r>
              <w:t>598.42</w:t>
            </w:r>
          </w:p>
        </w:tc>
      </w:tr>
      <w:tr>
        <w:trPr>
          <w:cantSplit/>
        </w:trPr>
        <w:tc>
          <w:tcPr>
            <w:tcW w:type="dxa" w:w="3888"/>
            <w:vAlign w:val="top"/>
          </w:tcPr>
          <w:p>
            <w:pPr>
              <w:pStyle w:val="TableText"/>
              <w:spacing w:line="245" w:lineRule="auto" w:after="60" w:before="60"/>
            </w:pPr>
            <w:r>
              <w:t>5% assumed rate</w:t>
            </w:r>
          </w:p>
        </w:tc>
        <w:tc>
          <w:tcPr>
            <w:tcW w:type="dxa" w:w="1440"/>
            <w:vAlign w:val="top"/>
          </w:tcPr>
          <w:p>
            <w:pPr>
              <w:pStyle w:val="TableText"/>
              <w:spacing w:line="245" w:lineRule="auto" w:after="60" w:before="60"/>
              <w:jc w:val="right"/>
            </w:pPr>
            <w:r>
              <w:t>0.13</w:t>
            </w:r>
          </w:p>
        </w:tc>
        <w:tc>
          <w:tcPr>
            <w:tcW w:type="dxa" w:w="1440"/>
            <w:vAlign w:val="top"/>
          </w:tcPr>
          <w:p>
            <w:pPr>
              <w:pStyle w:val="TableText"/>
              <w:spacing w:line="245" w:lineRule="auto" w:after="60" w:before="60"/>
              <w:jc w:val="right"/>
            </w:pPr>
            <w:r>
              <w:t>9.00</w:t>
            </w:r>
          </w:p>
        </w:tc>
        <w:tc>
          <w:tcPr>
            <w:tcW w:type="dxa" w:w="1440"/>
            <w:vAlign w:val="top"/>
          </w:tcPr>
          <w:p>
            <w:pPr>
              <w:pStyle w:val="TableText"/>
              <w:spacing w:line="245" w:lineRule="auto" w:after="60" w:before="60"/>
              <w:jc w:val="right"/>
            </w:pPr>
            <w:r>
              <w:t>73.13</w:t>
            </w:r>
          </w:p>
        </w:tc>
        <w:tc>
          <w:tcPr>
            <w:tcW w:type="dxa" w:w="1440"/>
            <w:vAlign w:val="top"/>
          </w:tcPr>
          <w:p>
            <w:pPr>
              <w:pStyle w:val="TableText"/>
              <w:spacing w:line="245" w:lineRule="auto" w:after="60" w:before="60"/>
              <w:jc w:val="right"/>
            </w:pPr>
            <w:r>
              <w:t>850.22</w:t>
            </w:r>
          </w:p>
        </w:tc>
      </w:tr>
    </w:tbl>
    <w:p>
      <w:pPr>
        <w:spacing w:after="20"/>
      </w:pPr>
    </w:p>
    <w:p>
      <w:pPr/>
      <w:r>
        <w:t xml:space="preserve">These amounts are outside the $400 billion program appropriation. They are not an official debt-service score and omit macroeconomic feedback, tax effects, changing maturities, and rate responses. The financing burden should not be described as zero simply because interest is paid through other federal accounts. CBO explains that conventional legislative estimates generally present direct spending separately from debt-service effects, which may be provided in additional analysis. </w:t>
      </w:r>
      <w:hyperlink w:anchor="R58" w:history="1">
        <w:r>
          <w:rPr>
            <w:rFonts w:ascii="Liberation Serif" w:hAnsi="Liberation Serif"/>
            <w:color w:val="254F72"/>
          </w:rPr>
          <w:t>[R58]</w:t>
        </w:r>
      </w:hyperlink>
      <w:r/>
    </w:p>
    <w:p>
      <w:bookmarkStart w:id="392" w:name="ANNEX_SECTION_391"/>
      <w:pPr>
        <w:pStyle w:val="Heading2"/>
      </w:pPr>
      <w:r>
        <w:t>D.6. Purchasing power, unit costs, and delivery capacity</w:t>
      </w:r>
      <w:bookmarkEnd w:id="392"/>
    </w:p>
    <w:p>
      <w:pPr/>
      <w:r>
        <w:t>Using an assumed annual price increase of 2.5 percent, the fixed installment schedule has approximately $350.95 billion in program-year-1 purchasing-power units. This is a deflator illustration, not an inflation forecast or a statement in constant 2026 dollars. The actual first program year depends on enactment. The statute does not index appropriations automatically.</w:t>
      </w:r>
    </w:p>
    <w:p>
      <w:pPr/>
      <w:r>
        <w:t>If unit costs are 25 percent above a planning baseline and scope is held constant, a fixed budget purchases approximately 80 percent of the initially planned volume. If unit costs are 20 percent below that baseline, it can purchase approximately 125 percent, subject to capacity and demand. These ratios follow from dividing the fixed budget by the assumed unit-cost multiplier. They do not establish actual project costs or a national service target.</w:t>
      </w:r>
    </w:p>
    <w:p>
      <w:pPr/>
      <w:r>
        <w:t>At the full 2,500-position ceiling, an illustrative $250,000 annual fully loaded cost per position would equal $0.625 billion annually. This is not a salary quotation or a finding that all positions cost the same. It excludes separately procured systems, facilities, and contractors unless included in the chosen loaded-cost definition. The central Office's 150 positions are not added again.</w:t>
      </w:r>
    </w:p>
    <w:p>
      <w:pPr/>
      <w:r>
        <w:t>Capital awards require project-level estimates for land, acquisition, planning, environmental review, utilities, construction, access, insurance, operations, repairs, and replacement. Twenty-year public-use obligations can extend beyond ten years of federal installments. Recipients must identify lawful future operating resources; an anticipated future federal grant is not secured finance.</w:t>
      </w:r>
    </w:p>
    <w:p>
      <w:bookmarkStart w:id="393" w:name="ANNEX_SECTION_392"/>
      <w:pPr>
        <w:pStyle w:val="Heading2"/>
      </w:pPr>
      <w:r>
        <w:t>D.7. Private-sector costs and distribution</w:t>
      </w:r>
      <w:bookmarkEnd w:id="393"/>
    </w:p>
    <w:p>
      <w:pPr/>
      <w:r>
        <w:t>The private labor and technology duties are not fully funded grants to regulated entities. Employer costs may include leave pay, schedule premiums, replacement coverage, payroll changes, training, and dispute administration. Technology costs may include data redesign, notices, security, validation, records, independent assessment, and meaningful human review. Some entities already perform relevant functions; incremental cost depends on the baseline, not gross expenditure alone.</w:t>
      </w:r>
    </w:p>
    <w:p>
      <w:pPr/>
      <w:r>
        <w:t>For illustration only, take one million newly covered employees who otherwise lack equivalent leave. Paid hours equal 56 multiplied by an assumed utilization fraction. A lower-cost calculation using 25 percent utilization, $20 hourly pay, and a 1.2 loading factor yields $0.336 billion annually. A central calculation using 50 percent, $30, and 1.3 yields $1.092 billion. A higher-cost calculation using 75 percent, $40, and 1.4 yields $2.352 billion. These are not national estimates, do not establish the number of newly covered workers, and omit separately modeled substitution and productivity effects.</w:t>
      </w:r>
    </w:p>
    <w:p>
      <w:pPr/>
      <w:r>
        <w:t>Employer-incurred cost is not identical to net social loss: paid time may transfer resources to employees and may affect health, retention, or productivity. Those effects must be measured rather than assumed to cancel the cost. Likewise, compliance costs may be passed partly to prices, wages, hours, investors, or suppliers. The direction and magnitude are not scored here.</w:t>
      </w:r>
    </w:p>
    <w:p>
      <w:pPr/>
      <w:r>
        <w:t>Distributional review should identify recipients and nonrecipients by income, age, disability, geography, employment arrangement, and other relevant variables with privacy protection. Small providers can face larger fixed-cost burdens relative to revenue. Rural and tribal projects can face distinctive capacity and infrastructure costs. A program average cannot establish that every affected group gains.</w:t>
      </w:r>
    </w:p>
    <w:p>
      <w:bookmarkStart w:id="394" w:name="ANNEX_SECTION_393"/>
      <w:pPr>
        <w:pStyle w:val="Heading2"/>
      </w:pPr>
      <w:r>
        <w:t>D.8. Required formal scoring and unresolved fiscal questions</w:t>
      </w:r>
      <w:bookmarkEnd w:id="394"/>
    </w:p>
    <w:p>
      <w:pPr/>
      <w:r>
        <w:t xml:space="preserve">Before introduction, formal analysis should establish current-law baselines, expected take-up, existing equivalent benefits, agency capacity, project unit costs, tax interactions, possible federal savings, private and intergovernmental mandates, and effects beyond ten years. Current budget enforcement and any sequestration consequence must be evaluated. The bill does not supply a PAYGO exemption or an automatic offset. </w:t>
      </w:r>
      <w:hyperlink w:anchor="R58" w:history="1">
        <w:r>
          <w:rPr>
            <w:rFonts w:ascii="Liberation Serif" w:hAnsi="Liberation Serif"/>
            <w:color w:val="254F72"/>
          </w:rPr>
          <w:t>[R58]</w:t>
        </w:r>
      </w:hyperlink>
      <w:r/>
    </w:p>
    <w:p>
      <w:pPr/>
      <w:r>
        <w:t>The main unresolved fiscal choices are the overall appropriation, allocation shares, employer coverage and benefit parameters, technology thresholds, capital operating support, and post-year-ten enforcement funding. Every number in this annex can be changed only with corresponding changes to assumptions or operative text; a more favorable narrative cannot alter arithmetic. The evidence does not justify booking speculative improvements in well-being as cash available to finance the appropriation.</w:t>
      </w:r>
    </w:p>
    <w:p>
      <w:bookmarkStart w:id="395" w:name="ANNEX_E"/>
      <w:pPr>
        <w:pStyle w:val="Heading1"/>
        <w:pageBreakBefore/>
      </w:pPr>
      <w:r>
        <w:t>ANNEX E. IMPLEMENTATION, OVERSIGHT, AND STAKEHOLDERS</w:t>
      </w:r>
      <w:bookmarkEnd w:id="395"/>
    </w:p>
    <w:p>
      <w:bookmarkStart w:id="396" w:name="ANNEX_SECTION_395"/>
      <w:pPr>
        <w:pStyle w:val="Heading2"/>
      </w:pPr>
      <w:r>
        <w:t>E.1. Execution principles</w:t>
      </w:r>
      <w:bookmarkEnd w:id="396"/>
    </w:p>
    <w:p>
      <w:pPr/>
      <w:r>
        <w:t>Implementation is not complete when an office opens or a rule is published. Each activity needs a lawful actor, an available appropriation, a procurement or award pathway, trained personnel, functioning data protections, a complaint route, and an exit or continuity plan. The following roadmap explains the draft's sequencing. It does not extend a statutory deadline or authorize spending outside title XXIX.</w:t>
      </w:r>
    </w:p>
    <w:p>
      <w:pPr/>
      <w:r>
        <w:t>The Office coordinates a portfolio rather than directly delivering every service. Lead agencies retain their assigned functions. A shared register should identify the section, duty, responsible official, dependency, budget account, commencement date, status, and review route. Its public version should omit confidential personnel, clinical, and security information while retaining enough detail for oversight.</w:t>
      </w:r>
    </w:p>
    <w:p>
      <w:bookmarkStart w:id="397" w:name="ANNEX_SECTION_396"/>
      <w:pPr>
        <w:pStyle w:val="Heading2"/>
      </w:pPr>
      <w:r>
        <w:t>E.2. Enactment through day 90</w:t>
      </w:r>
      <w:bookmarkEnd w:id="397"/>
    </w:p>
    <w:p>
      <w:pPr/>
      <w:r>
        <w:t>HHS organizes the Office within existing departmental authority, identifies accountable officials, and convenes the required interagency work. Treasury establishes the accounts and makes the included advance available. The agencies identify which start-up activities are legally feasible before the general effective date and attach the safeguards required by section 3001 to early awards.</w:t>
      </w:r>
    </w:p>
    <w:p>
      <w:pPr/>
      <w:r>
        <w:t>Initial work includes a statutory crosswalk, a current program and staffing inventory, an acquisition strategy, conflict-of-interest procedures, a privacy and security architecture, an accessible complaint intake design, and an oversight plan. Agencies should not begin by building a single centralized database containing every recipient's intimate information. The statutory minimization rules apply to the architecture, not only to a final privacy notice.</w:t>
      </w:r>
    </w:p>
    <w:p>
      <w:pPr/>
      <w:r>
        <w:t>An initial capacity check should identify available grants and financial-management systems, accessibility gaps, secure research environments, and areas requiring new procurement. A public implementation register should distinguish completed action from a plan to act. Relevant metrics include accountable officials assigned, legal dependencies identified, tested complaint channels, and the share of planned expenditures supported by an authorized purpose.</w:t>
      </w:r>
    </w:p>
    <w:p>
      <w:bookmarkStart w:id="398" w:name="ANNEX_SECTION_397"/>
      <w:pPr>
        <w:pStyle w:val="Heading2"/>
      </w:pPr>
      <w:r>
        <w:t>E.3. Months three through six</w:t>
      </w:r>
      <w:bookmarkEnd w:id="398"/>
    </w:p>
    <w:p>
      <w:pPr/>
      <w:r>
        <w:t>By day 120, agencies submit the execution plans required by section 2904. Treasury and the agencies identify account allocations and the first oversight transfers. Scientific and public-advice processes must disclose conflicts, separate advice from final authority, and provide accessible participation. Existing program inventories should distinguish actual new services from renamed activity.</w:t>
      </w:r>
    </w:p>
    <w:p>
      <w:pPr/>
      <w:r>
        <w:t>Before the general day-180 effective date, agencies prepare recipient conditions, notices, model consent processes, initial financial controls, and complaint referrals. Commercial entities receive advance technical information without being penalized before their duties begin. Core neurotechnology and biotechnology prohibitions have their own commencement; a delayed detailed rule does not nullify a clear statutory prohibition.</w:t>
      </w:r>
    </w:p>
    <w:p>
      <w:pPr/>
      <w:r>
        <w:t>Readiness measures include secure records handling, notice comprehension, accessible participation, response ownership, and funding verification. An award should not proceed where the proposed service has no lawful site control, essential clinical supervision, or safe data pathway. A delay for an unresolved prerequisite must be reported rather than concealed as a successful launch.</w:t>
      </w:r>
    </w:p>
    <w:p>
      <w:bookmarkStart w:id="399" w:name="ANNEX_SECTION_398"/>
      <w:pPr>
        <w:pStyle w:val="Heading2"/>
      </w:pPr>
      <w:r>
        <w:t>E.4. Months six through twelve</w:t>
      </w:r>
      <w:bookmarkEnd w:id="399"/>
    </w:p>
    <w:p>
      <w:pPr/>
      <w:r>
        <w:t>The initial national strategy is due by day 270. Proposed core rules are due by day 365. Agencies should publish the legal basis, evidence, alternatives, costs, uncertainty, affected entities, and responses to significant implementation questions. Technical standards must not become binding through an unpublished manual or automatic incorporation of future private revisions.</w:t>
      </w:r>
    </w:p>
    <w:p>
      <w:pPr/>
      <w:r>
        <w:t>First awards can build on established institutions where capacity and safeguards are verified. More uncertain interventions should use protocols with comparison methods, stopping rules, adverse-event handling, and publication of unfavorable results. Construction requires the required legal and environmental sequence; procurement must address access, interoperability, security, records, and vendor exit.</w:t>
      </w:r>
    </w:p>
    <w:p>
      <w:pPr/>
      <w:r>
        <w:t>The initial dashboard should report methods and limitations, not manufacture improvement from a missing baseline. Service access, wait times, award delivery, and complaints should be shown separately from health or social outcomes. Small-group results require disclosure controls. An increase in detected need or complaints may reflect improved access rather than deterioration, so interpretation needs context.</w:t>
      </w:r>
    </w:p>
    <w:p>
      <w:bookmarkStart w:id="400" w:name="ANNEX_SECTION_399"/>
      <w:pPr>
        <w:pStyle w:val="Heading2"/>
      </w:pPr>
      <w:r>
        <w:t>E.5. Year two and technical commencement</w:t>
      </w:r>
      <w:bookmarkEnd w:id="400"/>
    </w:p>
    <w:p>
      <w:pPr/>
      <w:r>
        <w:t>Core final rules are due by day 540. Agencies should leave time for training, systems adaptation, model notices, and compliance testing before the day-730 private-employer and technical-commercial duties. The exact commencement of each provision remains governed by section 3001 and any more specific text.</w:t>
      </w:r>
    </w:p>
    <w:p>
      <w:pPr/>
      <w:r>
        <w:t>Labor implementation requires payroll and scheduling guidance that explains accrual, carryover, existing equivalent leave, emergency exceptions, and anti-retaliation rules. Technology implementation requires clear coverage tests, data-request workflows, incident reporting, human-review procedures, and confidential assessment channels. A help desk must not issue a purported safe harbor that contradicts the statute.</w:t>
      </w:r>
    </w:p>
    <w:p>
      <w:pPr/>
      <w:r>
        <w:t>Legacy automated systems need inventories, transition plans, and continuity safeguards. A limited extension is not a permanent exemption. The audit workforce must have relevant competence and independence; a certification market without adequate assessor capacity could create delay, superficial compliance, or conflicts. Procurement should test actual accessibility and complaint resolution rather than rely only on vendor statements.</w:t>
      </w:r>
    </w:p>
    <w:p>
      <w:pPr/>
      <w:r>
        <w:t>At this stage, performance measures should include response times, validated service availability, completed evaluations, substantiated violations, corrective action, appeals, and actual cost per delivered unit. Penalty totals and numbers of suspended products are not statutory success targets.</w:t>
      </w:r>
    </w:p>
    <w:p>
      <w:bookmarkStart w:id="401" w:name="ANNEX_SECTION_400"/>
      <w:pPr>
        <w:pStyle w:val="Heading2"/>
      </w:pPr>
      <w:r>
        <w:t>E.6. Years three through five</w:t>
      </w:r>
      <w:bookmarkEnd w:id="401"/>
    </w:p>
    <w:p>
      <w:pPr/>
      <w:r>
        <w:t>Independent evaluation should examine whether each program was implemented as planned, who used it, who was excluded, what changed, and which outcomes can plausibly be attributed to the intervention. Negative results should be retained and published. A pilot's completion does not authorize nationwide mandatory scale-up.</w:t>
      </w:r>
    </w:p>
    <w:p>
      <w:pPr/>
      <w:r>
        <w:t>Capital projects should have verified maintenance, staffing, and ownership arrangements. Clinical and care programs need continuity and workforce review. Digital and AI duties require monitoring for changes in use and risk, not merely a one-time document. Human-review systems need testing for reversal authority, information access, bias, and practical usability.</w:t>
      </w:r>
    </w:p>
    <w:p>
      <w:pPr/>
      <w:r>
        <w:t>The heritable-editing review and report follow their distinct statutory clock. The general five-year review does not automatically renew that restriction. Similarly, the compatibility framework's evaluation does not enlarge its closed categories. Congress receives options and evidence; the advisory process does not amend the law.</w:t>
      </w:r>
    </w:p>
    <w:p>
      <w:pPr/>
      <w:r>
        <w:t>The comprehensive review after five program years assesses legal, fiscal, access, scientific, administrative, and private-burden effects. It should identify activities ready for continuation, adaptation, further research, or orderly closure without treating a single numerical index as the decision itself.</w:t>
      </w:r>
    </w:p>
    <w:p>
      <w:bookmarkStart w:id="402" w:name="ANNEX_SECTION_401"/>
      <w:pPr>
        <w:pStyle w:val="Heading2"/>
      </w:pPr>
      <w:r>
        <w:t>E.7. Years nine and ten, closeout, and later obligations</w:t>
      </w:r>
      <w:bookmarkEnd w:id="402"/>
    </w:p>
    <w:p>
      <w:pPr/>
      <w:r>
        <w:t>Before the installment schedule ends, agencies identify remaining obligations, capital-use restrictions, data retention, dependent service users, and ongoing enforcement duties. The report required by title XXIX should distinguish a request to renew services from the resources needed to administer permanent rights. No recipient should receive a promise of additional federal finance that Congress has not provided.</w:t>
      </w:r>
    </w:p>
    <w:p>
      <w:pPr/>
      <w:r>
        <w:t>Final installments retain their statutory period of availability. Closeout must reconcile accounts, preserve necessary records, resolve property interests, and provide lawful transition. The end of a grant does not authorize abandonment of an implanted device, destruction of research records required by law, or continued unauthorized access to personal information.</w:t>
      </w:r>
    </w:p>
    <w:p>
      <w:pPr/>
      <w:r>
        <w:t>Long-term review includes the condition of funded assets, the durability of observed effects, follow-on private costs, and compliance with surviving rights. The thirty-year fiscal illustration is not a thirty-year service appropriation. A later Congress would have to make explicit decisions about renewal, redesign, and administrative capacity.</w:t>
      </w:r>
    </w:p>
    <w:p>
      <w:bookmarkStart w:id="403" w:name="ANNEX_SECTION_402"/>
      <w:pPr>
        <w:pStyle w:val="Heading2"/>
      </w:pPr>
      <w:r>
        <w:t>E.8. Responsibility and failure-mode register</w:t>
      </w:r>
      <w:bookmarkEnd w:id="403"/>
    </w:p>
    <w:tbl>
      <w:tblPr>
        <w:tblW w:type="auto" w:w="0"/>
        <w:jc w:val="center"/>
        <w:tblLayout w:type="fixed"/>
        <w:tblLook w:firstColumn="1" w:firstRow="1" w:lastColumn="0" w:lastRow="0" w:noHBand="0" w:noVBand="1" w:val="04A0"/>
        <w:tblBorders>
          <w:top w:val="single" w:sz="3" w:color="C8CDD2"/>
          <w:bottom w:val="single" w:sz="3" w:color="C8CDD2"/>
          <w:insideH w:val="single" w:sz="3" w:color="C8CDD2"/>
        </w:tblBorders>
      </w:tblPr>
      <w:tblGrid>
        <w:gridCol w:w="1440"/>
        <w:gridCol w:w="2232"/>
        <w:gridCol w:w="2736"/>
        <w:gridCol w:w="3240"/>
      </w:tblGrid>
      <w:tr>
        <w:trPr>
          <w:cantSplit/>
          <w:tblHeader/>
        </w:trPr>
        <w:tc>
          <w:tcPr>
            <w:tcW w:type="dxa" w:w="1440"/>
            <w:vAlign w:val="top"/>
            <w:shd w:fill="182C3D"/>
          </w:tcPr>
          <w:p>
            <w:pPr>
              <w:pStyle w:val="TableText"/>
              <w:spacing w:line="245" w:lineRule="auto" w:after="60" w:before="60"/>
            </w:pPr>
            <w:r>
              <w:rPr>
                <w:b/>
                <w:color w:val="FFFFFF"/>
              </w:rPr>
              <w:t>Function</w:t>
            </w:r>
          </w:p>
        </w:tc>
        <w:tc>
          <w:tcPr>
            <w:tcW w:type="dxa" w:w="2232"/>
            <w:vAlign w:val="top"/>
            <w:shd w:fill="182C3D"/>
          </w:tcPr>
          <w:p>
            <w:pPr>
              <w:pStyle w:val="TableText"/>
              <w:spacing w:line="245" w:lineRule="auto" w:after="60" w:before="60"/>
            </w:pPr>
            <w:r>
              <w:rPr>
                <w:b/>
                <w:color w:val="FFFFFF"/>
              </w:rPr>
              <w:t>Accountable actors</w:t>
            </w:r>
          </w:p>
        </w:tc>
        <w:tc>
          <w:tcPr>
            <w:tcW w:type="dxa" w:w="2736"/>
            <w:vAlign w:val="top"/>
            <w:shd w:fill="182C3D"/>
          </w:tcPr>
          <w:p>
            <w:pPr>
              <w:pStyle w:val="TableText"/>
              <w:spacing w:line="245" w:lineRule="auto" w:after="60" w:before="60"/>
            </w:pPr>
            <w:r>
              <w:rPr>
                <w:b/>
                <w:color w:val="FFFFFF"/>
              </w:rPr>
              <w:t>Principal failure mode</w:t>
            </w:r>
          </w:p>
        </w:tc>
        <w:tc>
          <w:tcPr>
            <w:tcW w:type="dxa" w:w="3240"/>
            <w:vAlign w:val="top"/>
            <w:shd w:fill="182C3D"/>
          </w:tcPr>
          <w:p>
            <w:pPr>
              <w:pStyle w:val="TableText"/>
              <w:spacing w:line="245" w:lineRule="auto" w:after="60" w:before="60"/>
            </w:pPr>
            <w:r>
              <w:rPr>
                <w:b/>
                <w:color w:val="FFFFFF"/>
              </w:rPr>
              <w:t>Required response</w:t>
            </w:r>
          </w:p>
        </w:tc>
      </w:tr>
      <w:tr>
        <w:trPr>
          <w:cantSplit/>
        </w:trPr>
        <w:tc>
          <w:tcPr>
            <w:tcW w:type="dxa" w:w="1440"/>
            <w:vAlign w:val="top"/>
          </w:tcPr>
          <w:p>
            <w:pPr>
              <w:pStyle w:val="TableText"/>
              <w:spacing w:line="245" w:lineRule="auto" w:after="60" w:before="60"/>
            </w:pPr>
            <w:r>
              <w:t>Coordination</w:t>
            </w:r>
          </w:p>
        </w:tc>
        <w:tc>
          <w:tcPr>
            <w:tcW w:type="dxa" w:w="2232"/>
            <w:vAlign w:val="top"/>
          </w:tcPr>
          <w:p>
            <w:pPr>
              <w:pStyle w:val="TableText"/>
              <w:spacing w:line="245" w:lineRule="auto" w:after="60" w:before="60"/>
            </w:pPr>
            <w:r>
              <w:t>HHS Office and lead departments</w:t>
            </w:r>
          </w:p>
        </w:tc>
        <w:tc>
          <w:tcPr>
            <w:tcW w:type="dxa" w:w="2736"/>
            <w:vAlign w:val="top"/>
          </w:tcPr>
          <w:p>
            <w:pPr>
              <w:pStyle w:val="TableText"/>
              <w:spacing w:line="245" w:lineRule="auto" w:after="60" w:before="60"/>
            </w:pPr>
            <w:r>
              <w:t>Duplicated authority or an unassigned duty</w:t>
            </w:r>
          </w:p>
        </w:tc>
        <w:tc>
          <w:tcPr>
            <w:tcW w:type="dxa" w:w="3240"/>
            <w:vAlign w:val="top"/>
          </w:tcPr>
          <w:p>
            <w:pPr>
              <w:pStyle w:val="TableText"/>
              <w:spacing w:line="245" w:lineRule="auto" w:after="60" w:before="60"/>
            </w:pPr>
            <w:r>
              <w:t>Publish the statutory crosswalk and refer missing authority to Congress</w:t>
            </w:r>
          </w:p>
        </w:tc>
      </w:tr>
      <w:tr>
        <w:trPr>
          <w:cantSplit/>
        </w:trPr>
        <w:tc>
          <w:tcPr>
            <w:tcW w:type="dxa" w:w="1440"/>
            <w:vAlign w:val="top"/>
          </w:tcPr>
          <w:p>
            <w:pPr>
              <w:pStyle w:val="TableText"/>
              <w:spacing w:line="245" w:lineRule="auto" w:after="60" w:before="60"/>
            </w:pPr>
            <w:r>
              <w:t>Funds</w:t>
            </w:r>
          </w:p>
        </w:tc>
        <w:tc>
          <w:tcPr>
            <w:tcW w:type="dxa" w:w="2232"/>
            <w:vAlign w:val="top"/>
          </w:tcPr>
          <w:p>
            <w:pPr>
              <w:pStyle w:val="TableText"/>
              <w:spacing w:line="245" w:lineRule="auto" w:after="60" w:before="60"/>
            </w:pPr>
            <w:r>
              <w:t>Treasury, OMB, lead agencies</w:t>
            </w:r>
          </w:p>
        </w:tc>
        <w:tc>
          <w:tcPr>
            <w:tcW w:type="dxa" w:w="2736"/>
            <w:vAlign w:val="top"/>
          </w:tcPr>
          <w:p>
            <w:pPr>
              <w:pStyle w:val="TableText"/>
              <w:spacing w:line="245" w:lineRule="auto" w:after="60" w:before="60"/>
            </w:pPr>
            <w:r>
              <w:t>Double counting, premature obligation, or unfinanced promises</w:t>
            </w:r>
          </w:p>
        </w:tc>
        <w:tc>
          <w:tcPr>
            <w:tcW w:type="dxa" w:w="3240"/>
            <w:vAlign w:val="top"/>
          </w:tcPr>
          <w:p>
            <w:pPr>
              <w:pStyle w:val="TableText"/>
              <w:spacing w:line="245" w:lineRule="auto" w:after="60" w:before="60"/>
            </w:pPr>
            <w:r>
              <w:t>Reconcile accounts, verify availability, and correct execution plans</w:t>
            </w:r>
          </w:p>
        </w:tc>
      </w:tr>
      <w:tr>
        <w:trPr>
          <w:cantSplit/>
        </w:trPr>
        <w:tc>
          <w:tcPr>
            <w:tcW w:type="dxa" w:w="1440"/>
            <w:vAlign w:val="top"/>
          </w:tcPr>
          <w:p>
            <w:pPr>
              <w:pStyle w:val="TableText"/>
              <w:spacing w:line="245" w:lineRule="auto" w:after="60" w:before="60"/>
            </w:pPr>
            <w:r>
              <w:t>Research</w:t>
            </w:r>
          </w:p>
        </w:tc>
        <w:tc>
          <w:tcPr>
            <w:tcW w:type="dxa" w:w="2232"/>
            <w:vAlign w:val="top"/>
          </w:tcPr>
          <w:p>
            <w:pPr>
              <w:pStyle w:val="TableText"/>
              <w:spacing w:line="245" w:lineRule="auto" w:after="60" w:before="60"/>
            </w:pPr>
            <w:r>
              <w:t>NSF, NIH, relevant scientific institutions</w:t>
            </w:r>
          </w:p>
        </w:tc>
        <w:tc>
          <w:tcPr>
            <w:tcW w:type="dxa" w:w="2736"/>
            <w:vAlign w:val="top"/>
          </w:tcPr>
          <w:p>
            <w:pPr>
              <w:pStyle w:val="TableText"/>
              <w:spacing w:line="245" w:lineRule="auto" w:after="60" w:before="60"/>
            </w:pPr>
            <w:r>
              <w:t>Narrow samples, weak designs, or suppressed negative results</w:t>
            </w:r>
          </w:p>
        </w:tc>
        <w:tc>
          <w:tcPr>
            <w:tcW w:type="dxa" w:w="3240"/>
            <w:vAlign w:val="top"/>
          </w:tcPr>
          <w:p>
            <w:pPr>
              <w:pStyle w:val="TableText"/>
              <w:spacing w:line="245" w:lineRule="auto" w:after="60" w:before="60"/>
            </w:pPr>
            <w:r>
              <w:t>Require appropriate methods, disclosure, replication, and independent review</w:t>
            </w:r>
          </w:p>
        </w:tc>
      </w:tr>
      <w:tr>
        <w:trPr>
          <w:cantSplit/>
        </w:trPr>
        <w:tc>
          <w:tcPr>
            <w:tcW w:type="dxa" w:w="1440"/>
            <w:vAlign w:val="top"/>
          </w:tcPr>
          <w:p>
            <w:pPr>
              <w:pStyle w:val="TableText"/>
              <w:spacing w:line="245" w:lineRule="auto" w:after="60" w:before="60"/>
            </w:pPr>
            <w:r>
              <w:t>Services</w:t>
            </w:r>
          </w:p>
        </w:tc>
        <w:tc>
          <w:tcPr>
            <w:tcW w:type="dxa" w:w="2232"/>
            <w:vAlign w:val="top"/>
          </w:tcPr>
          <w:p>
            <w:pPr>
              <w:pStyle w:val="TableText"/>
              <w:spacing w:line="245" w:lineRule="auto" w:after="60" w:before="60"/>
            </w:pPr>
            <w:r>
              <w:t>Lead agencies and recipients</w:t>
            </w:r>
          </w:p>
        </w:tc>
        <w:tc>
          <w:tcPr>
            <w:tcW w:type="dxa" w:w="2736"/>
            <w:vAlign w:val="top"/>
          </w:tcPr>
          <w:p>
            <w:pPr>
              <w:pStyle w:val="TableText"/>
              <w:spacing w:line="245" w:lineRule="auto" w:after="60" w:before="60"/>
            </w:pPr>
            <w:r>
              <w:t>Awards without staff, access, or safe continuity</w:t>
            </w:r>
          </w:p>
        </w:tc>
        <w:tc>
          <w:tcPr>
            <w:tcW w:type="dxa" w:w="3240"/>
            <w:vAlign w:val="top"/>
          </w:tcPr>
          <w:p>
            <w:pPr>
              <w:pStyle w:val="TableText"/>
              <w:spacing w:line="245" w:lineRule="auto" w:after="60" w:before="60"/>
            </w:pPr>
            <w:r>
              <w:t>Gate deployment on capacity and implement corrective or closure plans</w:t>
            </w:r>
          </w:p>
        </w:tc>
      </w:tr>
      <w:tr>
        <w:trPr>
          <w:cantSplit/>
        </w:trPr>
        <w:tc>
          <w:tcPr>
            <w:tcW w:type="dxa" w:w="1440"/>
            <w:vAlign w:val="top"/>
          </w:tcPr>
          <w:p>
            <w:pPr>
              <w:pStyle w:val="TableText"/>
              <w:spacing w:line="245" w:lineRule="auto" w:after="60" w:before="60"/>
            </w:pPr>
            <w:r>
              <w:t>Data</w:t>
            </w:r>
          </w:p>
        </w:tc>
        <w:tc>
          <w:tcPr>
            <w:tcW w:type="dxa" w:w="2232"/>
            <w:vAlign w:val="top"/>
          </w:tcPr>
          <w:p>
            <w:pPr>
              <w:pStyle w:val="TableText"/>
              <w:spacing w:line="245" w:lineRule="auto" w:after="60" w:before="60"/>
            </w:pPr>
            <w:r>
              <w:t>Statistical and program officials</w:t>
            </w:r>
          </w:p>
        </w:tc>
        <w:tc>
          <w:tcPr>
            <w:tcW w:type="dxa" w:w="2736"/>
            <w:vAlign w:val="top"/>
          </w:tcPr>
          <w:p>
            <w:pPr>
              <w:pStyle w:val="TableText"/>
              <w:spacing w:line="245" w:lineRule="auto" w:after="60" w:before="60"/>
            </w:pPr>
            <w:r>
              <w:t>Excessive linkage, secondary use, or exclusion</w:t>
            </w:r>
          </w:p>
        </w:tc>
        <w:tc>
          <w:tcPr>
            <w:tcW w:type="dxa" w:w="3240"/>
            <w:vAlign w:val="top"/>
          </w:tcPr>
          <w:p>
            <w:pPr>
              <w:pStyle w:val="TableText"/>
              <w:spacing w:line="245" w:lineRule="auto" w:after="60" w:before="60"/>
            </w:pPr>
            <w:r>
              <w:t>Minimize collection, control access, test accessibility, and provide correction</w:t>
            </w:r>
          </w:p>
        </w:tc>
      </w:tr>
      <w:tr>
        <w:trPr>
          <w:cantSplit/>
        </w:trPr>
        <w:tc>
          <w:tcPr>
            <w:tcW w:type="dxa" w:w="1440"/>
            <w:vAlign w:val="top"/>
          </w:tcPr>
          <w:p>
            <w:pPr>
              <w:pStyle w:val="TableText"/>
              <w:spacing w:line="245" w:lineRule="auto" w:after="60" w:before="60"/>
            </w:pPr>
            <w:r>
              <w:t>Commercial compliance</w:t>
            </w:r>
          </w:p>
        </w:tc>
        <w:tc>
          <w:tcPr>
            <w:tcW w:type="dxa" w:w="2232"/>
            <w:vAlign w:val="top"/>
          </w:tcPr>
          <w:p>
            <w:pPr>
              <w:pStyle w:val="TableText"/>
              <w:spacing w:line="245" w:lineRule="auto" w:after="60" w:before="60"/>
            </w:pPr>
            <w:r>
              <w:t>Assigned regulators and courts</w:t>
            </w:r>
          </w:p>
        </w:tc>
        <w:tc>
          <w:tcPr>
            <w:tcW w:type="dxa" w:w="2736"/>
            <w:vAlign w:val="top"/>
          </w:tcPr>
          <w:p>
            <w:pPr>
              <w:pStyle w:val="TableText"/>
              <w:spacing w:line="245" w:lineRule="auto" w:after="60" w:before="60"/>
            </w:pPr>
            <w:r>
              <w:t>Paper compliance or disproportionate action</w:t>
            </w:r>
          </w:p>
        </w:tc>
        <w:tc>
          <w:tcPr>
            <w:tcW w:type="dxa" w:w="3240"/>
            <w:vAlign w:val="top"/>
          </w:tcPr>
          <w:p>
            <w:pPr>
              <w:pStyle w:val="TableText"/>
              <w:spacing w:line="245" w:lineRule="auto" w:after="60" w:before="60"/>
            </w:pPr>
            <w:r>
              <w:t>Validate practice, provide notice, and apply reviewable remedies</w:t>
            </w:r>
          </w:p>
        </w:tc>
      </w:tr>
      <w:tr>
        <w:trPr>
          <w:cantSplit/>
        </w:trPr>
        <w:tc>
          <w:tcPr>
            <w:tcW w:type="dxa" w:w="1440"/>
            <w:vAlign w:val="top"/>
          </w:tcPr>
          <w:p>
            <w:pPr>
              <w:pStyle w:val="TableText"/>
              <w:spacing w:line="245" w:lineRule="auto" w:after="60" w:before="60"/>
            </w:pPr>
            <w:r>
              <w:t>Oversight</w:t>
            </w:r>
          </w:p>
        </w:tc>
        <w:tc>
          <w:tcPr>
            <w:tcW w:type="dxa" w:w="2232"/>
            <w:vAlign w:val="top"/>
          </w:tcPr>
          <w:p>
            <w:pPr>
              <w:pStyle w:val="TableText"/>
              <w:spacing w:line="245" w:lineRule="auto" w:after="60" w:before="60"/>
            </w:pPr>
            <w:r>
              <w:t>GAO and Inspectors General</w:t>
            </w:r>
          </w:p>
        </w:tc>
        <w:tc>
          <w:tcPr>
            <w:tcW w:type="dxa" w:w="2736"/>
            <w:vAlign w:val="top"/>
          </w:tcPr>
          <w:p>
            <w:pPr>
              <w:pStyle w:val="TableText"/>
              <w:spacing w:line="245" w:lineRule="auto" w:after="60" w:before="60"/>
            </w:pPr>
            <w:r>
              <w:t>Program managers controlling scrutiny</w:t>
            </w:r>
          </w:p>
        </w:tc>
        <w:tc>
          <w:tcPr>
            <w:tcW w:type="dxa" w:w="3240"/>
            <w:vAlign w:val="top"/>
          </w:tcPr>
          <w:p>
            <w:pPr>
              <w:pStyle w:val="TableText"/>
              <w:spacing w:line="245" w:lineRule="auto" w:after="60" w:before="60"/>
            </w:pPr>
            <w:r>
              <w:t>Use express funding and preserve independent reporting</w:t>
            </w:r>
          </w:p>
        </w:tc>
      </w:tr>
      <w:tr>
        <w:trPr>
          <w:cantSplit/>
        </w:trPr>
        <w:tc>
          <w:tcPr>
            <w:tcW w:type="dxa" w:w="1440"/>
            <w:vAlign w:val="top"/>
          </w:tcPr>
          <w:p>
            <w:pPr>
              <w:pStyle w:val="TableText"/>
              <w:spacing w:line="245" w:lineRule="auto" w:after="60" w:before="60"/>
            </w:pPr>
            <w:r>
              <w:t>Capital</w:t>
            </w:r>
          </w:p>
        </w:tc>
        <w:tc>
          <w:tcPr>
            <w:tcW w:type="dxa" w:w="2232"/>
            <w:vAlign w:val="top"/>
          </w:tcPr>
          <w:p>
            <w:pPr>
              <w:pStyle w:val="TableText"/>
              <w:spacing w:line="245" w:lineRule="auto" w:after="60" w:before="60"/>
            </w:pPr>
            <w:r>
              <w:t>HUD, DOT, recipients, site authorities</w:t>
            </w:r>
          </w:p>
        </w:tc>
        <w:tc>
          <w:tcPr>
            <w:tcW w:type="dxa" w:w="2736"/>
            <w:vAlign w:val="top"/>
          </w:tcPr>
          <w:p>
            <w:pPr>
              <w:pStyle w:val="TableText"/>
              <w:spacing w:line="245" w:lineRule="auto" w:after="60" w:before="60"/>
            </w:pPr>
            <w:r>
              <w:t>Unbudgeted maintenance or displacement</w:t>
            </w:r>
          </w:p>
        </w:tc>
        <w:tc>
          <w:tcPr>
            <w:tcW w:type="dxa" w:w="3240"/>
            <w:vAlign w:val="top"/>
          </w:tcPr>
          <w:p>
            <w:pPr>
              <w:pStyle w:val="TableText"/>
              <w:spacing w:line="245" w:lineRule="auto" w:after="60" w:before="60"/>
            </w:pPr>
            <w:r>
              <w:t>Require lifecycle costs, lawful review, and continuation or recapture plans</w:t>
            </w:r>
          </w:p>
        </w:tc>
      </w:tr>
    </w:tbl>
    <w:p>
      <w:pPr>
        <w:spacing w:after="20"/>
      </w:pPr>
    </w:p>
    <w:p>
      <w:bookmarkStart w:id="404" w:name="ANNEX_SECTION_403"/>
      <w:pPr>
        <w:pStyle w:val="Heading2"/>
      </w:pPr>
      <w:r>
        <w:t>E.9. Stakeholder effects and competing incentives</w:t>
      </w:r>
      <w:bookmarkEnd w:id="404"/>
    </w:p>
    <w:p>
      <w:pPr/>
      <w:r>
        <w:t>Individuals and households may receive services, accessible environments, information, or new remedies, but benefits depend on eligibility, coverage, funding, and implementation. Participation can also impose time and disclosure burdens. Consent should therefore be specific, usable, and separable from unrelated conditions. Persons outside an employer threshold or a funded service area may receive fewer benefits than similarly situated persons inside it.</w:t>
      </w:r>
    </w:p>
    <w:p>
      <w:pPr/>
      <w:r>
        <w:t>Employers face direct labor obligations and potentially costs for staffing, payroll, schedule changes, and compliance. Some may already provide equivalent or greater benefits. The Act should be administered against the actual baseline rather than assuming that every employer incurs the full illustrative cost. Workers may experience improvements in time and predictability, while changes in hiring, hours, contracting, or prices require evaluation rather than a predetermined conclusion.</w:t>
      </w:r>
    </w:p>
    <w:p>
      <w:pPr/>
      <w:r>
        <w:t>Technology developers and deployers face different duties according to their roles and uses. Clear boundaries and reliable review can reduce uncertainty, while assessment and litigation can create cost and delay. Smaller entities may face fixed-cost disadvantages. The text allows technical assistance and proportionate administration but does not exempt an entity from a core consent or safety prohibition merely because it is small.</w:t>
      </w:r>
    </w:p>
    <w:p>
      <w:pPr/>
      <w:r>
        <w:t>Clinicians, researchers, and universities gain potential research and service resources while taking on consent, provenance, reporting, and data responsibilities. They may also face constrained access to particular interventions during a lawful restriction. The model preserves unfavorable results and requires consideration of delay-related patient costs. It does not equate a clinical innovation with a commercial wellness claim.</w:t>
      </w:r>
    </w:p>
    <w:p>
      <w:pPr/>
      <w:r>
        <w:t>State, local, and tribal governments may choose new assistance but retain legal and administrative constraints. Matching requirements, capital maintenance, staffing, and procurement can impose burdens even where federal participation is substantial. Tribal consultation must occur before decisions are fixed; a public comment opportunity is not automatically equivalent to consent where consent is legally required.</w:t>
      </w:r>
    </w:p>
    <w:p>
      <w:pPr/>
      <w:r>
        <w:t>Foreign partners may receive support and research opportunities while facing United States funding conditions and local obligations. Local capacity and shared implementation are statutory concerns, but the model does not assume one institutional form works in every country. Conflicts of law must be resolved before enrollment, data transfer, or deployment.</w:t>
      </w:r>
    </w:p>
    <w:p>
      <w:pPr/>
      <w:r>
        <w:t>Taxpayers and future budgets finance the proposal through general federal resources unless separate offsets are enacted. The stated appropriation permits scrutiny of that commitment. Speculative savings, unspent balances, and private transfers should not be combined into one net-benefit claim. Courts, regulators, and oversight offices also need capacity to administer the new rights and obligations.</w:t>
      </w:r>
    </w:p>
    <w:p>
      <w:bookmarkStart w:id="405" w:name="ANNEX_SECTION_404"/>
      <w:pPr>
        <w:pStyle w:val="Heading2"/>
      </w:pPr>
      <w:r>
        <w:t>E.10. Monitoring without coercive scoring</w:t>
      </w:r>
      <w:bookmarkEnd w:id="405"/>
    </w:p>
    <w:p>
      <w:pPr/>
      <w:r>
        <w:t>The dashboard should report a limited set of interpretable measures for each program: eligible population, access, delivered units, waiting time, cost, adverse events, complaints, remedy, and relevant outcomes. Population health and social indicators belong in a separate layer with uncertainty and appropriate disaggregation. No individual should need to maximize a score to obtain a lawful benefit.</w:t>
      </w:r>
    </w:p>
    <w:p>
      <w:pPr/>
      <w:r>
        <w:t>Evaluation designs should state what would count as failure, what corrective action follows, and which official has authority to act. A review can recommend stopping a program for lack of evidence without treating participants as failures. Equally, a favorable average cannot excuse coercion, discrimination, or a concrete violation. The Act's effectiveness depends on respecting both those propositions.</w:t>
      </w:r>
    </w:p>
    <w:p>
      <w:bookmarkStart w:id="406" w:name="ANNEX_F"/>
      <w:pPr>
        <w:pStyle w:val="Heading1"/>
        <w:pageBreakBefore/>
      </w:pPr>
      <w:r>
        <w:t>ANNEX F. PUBLIC EXPLANATION AND OPEN LEGISLATIVE CHOICES</w:t>
      </w:r>
      <w:bookmarkEnd w:id="406"/>
    </w:p>
    <w:p>
      <w:bookmarkStart w:id="407" w:name="ANNEX_SECTION_406"/>
      <w:pPr>
        <w:pStyle w:val="Heading2"/>
        <w:spacing w:before="200" w:after="120"/>
      </w:pPr>
      <w:r>
        <w:t>F.1. What would the HUMAN Act do?</w:t>
      </w:r>
      <w:bookmarkEnd w:id="407"/>
    </w:p>
    <w:p>
      <w:pPr>
        <w:spacing w:after="60" w:line="252" w:lineRule="auto"/>
      </w:pPr>
      <w:r>
        <w:rPr>
          <w:sz w:val="22"/>
        </w:rPr>
        <w:t>The model combines research, public investment, and specified rights and commercial duties. It studies human origins and development; funds selected improvements in health, learning, care, communities, culture, housing, mobility, and environment; and regulates defined employment, data, automated-decision, neural, and biotechnology practices. Its organizing objective is to expand human capabilities while preserving individual choice. That objective is implemented through specific provisions, not an unrestricted power to regulate everything affecting people.</w:t>
      </w:r>
    </w:p>
    <w:p>
      <w:bookmarkStart w:id="408" w:name="ANNEX_SECTION_407"/>
      <w:pPr>
        <w:pStyle w:val="Heading2"/>
        <w:spacing w:before="200" w:after="120"/>
      </w:pPr>
      <w:r>
        <w:t>F.2. Is this already law, and would it bind other countries?</w:t>
      </w:r>
      <w:bookmarkEnd w:id="408"/>
    </w:p>
    <w:p>
      <w:pPr>
        <w:spacing w:after="60" w:line="252" w:lineRule="auto"/>
      </w:pPr>
      <w:r>
        <w:rPr>
          <w:sz w:val="22"/>
        </w:rPr>
        <w:t>No. This is a proposed United States federal model bill. It would require the constitutional legislative process before taking legal effect. Its international chapter supports lawful cooperation and adaptation but is not a treaty or world law. Foreign partners remain subject to applicable law, and references to international standards do not automatically make those standards enforceable in the United States.</w:t>
      </w:r>
    </w:p>
    <w:p>
      <w:bookmarkStart w:id="409" w:name="ANNEX_SECTION_408"/>
      <w:pPr>
        <w:pStyle w:val="Heading2"/>
        <w:spacing w:before="200" w:after="120"/>
      </w:pPr>
      <w:r>
        <w:t>F.3. Would it provide universal healthcare or guaranteed housing?</w:t>
      </w:r>
      <w:bookmarkEnd w:id="409"/>
    </w:p>
    <w:p>
      <w:pPr>
        <w:spacing w:after="60" w:line="252" w:lineRule="auto"/>
      </w:pPr>
      <w:r>
        <w:rPr>
          <w:sz w:val="22"/>
        </w:rPr>
        <w:t>No. It finances defined grants, research, services, and improvements, subject to appropriations and program conditions. It does not create universal insurance eligibility or a universal individual entitlement to a housing unit. Existing benefits and duties continue under their own statutes. Those distinctions matter because a broad mission cannot by itself authorize payment of every medical or housing cost.</w:t>
      </w:r>
    </w:p>
    <w:p>
      <w:bookmarkStart w:id="410" w:name="ANNEX_SECTION_409"/>
      <w:pPr>
        <w:pStyle w:val="Heading2"/>
        <w:spacing w:before="200" w:after="120"/>
      </w:pPr>
      <w:r>
        <w:t>F.4. Would it force people to socialize, exercise, reproduce, or live traditionally?</w:t>
      </w:r>
      <w:bookmarkEnd w:id="410"/>
    </w:p>
    <w:p>
      <w:pPr>
        <w:spacing w:after="60" w:line="252" w:lineRule="auto"/>
      </w:pPr>
      <w:r>
        <w:rPr>
          <w:sz w:val="22"/>
        </w:rPr>
        <w:t>No. The bill prohibits use of its objectives to compel a preferred lifestyle or rank human worth. Community, movement, learning, and cultural programs expand voluntary opportunities. Research into evolution does not establish an ancestral lifestyle as a legal standard. People may use technology, decline participation, maintain chosen relationships, and live differently from one another within applicable law.</w:t>
      </w:r>
    </w:p>
    <w:p>
      <w:bookmarkStart w:id="411" w:name="ANNEX_SECTION_410"/>
      <w:pPr>
        <w:pStyle w:val="Heading2"/>
        <w:spacing w:before="200" w:after="120"/>
      </w:pPr>
      <w:r>
        <w:t>F.5. Would it ban AI or impose a universal four-day workweek?</w:t>
      </w:r>
      <w:bookmarkEnd w:id="411"/>
    </w:p>
    <w:p>
      <w:pPr>
        <w:spacing w:after="60" w:line="252" w:lineRule="auto"/>
      </w:pPr>
      <w:r>
        <w:rPr>
          <w:sz w:val="22"/>
        </w:rPr>
        <w:t>No. High-impact automated decisions and specified consequential deployments face defined duties. Most ordinary software does not become subject to a general federal licensing process merely because it uses AI. Reduced-hours work programs are evaluated demonstrations. The direct labor chapter instead contains specific leave, rest, scheduling, and after-hours-contact rules for covered employers and employees.</w:t>
      </w:r>
    </w:p>
    <w:p>
      <w:bookmarkStart w:id="412" w:name="ANNEX_SECTION_411"/>
      <w:pPr>
        <w:pStyle w:val="Heading2"/>
        <w:spacing w:before="200" w:after="120"/>
      </w:pPr>
      <w:r>
        <w:t>F.6. What employment protections are proposed?</w:t>
      </w:r>
      <w:bookmarkEnd w:id="412"/>
    </w:p>
    <w:p>
      <w:pPr>
        <w:spacing w:after="60" w:line="252" w:lineRule="auto"/>
      </w:pPr>
      <w:r>
        <w:rPr>
          <w:sz w:val="22"/>
        </w:rPr>
        <w:t>The private-employer framework generally covers employers with at least 15 employees under the specified counting and commerce rules. It provides up to 56 accrued hours of paid health and caregiving time each year, with detailed accrual, use, carryover, and existing-benefit provisions. It also addresses recovery between shifts, weekly rest, reasonable disconnection, and monitoring. The predictable-scheduling section has a separate 100-employee threshold. Genuine independent contractors are not automatically converted into employees by this Act.</w:t>
      </w:r>
    </w:p>
    <w:p>
      <w:bookmarkStart w:id="413" w:name="ANNEX_SECTION_412"/>
      <w:pPr>
        <w:pStyle w:val="Heading2"/>
        <w:spacing w:before="200" w:after="120"/>
      </w:pPr>
      <w:r>
        <w:t>F.7. What would happen to a dangerous new technology?</w:t>
      </w:r>
      <w:bookmarkEnd w:id="413"/>
    </w:p>
    <w:p>
      <w:pPr>
        <w:spacing w:after="60" w:line="252" w:lineRule="auto"/>
      </w:pPr>
      <w:r>
        <w:rPr>
          <w:sz w:val="22"/>
        </w:rPr>
        <w:t>A regulator must identify the specific duty, covered activity, evidence, and legal basis. The compatibility chapter does not authorize stopping a product simply because an official dislikes it. Ordinary temporary suspension requires court action, while emergency orders face heightened evidence and rapid judicial review. The decision must consider narrower measures and the benefits lost through delay, including essential support for existing users.</w:t>
      </w:r>
    </w:p>
    <w:p>
      <w:bookmarkStart w:id="414" w:name="ANNEX_SECTION_413"/>
      <w:pPr>
        <w:pStyle w:val="Heading2"/>
        <w:spacing w:before="200" w:after="120"/>
      </w:pPr>
      <w:r>
        <w:t>F.8. How does the genetic restriction work?</w:t>
      </w:r>
      <w:bookmarkEnd w:id="414"/>
    </w:p>
    <w:p>
      <w:pPr>
        <w:spacing w:after="60" w:line="252" w:lineRule="auto"/>
      </w:pPr>
      <w:r>
        <w:rPr>
          <w:sz w:val="22"/>
        </w:rPr>
        <w:t>The bill creates a five-year restriction on a defined clinical act intended to produce an intentionally heritable genetic alteration. It does not ban all genetic medicine or otherwise lawful nonimplantation research. Its expiration does not approve a therapy or repeal other applicable law. Review informs Congress but cannot automatically extend the restriction. Patients and children are not penalized solely because of how they were conceived or treated.</w:t>
      </w:r>
    </w:p>
    <w:p>
      <w:bookmarkStart w:id="415" w:name="ANNEX_SECTION_414"/>
      <w:pPr>
        <w:pStyle w:val="Heading2"/>
        <w:spacing w:before="200" w:after="120"/>
      </w:pPr>
      <w:r>
        <w:t>F.9. What does the $400 billion represent?</w:t>
      </w:r>
      <w:bookmarkEnd w:id="415"/>
    </w:p>
    <w:p>
      <w:pPr>
        <w:spacing w:after="60" w:line="252" w:lineRule="auto"/>
      </w:pPr>
      <w:r>
        <w:rPr>
          <w:sz w:val="22"/>
        </w:rPr>
        <w:t>It is the proposed new federal budget authority over ten program years, not an estimate of all economic costs. The $1 billion start-up advance is included. No dedicated new tax or offset is enacted in this model. Interest, private compliance costs, and later appropriations are separate. The fiscal annex provides transparent illustrations rather than claiming an official CBO score or that improved well-being necessarily produces federal savings.</w:t>
      </w:r>
    </w:p>
    <w:p>
      <w:bookmarkStart w:id="416" w:name="ANNEX_SECTION_415"/>
      <w:pPr>
        <w:pStyle w:val="Heading2"/>
        <w:spacing w:before="200" w:after="120"/>
      </w:pPr>
      <w:r>
        <w:t>F.10. Can a person enforce the rights?</w:t>
      </w:r>
      <w:bookmarkEnd w:id="416"/>
    </w:p>
    <w:p>
      <w:pPr>
        <w:spacing w:after="60" w:line="252" w:lineRule="auto"/>
      </w:pPr>
      <w:r>
        <w:rPr>
          <w:sz w:val="22"/>
        </w:rPr>
        <w:t>Some specified provisions have an express private cause of action, subject to coverage, actual injury, causation, remedies, and other legal requirements. Federal agencies and State attorneys general have separate defined roles. Not every purpose or grant target is privately enforceable. State and tribal sovereign immunity, Federal damages limits, and otherwise applicable arbitration law are not generally abolished. Those limits mean the available remedy can depend on the defendant and facts.</w:t>
      </w:r>
    </w:p>
    <w:p>
      <w:bookmarkStart w:id="417" w:name="ANNEX_SECTION_416"/>
      <w:pPr>
        <w:pStyle w:val="Heading2"/>
        <w:spacing w:before="200" w:after="120"/>
      </w:pPr>
      <w:r>
        <w:t>F.11. What happens after ten years?</w:t>
      </w:r>
      <w:bookmarkEnd w:id="417"/>
    </w:p>
    <w:p>
      <w:pPr>
        <w:spacing w:after="60" w:line="252" w:lineRule="auto"/>
      </w:pPr>
      <w:r>
        <w:rPr>
          <w:sz w:val="22"/>
        </w:rPr>
        <w:t>The new annual funding installments stop unless Congress provides more. Existing balances and obligations remain subject to their availability and closeout rules. Permanent rights and prohibitions do not automatically expire, but administration and continued services need legally available resources. The bill requires advance review of that funding issue rather than promising indefinite delivery without appropriations.</w:t>
      </w:r>
    </w:p>
    <w:p>
      <w:bookmarkStart w:id="418" w:name="ANNEX_SECTION_417"/>
      <w:pPr>
        <w:pStyle w:val="Heading2"/>
        <w:spacing w:before="200" w:after="120"/>
      </w:pPr>
      <w:r>
        <w:t>F.12. Which choices remain open before introduction?</w:t>
      </w:r>
      <w:bookmarkEnd w:id="418"/>
    </w:p>
    <w:p>
      <w:pPr>
        <w:spacing w:after="60" w:line="252" w:lineRule="auto"/>
      </w:pPr>
      <w:r>
        <w:rPr>
          <w:sz w:val="22"/>
        </w:rPr>
        <w:t>The draft supplies complete operative choices rather than blanks, but those choices can be amended. The principal issues for lawmakers are the appropriation and account shares; employer thresholds and labor parameters; capital matching and maintenance; digital and AI coverage; the duration and scope of the heritable-editing restriction; remedies and immunity; arbitration; and post-year-ten administration. None of those choices is dictated solely by scientific evidence.</w:t>
      </w:r>
    </w:p>
    <w:p>
      <w:pPr>
        <w:spacing w:after="60" w:line="252" w:lineRule="auto"/>
      </w:pPr>
      <w:r>
        <w:rPr>
          <w:sz w:val="22"/>
        </w:rPr>
        <w:t>A pre-introduction process should obtain affected-agency technical comments, a current-law and litigation update, formal federal and mandate estimates, and consultation with people who would use services or bear compliance costs. Alterations should be reflected simultaneously in definitions, dates, funding, enforcement, and explanatory materials. An expanded promise without the corresponding legal and fiscal changes would not have the effect its wording suggests.</w:t>
      </w:r>
    </w:p>
    <w:p>
      <w:bookmarkStart w:id="419" w:name="ANNEX_G"/>
      <w:pPr>
        <w:pStyle w:val="Heading1"/>
        <w:pageBreakBefore/>
      </w:pPr>
      <w:r>
        <w:t>ANNEX G. SOURCES AND AUTHORITIES</w:t>
      </w:r>
      <w:bookmarkEnd w:id="419"/>
    </w:p>
    <w:p>
      <w:r>
        <w:t>References support the research record and legal analysis. They do not endorse, fund, or enact this model. A source concerning an existing law is not evidence that the HUMAN Act is itself law. Publication and access dates are distinguished below. Official sources, original research, and institutional guidance are identified in their respective entries. The research cutoff is October 1, 2026.</w:t>
      </w:r>
    </w:p>
    <w:p>
      <w:bookmarkStart w:id="420" w:name="R01"/>
      <w:pPr>
        <w:pStyle w:val="SourceText"/>
        <w:keepNext/>
        <w:spacing w:before="160"/>
      </w:pPr>
      <w:r>
        <w:rPr>
          <w:b/>
        </w:rPr>
        <w:t xml:space="preserve">[R01] </w:t>
      </w:r>
      <w:hyperlink r:id="rId11" w:history="1">
        <w:r>
          <w:rPr>
            <w:rFonts w:ascii="Liberation Serif" w:hAnsi="Liberation Serif"/>
            <w:b/>
            <w:color w:val="182C3D"/>
          </w:rPr>
          <w:t>Smithsonian Institution, Human Origins Program, Human Characteristics</w:t>
        </w:r>
      </w:hyperlink>
      <w:bookmarkEnd w:id="420"/>
    </w:p>
    <w:p>
      <w:pPr>
        <w:pStyle w:val="SourceText"/>
        <w:keepNext/>
      </w:pPr>
      <w:r>
        <w:t>Undated educational collection; accessed October 1, 2026</w:t>
      </w:r>
    </w:p>
    <w:p>
      <w:pPr>
        <w:pStyle w:val="SourceText"/>
        <w:keepLines/>
      </w:pPr>
      <w:r>
        <w:t xml:space="preserve">Evolutionary background; not a prescribed ancestral lifestyle. </w:t>
      </w:r>
      <w:hyperlink r:id="rId11" w:history="1">
        <w:r>
          <w:rPr>
            <w:rFonts w:ascii="Liberation Serif" w:hAnsi="Liberation Serif"/>
            <w:color w:val="254F72"/>
            <w:sz w:val="21"/>
          </w:rPr>
          <w:t>Source: humanorigins.si.edu</w:t>
        </w:r>
      </w:hyperlink>
    </w:p>
    <w:p>
      <w:bookmarkStart w:id="421" w:name="R02"/>
      <w:pPr>
        <w:pStyle w:val="SourceText"/>
        <w:keepNext/>
        <w:spacing w:before="160"/>
      </w:pPr>
      <w:r>
        <w:rPr>
          <w:b/>
        </w:rPr>
        <w:t xml:space="preserve">[R02] </w:t>
      </w:r>
      <w:hyperlink r:id="rId12" w:history="1">
        <w:r>
          <w:rPr>
            <w:rFonts w:ascii="Liberation Serif" w:hAnsi="Liberation Serif"/>
            <w:b/>
            <w:color w:val="182C3D"/>
          </w:rPr>
          <w:t>National Human Genome Research Institute, NASEM report on population descriptors in genetics and genomics research</w:t>
        </w:r>
      </w:hyperlink>
      <w:bookmarkEnd w:id="421"/>
    </w:p>
    <w:p>
      <w:pPr>
        <w:pStyle w:val="SourceText"/>
        <w:keepNext/>
      </w:pPr>
      <w:r>
        <w:t>May 4, 2023</w:t>
      </w:r>
    </w:p>
    <w:p>
      <w:pPr>
        <w:pStyle w:val="SourceText"/>
        <w:keepLines/>
      </w:pPr>
      <w:r>
        <w:t xml:space="preserve">Scientific use of population descriptors; no hierarchy of individual worth. </w:t>
      </w:r>
      <w:hyperlink r:id="rId12" w:history="1">
        <w:r>
          <w:rPr>
            <w:rFonts w:ascii="Liberation Serif" w:hAnsi="Liberation Serif"/>
            <w:color w:val="254F72"/>
            <w:sz w:val="21"/>
          </w:rPr>
          <w:t>Source: www.genome.gov</w:t>
        </w:r>
      </w:hyperlink>
    </w:p>
    <w:p>
      <w:bookmarkStart w:id="422" w:name="R03"/>
      <w:pPr>
        <w:pStyle w:val="SourceText"/>
        <w:keepNext/>
        <w:spacing w:before="160"/>
      </w:pPr>
      <w:r>
        <w:rPr>
          <w:b/>
        </w:rPr>
        <w:t xml:space="preserve">[R03] </w:t>
      </w:r>
      <w:hyperlink r:id="rId13" w:history="1">
        <w:r>
          <w:rPr>
            <w:rFonts w:ascii="Liberation Serif" w:hAnsi="Liberation Serif"/>
            <w:b/>
            <w:color w:val="182C3D"/>
          </w:rPr>
          <w:t>Michael D. Gurven and colleagues, WEIRD Bodies: Mismatch, Medicine and Missing Diversity</w:t>
        </w:r>
      </w:hyperlink>
      <w:bookmarkEnd w:id="422"/>
    </w:p>
    <w:p>
      <w:pPr>
        <w:pStyle w:val="SourceText"/>
        <w:keepNext/>
      </w:pPr>
      <w:r>
        <w:t>2020</w:t>
      </w:r>
    </w:p>
    <w:p>
      <w:pPr>
        <w:pStyle w:val="SourceText"/>
        <w:keepLines/>
      </w:pPr>
      <w:r>
        <w:t xml:space="preserve">Mismatch is a testable hypothesis, not a universal legislative prescription. </w:t>
      </w:r>
      <w:hyperlink r:id="rId13" w:history="1">
        <w:r>
          <w:rPr>
            <w:rFonts w:ascii="Liberation Serif" w:hAnsi="Liberation Serif"/>
            <w:color w:val="254F72"/>
            <w:sz w:val="21"/>
          </w:rPr>
          <w:t>Source: pubmed.ncbi.nlm.nih.gov</w:t>
        </w:r>
      </w:hyperlink>
    </w:p>
    <w:p>
      <w:bookmarkStart w:id="423" w:name="R04"/>
      <w:pPr>
        <w:pStyle w:val="SourceText"/>
        <w:keepNext/>
        <w:spacing w:before="160"/>
      </w:pPr>
      <w:r>
        <w:rPr>
          <w:b/>
        </w:rPr>
        <w:t xml:space="preserve">[R04] </w:t>
      </w:r>
      <w:hyperlink r:id="rId14" w:history="1">
        <w:r>
          <w:rPr>
            <w:rFonts w:ascii="Liberation Serif" w:hAnsi="Liberation Serif"/>
            <w:b/>
            <w:color w:val="182C3D"/>
          </w:rPr>
          <w:t>World Health Organization, Nurturing Care</w:t>
        </w:r>
      </w:hyperlink>
      <w:bookmarkEnd w:id="423"/>
    </w:p>
    <w:p>
      <w:pPr>
        <w:pStyle w:val="SourceText"/>
        <w:keepNext/>
      </w:pPr>
      <w:r>
        <w:t>Framework and implementation resources; accessed October 1, 2026</w:t>
      </w:r>
    </w:p>
    <w:p>
      <w:pPr>
        <w:pStyle w:val="SourceText"/>
        <w:keepLines/>
      </w:pPr>
      <w:r>
        <w:t xml:space="preserve">Health, nutrition, responsive care, safety, and early learning. </w:t>
      </w:r>
      <w:hyperlink r:id="rId14" w:history="1">
        <w:r>
          <w:rPr>
            <w:rFonts w:ascii="Liberation Serif" w:hAnsi="Liberation Serif"/>
            <w:color w:val="254F72"/>
            <w:sz w:val="21"/>
          </w:rPr>
          <w:t>Source: www.who.int</w:t>
        </w:r>
      </w:hyperlink>
    </w:p>
    <w:p>
      <w:bookmarkStart w:id="424" w:name="R05"/>
      <w:pPr>
        <w:pStyle w:val="SourceText"/>
        <w:keepNext/>
        <w:spacing w:before="160"/>
      </w:pPr>
      <w:r>
        <w:rPr>
          <w:b/>
        </w:rPr>
        <w:t xml:space="preserve">[R05] </w:t>
      </w:r>
      <w:hyperlink r:id="rId15" w:history="1">
        <w:r>
          <w:rPr>
            <w:rFonts w:ascii="Liberation Serif" w:hAnsi="Liberation Serif"/>
            <w:b/>
            <w:color w:val="182C3D"/>
          </w:rPr>
          <w:t>American Academy of Pediatrics, The Power of Play: A Pediatric Role in Enhancing Development in Young Children</w:t>
        </w:r>
      </w:hyperlink>
      <w:bookmarkEnd w:id="424"/>
    </w:p>
    <w:p>
      <w:pPr>
        <w:pStyle w:val="SourceText"/>
        <w:keepNext/>
      </w:pPr>
      <w:r>
        <w:t>Pediatrics 142(3), e20182058 (2018); reaffirmed January 2025</w:t>
      </w:r>
    </w:p>
    <w:p>
      <w:pPr>
        <w:pStyle w:val="SourceText"/>
        <w:keepLines/>
      </w:pPr>
      <w:r>
        <w:t xml:space="preserve">Developmental clinical report; not an experimental estimate of any specific grant program. </w:t>
      </w:r>
      <w:hyperlink r:id="rId15" w:history="1">
        <w:r>
          <w:rPr>
            <w:rFonts w:ascii="Liberation Serif" w:hAnsi="Liberation Serif"/>
            <w:color w:val="254F72"/>
            <w:sz w:val="21"/>
          </w:rPr>
          <w:t>Source: publications.aap.org</w:t>
        </w:r>
      </w:hyperlink>
    </w:p>
    <w:p>
      <w:bookmarkStart w:id="425" w:name="R06"/>
      <w:pPr>
        <w:pStyle w:val="SourceText"/>
        <w:keepNext/>
        <w:spacing w:before="160"/>
      </w:pPr>
      <w:r>
        <w:rPr>
          <w:b/>
        </w:rPr>
        <w:t xml:space="preserve">[R06] </w:t>
      </w:r>
      <w:hyperlink r:id="rId16" w:history="1">
        <w:r>
          <w:rPr>
            <w:rFonts w:ascii="Liberation Serif" w:hAnsi="Liberation Serif"/>
            <w:b/>
            <w:color w:val="182C3D"/>
          </w:rPr>
          <w:t>World Health Organization, Guidelines on Physical Activity and Sedentary Behaviour</w:t>
        </w:r>
      </w:hyperlink>
      <w:bookmarkEnd w:id="425"/>
    </w:p>
    <w:p>
      <w:pPr>
        <w:pStyle w:val="SourceText"/>
        <w:keepNext/>
      </w:pPr>
      <w:r>
        <w:t>2020</w:t>
      </w:r>
    </w:p>
    <w:p>
      <w:pPr>
        <w:pStyle w:val="SourceText"/>
        <w:keepLines/>
      </w:pPr>
      <w:r>
        <w:t xml:space="preserve">Population guidance with age and ability distinctions; not individual benefit eligibility criteria. </w:t>
      </w:r>
      <w:hyperlink r:id="rId16" w:history="1">
        <w:r>
          <w:rPr>
            <w:rFonts w:ascii="Liberation Serif" w:hAnsi="Liberation Serif"/>
            <w:color w:val="254F72"/>
            <w:sz w:val="21"/>
          </w:rPr>
          <w:t>Source: www.who.int</w:t>
        </w:r>
      </w:hyperlink>
    </w:p>
    <w:p>
      <w:bookmarkStart w:id="426" w:name="R07"/>
      <w:pPr>
        <w:pStyle w:val="SourceText"/>
        <w:keepNext/>
        <w:spacing w:before="160"/>
      </w:pPr>
      <w:r>
        <w:rPr>
          <w:b/>
        </w:rPr>
        <w:t xml:space="preserve">[R07] </w:t>
      </w:r>
      <w:hyperlink r:id="rId17" w:history="1">
        <w:r>
          <w:rPr>
            <w:rFonts w:ascii="Liberation Serif" w:hAnsi="Liberation Serif"/>
            <w:b/>
            <w:color w:val="182C3D"/>
          </w:rPr>
          <w:t>National Heart, Lung, and Blood Institute, Your Sleep/Wake Cycle</w:t>
        </w:r>
      </w:hyperlink>
      <w:bookmarkEnd w:id="426"/>
    </w:p>
    <w:p>
      <w:pPr>
        <w:pStyle w:val="SourceText"/>
        <w:keepNext/>
      </w:pPr>
      <w:r>
        <w:t>Accessed October 1, 2026</w:t>
      </w:r>
    </w:p>
    <w:p>
      <w:pPr>
        <w:pStyle w:val="SourceText"/>
        <w:keepLines/>
      </w:pPr>
      <w:r>
        <w:t xml:space="preserve">Circadian and sleep mechanisms; occupational schedules require additional contextual assessment. </w:t>
      </w:r>
      <w:hyperlink r:id="rId17" w:history="1">
        <w:r>
          <w:rPr>
            <w:rFonts w:ascii="Liberation Serif" w:hAnsi="Liberation Serif"/>
            <w:color w:val="254F72"/>
            <w:sz w:val="21"/>
          </w:rPr>
          <w:t>Source: www.nhlbi.nih.gov</w:t>
        </w:r>
      </w:hyperlink>
    </w:p>
    <w:p>
      <w:bookmarkStart w:id="427" w:name="R08"/>
      <w:pPr>
        <w:pStyle w:val="SourceText"/>
        <w:keepNext/>
        <w:spacing w:before="160"/>
      </w:pPr>
      <w:r>
        <w:rPr>
          <w:b/>
        </w:rPr>
        <w:t xml:space="preserve">[R08] </w:t>
      </w:r>
      <w:hyperlink r:id="rId18" w:history="1">
        <w:r>
          <w:rPr>
            <w:rFonts w:ascii="Liberation Serif" w:hAnsi="Liberation Serif"/>
            <w:b/>
            <w:color w:val="182C3D"/>
          </w:rPr>
          <w:t>World Health Organization, Healthy Diet</w:t>
        </w:r>
      </w:hyperlink>
      <w:bookmarkEnd w:id="427"/>
    </w:p>
    <w:p>
      <w:pPr>
        <w:pStyle w:val="SourceText"/>
        <w:keepNext/>
      </w:pPr>
      <w:r>
        <w:t>January 26, 2026</w:t>
      </w:r>
    </w:p>
    <w:p>
      <w:pPr>
        <w:pStyle w:val="SourceText"/>
        <w:keepLines/>
      </w:pPr>
      <w:r>
        <w:t xml:space="preserve">Adequacy, balance, moderation, and diversity; no single cultural menu. </w:t>
      </w:r>
      <w:hyperlink r:id="rId18" w:history="1">
        <w:r>
          <w:rPr>
            <w:rFonts w:ascii="Liberation Serif" w:hAnsi="Liberation Serif"/>
            <w:color w:val="254F72"/>
            <w:sz w:val="21"/>
          </w:rPr>
          <w:t>Source: www.who.int</w:t>
        </w:r>
      </w:hyperlink>
    </w:p>
    <w:p>
      <w:bookmarkStart w:id="428" w:name="R09"/>
      <w:pPr>
        <w:pStyle w:val="SourceText"/>
        <w:keepNext/>
        <w:spacing w:before="160"/>
      </w:pPr>
      <w:r>
        <w:rPr>
          <w:b/>
        </w:rPr>
        <w:t xml:space="preserve">[R09] </w:t>
      </w:r>
      <w:hyperlink r:id="rId19" w:history="1">
        <w:r>
          <w:rPr>
            <w:rFonts w:ascii="Liberation Serif" w:hAnsi="Liberation Serif"/>
            <w:b/>
            <w:color w:val="182C3D"/>
          </w:rPr>
          <w:t>World Health Organization, Commission on Social Connection: Report</w:t>
        </w:r>
      </w:hyperlink>
      <w:bookmarkEnd w:id="428"/>
    </w:p>
    <w:p>
      <w:pPr>
        <w:pStyle w:val="SourceText"/>
        <w:keepNext/>
      </w:pPr>
      <w:r>
        <w:t>2025</w:t>
      </w:r>
    </w:p>
    <w:p>
      <w:pPr>
        <w:pStyle w:val="SourceText"/>
        <w:keepLines/>
      </w:pPr>
      <w:r>
        <w:t xml:space="preserve">Population synthesis; associations and modeled burdens must not be treated as intervention effect sizes. </w:t>
      </w:r>
      <w:hyperlink r:id="rId19" w:history="1">
        <w:r>
          <w:rPr>
            <w:rFonts w:ascii="Liberation Serif" w:hAnsi="Liberation Serif"/>
            <w:color w:val="254F72"/>
            <w:sz w:val="21"/>
          </w:rPr>
          <w:t>Source: www.who.int</w:t>
        </w:r>
      </w:hyperlink>
    </w:p>
    <w:p>
      <w:bookmarkStart w:id="429" w:name="R10"/>
      <w:pPr>
        <w:pStyle w:val="SourceText"/>
        <w:keepNext/>
        <w:spacing w:before="160"/>
      </w:pPr>
      <w:r>
        <w:rPr>
          <w:b/>
        </w:rPr>
        <w:t xml:space="preserve">[R10] </w:t>
      </w:r>
      <w:hyperlink r:id="rId20" w:history="1">
        <w:r>
          <w:rPr>
            <w:rFonts w:ascii="Liberation Serif" w:hAnsi="Liberation Serif"/>
            <w:b/>
            <w:color w:val="182C3D"/>
          </w:rPr>
          <w:t>Organisation for Economic Co-operation and Development, Social Connections and Loneliness in OECD Countries</w:t>
        </w:r>
      </w:hyperlink>
      <w:bookmarkEnd w:id="429"/>
    </w:p>
    <w:p>
      <w:pPr>
        <w:pStyle w:val="SourceText"/>
        <w:keepNext/>
      </w:pPr>
      <w:r>
        <w:t>2025</w:t>
      </w:r>
    </w:p>
    <w:p>
      <w:pPr>
        <w:pStyle w:val="SourceText"/>
        <w:keepLines/>
      </w:pPr>
      <w:r>
        <w:t xml:space="preserve">OECD-country evidence; not automatically representative of every country or subgroup. </w:t>
      </w:r>
      <w:hyperlink r:id="rId20" w:history="1">
        <w:r>
          <w:rPr>
            <w:rFonts w:ascii="Liberation Serif" w:hAnsi="Liberation Serif"/>
            <w:color w:val="254F72"/>
            <w:sz w:val="21"/>
          </w:rPr>
          <w:t>Source: www.oecd.org</w:t>
        </w:r>
      </w:hyperlink>
    </w:p>
    <w:p>
      <w:bookmarkStart w:id="430" w:name="R11"/>
      <w:pPr>
        <w:pStyle w:val="SourceText"/>
        <w:keepNext/>
        <w:spacing w:before="160"/>
      </w:pPr>
      <w:r>
        <w:rPr>
          <w:b/>
        </w:rPr>
        <w:t xml:space="preserve">[R11] </w:t>
      </w:r>
      <w:hyperlink r:id="rId21" w:history="1">
        <w:r>
          <w:rPr>
            <w:rFonts w:ascii="Liberation Serif" w:hAnsi="Liberation Serif"/>
            <w:b/>
            <w:color w:val="182C3D"/>
          </w:rPr>
          <w:t>National Academies of Sciences, Engineering, and Medicine, Social Media and Adolescent Health, Summary</w:t>
        </w:r>
      </w:hyperlink>
      <w:bookmarkEnd w:id="430"/>
    </w:p>
    <w:p>
      <w:pPr>
        <w:pStyle w:val="SourceText"/>
        <w:keepNext/>
      </w:pPr>
      <w:r>
        <w:t>2024</w:t>
      </w:r>
    </w:p>
    <w:p>
      <w:pPr>
        <w:pStyle w:val="SourceText"/>
        <w:keepLines/>
      </w:pPr>
      <w:r>
        <w:t xml:space="preserve">Heterogeneous benefits and harms; population-wide causal claims require caution. </w:t>
      </w:r>
      <w:hyperlink r:id="rId21" w:history="1">
        <w:r>
          <w:rPr>
            <w:rFonts w:ascii="Liberation Serif" w:hAnsi="Liberation Serif"/>
            <w:color w:val="254F72"/>
            <w:sz w:val="21"/>
          </w:rPr>
          <w:t>Source: www.ncbi.nlm.nih.gov</w:t>
        </w:r>
      </w:hyperlink>
    </w:p>
    <w:p>
      <w:bookmarkStart w:id="431" w:name="R12"/>
      <w:pPr>
        <w:pStyle w:val="SourceText"/>
        <w:keepNext/>
        <w:spacing w:before="160"/>
      </w:pPr>
      <w:r>
        <w:rPr>
          <w:b/>
        </w:rPr>
        <w:t xml:space="preserve">[R12] </w:t>
      </w:r>
      <w:hyperlink r:id="rId22" w:history="1">
        <w:r>
          <w:rPr>
            <w:rFonts w:ascii="Liberation Serif" w:hAnsi="Liberation Serif"/>
            <w:b/>
            <w:color w:val="182C3D"/>
          </w:rPr>
          <w:t>World Health Organization, Comprehensive Mental Health Action Plan 2013–2030</w:t>
        </w:r>
      </w:hyperlink>
      <w:bookmarkEnd w:id="431"/>
    </w:p>
    <w:p>
      <w:pPr>
        <w:pStyle w:val="SourceText"/>
        <w:keepNext/>
      </w:pPr>
      <w:r>
        <w:t>2021 update</w:t>
      </w:r>
    </w:p>
    <w:p>
      <w:pPr>
        <w:pStyle w:val="SourceText"/>
        <w:keepLines/>
      </w:pPr>
      <w:r>
        <w:t xml:space="preserve">Health-system and rights framework; not a binding United States statute. </w:t>
      </w:r>
      <w:hyperlink r:id="rId22" w:history="1">
        <w:r>
          <w:rPr>
            <w:rFonts w:ascii="Liberation Serif" w:hAnsi="Liberation Serif"/>
            <w:color w:val="254F72"/>
            <w:sz w:val="21"/>
          </w:rPr>
          <w:t>Source: www.who.int</w:t>
        </w:r>
      </w:hyperlink>
    </w:p>
    <w:p>
      <w:bookmarkStart w:id="432" w:name="R13"/>
      <w:pPr>
        <w:pStyle w:val="SourceText"/>
        <w:keepNext/>
        <w:spacing w:before="160"/>
      </w:pPr>
      <w:r>
        <w:rPr>
          <w:b/>
        </w:rPr>
        <w:t xml:space="preserve">[R13] </w:t>
      </w:r>
      <w:hyperlink r:id="rId23" w:history="1">
        <w:r>
          <w:rPr>
            <w:rFonts w:ascii="Liberation Serif" w:hAnsi="Liberation Serif"/>
            <w:b/>
            <w:color w:val="182C3D"/>
          </w:rPr>
          <w:t>World Health Organization, Healthy Ageing and Functional Ability</w:t>
        </w:r>
      </w:hyperlink>
      <w:bookmarkEnd w:id="432"/>
    </w:p>
    <w:p>
      <w:pPr>
        <w:pStyle w:val="SourceText"/>
        <w:keepNext/>
      </w:pPr>
      <w:r>
        <w:t>Accessed October 1, 2026</w:t>
      </w:r>
    </w:p>
    <w:p>
      <w:pPr>
        <w:pStyle w:val="SourceText"/>
        <w:keepLines/>
      </w:pPr>
      <w:r>
        <w:t xml:space="preserve">Functional ability includes environments and support, not only disease status. </w:t>
      </w:r>
      <w:hyperlink r:id="rId23" w:history="1">
        <w:r>
          <w:rPr>
            <w:rFonts w:ascii="Liberation Serif" w:hAnsi="Liberation Serif"/>
            <w:color w:val="254F72"/>
            <w:sz w:val="21"/>
          </w:rPr>
          <w:t>Source: www.who.int</w:t>
        </w:r>
      </w:hyperlink>
    </w:p>
    <w:p>
      <w:bookmarkStart w:id="433" w:name="R14"/>
      <w:pPr>
        <w:pStyle w:val="SourceText"/>
        <w:keepNext/>
        <w:spacing w:before="160"/>
      </w:pPr>
      <w:r>
        <w:rPr>
          <w:b/>
        </w:rPr>
        <w:t xml:space="preserve">[R14] </w:t>
      </w:r>
      <w:hyperlink r:id="rId24" w:history="1">
        <w:r>
          <w:rPr>
            <w:rFonts w:ascii="Liberation Serif" w:hAnsi="Liberation Serif"/>
            <w:b/>
            <w:color w:val="182C3D"/>
          </w:rPr>
          <w:t>WHO Regional Office for Europe, What Is the Evidence on the Role of the Arts in Improving Health and Well-being?</w:t>
        </w:r>
      </w:hyperlink>
      <w:bookmarkEnd w:id="433"/>
    </w:p>
    <w:p>
      <w:pPr>
        <w:pStyle w:val="SourceText"/>
        <w:keepNext/>
      </w:pPr>
      <w:r>
        <w:t>Health Evidence Network synthesis report 67 (2019)</w:t>
      </w:r>
    </w:p>
    <w:p>
      <w:pPr>
        <w:pStyle w:val="SourceText"/>
        <w:keepLines/>
      </w:pPr>
      <w:r>
        <w:t xml:space="preserve">Broad scoping synthesis; heterogeneous interventions and study designs. </w:t>
      </w:r>
      <w:hyperlink r:id="rId24" w:history="1">
        <w:r>
          <w:rPr>
            <w:rFonts w:ascii="Liberation Serif" w:hAnsi="Liberation Serif"/>
            <w:color w:val="254F72"/>
            <w:sz w:val="21"/>
          </w:rPr>
          <w:t>Source: www.ncbi.nlm.nih.gov</w:t>
        </w:r>
      </w:hyperlink>
    </w:p>
    <w:p>
      <w:bookmarkStart w:id="434" w:name="R15"/>
      <w:pPr>
        <w:pStyle w:val="SourceText"/>
        <w:keepNext/>
        <w:spacing w:before="160"/>
      </w:pPr>
      <w:r>
        <w:rPr>
          <w:b/>
        </w:rPr>
        <w:t xml:space="preserve">[R15] </w:t>
      </w:r>
      <w:hyperlink r:id="rId25" w:history="1">
        <w:r>
          <w:rPr>
            <w:rFonts w:ascii="Liberation Serif" w:hAnsi="Liberation Serif"/>
            <w:b/>
            <w:color w:val="182C3D"/>
          </w:rPr>
          <w:t>Centers for Disease Control and Prevention, Increasing Physical Activity Through Community Design</w:t>
        </w:r>
      </w:hyperlink>
      <w:bookmarkEnd w:id="434"/>
    </w:p>
    <w:p>
      <w:pPr>
        <w:pStyle w:val="SourceText"/>
        <w:keepNext/>
      </w:pPr>
      <w:r>
        <w:t>Accessed October 1, 2026</w:t>
      </w:r>
    </w:p>
    <w:p>
      <w:pPr>
        <w:pStyle w:val="SourceText"/>
        <w:keepLines/>
      </w:pPr>
      <w:r>
        <w:t xml:space="preserve">Built-environment implementation guidance; accessibility and context matter. </w:t>
      </w:r>
      <w:hyperlink r:id="rId25" w:history="1">
        <w:r>
          <w:rPr>
            <w:rFonts w:ascii="Liberation Serif" w:hAnsi="Liberation Serif"/>
            <w:color w:val="254F72"/>
            <w:sz w:val="21"/>
          </w:rPr>
          <w:t>Source: www.cdc.gov</w:t>
        </w:r>
      </w:hyperlink>
    </w:p>
    <w:p>
      <w:bookmarkStart w:id="435" w:name="R16"/>
      <w:pPr>
        <w:pStyle w:val="SourceText"/>
        <w:keepNext/>
        <w:spacing w:before="160"/>
      </w:pPr>
      <w:r>
        <w:rPr>
          <w:b/>
        </w:rPr>
        <w:t xml:space="preserve">[R16] </w:t>
      </w:r>
      <w:hyperlink r:id="rId26" w:history="1">
        <w:r>
          <w:rPr>
            <w:rFonts w:ascii="Liberation Serif" w:hAnsi="Liberation Serif"/>
            <w:b/>
            <w:color w:val="182C3D"/>
          </w:rPr>
          <w:t>Community Preventive Services Task Force, Physical Activity: Built Environment Approaches</w:t>
        </w:r>
      </w:hyperlink>
      <w:bookmarkEnd w:id="435"/>
    </w:p>
    <w:p>
      <w:pPr>
        <w:pStyle w:val="SourceText"/>
        <w:keepNext/>
      </w:pPr>
      <w:r>
        <w:t>Recommendation and evidence review; accessed October 1, 2026</w:t>
      </w:r>
    </w:p>
    <w:p>
      <w:pPr>
        <w:pStyle w:val="SourceText"/>
        <w:keepLines/>
      </w:pPr>
      <w:r>
        <w:t xml:space="preserve">Combined transportation and land-use approaches; not a universal density formula. </w:t>
      </w:r>
      <w:hyperlink r:id="rId26" w:history="1">
        <w:r>
          <w:rPr>
            <w:rFonts w:ascii="Liberation Serif" w:hAnsi="Liberation Serif"/>
            <w:color w:val="254F72"/>
            <w:sz w:val="21"/>
          </w:rPr>
          <w:t>Source: www.thecommunityguide.org</w:t>
        </w:r>
      </w:hyperlink>
    </w:p>
    <w:p>
      <w:bookmarkStart w:id="436" w:name="R17"/>
      <w:pPr>
        <w:pStyle w:val="SourceText"/>
        <w:keepNext/>
        <w:spacing w:before="160"/>
      </w:pPr>
      <w:r>
        <w:rPr>
          <w:b/>
        </w:rPr>
        <w:t xml:space="preserve">[R17] </w:t>
      </w:r>
      <w:hyperlink r:id="rId27" w:history="1">
        <w:r>
          <w:rPr>
            <w:rFonts w:ascii="Liberation Serif" w:hAnsi="Liberation Serif"/>
            <w:b/>
            <w:color w:val="182C3D"/>
          </w:rPr>
          <w:t>South and colleagues, Effect of Greening Vacant Land on Mental Health of Community-Dwelling Adults: A Cluster Randomized Trial</w:t>
        </w:r>
      </w:hyperlink>
      <w:bookmarkEnd w:id="436"/>
    </w:p>
    <w:p>
      <w:pPr>
        <w:pStyle w:val="SourceText"/>
        <w:keepNext/>
      </w:pPr>
      <w:r>
        <w:t>JAMA Network Open (2018)</w:t>
      </w:r>
    </w:p>
    <w:p>
      <w:pPr>
        <w:pStyle w:val="SourceText"/>
        <w:keepLines/>
      </w:pPr>
      <w:r>
        <w:t xml:space="preserve">Philadelphia cluster trial; external validity and specific outcomes require care. </w:t>
      </w:r>
      <w:hyperlink r:id="rId27" w:history="1">
        <w:r>
          <w:rPr>
            <w:rFonts w:ascii="Liberation Serif" w:hAnsi="Liberation Serif"/>
            <w:color w:val="254F72"/>
            <w:sz w:val="21"/>
          </w:rPr>
          <w:t>Source: pmc.ncbi.nlm.nih.gov</w:t>
        </w:r>
      </w:hyperlink>
    </w:p>
    <w:p>
      <w:bookmarkStart w:id="437" w:name="R18"/>
      <w:pPr>
        <w:pStyle w:val="SourceText"/>
        <w:keepNext/>
        <w:spacing w:before="160"/>
      </w:pPr>
      <w:r>
        <w:rPr>
          <w:b/>
        </w:rPr>
        <w:t xml:space="preserve">[R18] </w:t>
      </w:r>
      <w:hyperlink r:id="rId28" w:history="1">
        <w:r>
          <w:rPr>
            <w:rFonts w:ascii="Liberation Serif" w:hAnsi="Liberation Serif"/>
            <w:b/>
            <w:color w:val="182C3D"/>
          </w:rPr>
          <w:t>World Health Organization, Housing and Health Guidelines</w:t>
        </w:r>
      </w:hyperlink>
      <w:bookmarkEnd w:id="437"/>
    </w:p>
    <w:p>
      <w:pPr>
        <w:pStyle w:val="SourceText"/>
        <w:keepNext/>
      </w:pPr>
      <w:r>
        <w:t>2018</w:t>
      </w:r>
    </w:p>
    <w:p>
      <w:pPr>
        <w:pStyle w:val="SourceText"/>
        <w:keepLines/>
      </w:pPr>
      <w:r>
        <w:t xml:space="preserve">Housing hazards and health; not a priced United States construction model. </w:t>
      </w:r>
      <w:hyperlink r:id="rId28" w:history="1">
        <w:r>
          <w:rPr>
            <w:rFonts w:ascii="Liberation Serif" w:hAnsi="Liberation Serif"/>
            <w:color w:val="254F72"/>
            <w:sz w:val="21"/>
          </w:rPr>
          <w:t>Source: www.who.int</w:t>
        </w:r>
      </w:hyperlink>
    </w:p>
    <w:p>
      <w:bookmarkStart w:id="438" w:name="R19"/>
      <w:pPr>
        <w:pStyle w:val="SourceText"/>
        <w:keepNext/>
        <w:spacing w:before="160"/>
      </w:pPr>
      <w:r>
        <w:rPr>
          <w:b/>
        </w:rPr>
        <w:t xml:space="preserve">[R19] </w:t>
      </w:r>
      <w:hyperlink r:id="rId29" w:history="1">
        <w:r>
          <w:rPr>
            <w:rFonts w:ascii="Liberation Serif" w:hAnsi="Liberation Serif"/>
            <w:b/>
            <w:color w:val="182C3D"/>
          </w:rPr>
          <w:t>World Health Organization, Global Air Quality Guidelines</w:t>
        </w:r>
      </w:hyperlink>
      <w:bookmarkEnd w:id="438"/>
    </w:p>
    <w:p>
      <w:pPr>
        <w:pStyle w:val="SourceText"/>
        <w:keepNext/>
      </w:pPr>
      <w:r>
        <w:t>2021</w:t>
      </w:r>
    </w:p>
    <w:p>
      <w:pPr>
        <w:pStyle w:val="SourceText"/>
        <w:keepLines/>
      </w:pPr>
      <w:r>
        <w:t xml:space="preserve">Health-oriented guideline values; domestic enforceable standards are separate law. </w:t>
      </w:r>
      <w:hyperlink r:id="rId29" w:history="1">
        <w:r>
          <w:rPr>
            <w:rFonts w:ascii="Liberation Serif" w:hAnsi="Liberation Serif"/>
            <w:color w:val="254F72"/>
            <w:sz w:val="21"/>
          </w:rPr>
          <w:t>Source: www.who.int</w:t>
        </w:r>
      </w:hyperlink>
    </w:p>
    <w:p>
      <w:bookmarkStart w:id="439" w:name="R20"/>
      <w:pPr>
        <w:pStyle w:val="SourceText"/>
        <w:keepNext/>
        <w:spacing w:before="160"/>
      </w:pPr>
      <w:r>
        <w:rPr>
          <w:b/>
        </w:rPr>
        <w:t xml:space="preserve">[R20] </w:t>
      </w:r>
      <w:hyperlink r:id="rId30" w:history="1">
        <w:r>
          <w:rPr>
            <w:rFonts w:ascii="Liberation Serif" w:hAnsi="Liberation Serif"/>
            <w:b/>
            <w:color w:val="182C3D"/>
          </w:rPr>
          <w:t>WHO Regional Office for Europe, Environmental Noise Guidelines for the European Region</w:t>
        </w:r>
      </w:hyperlink>
      <w:bookmarkEnd w:id="439"/>
    </w:p>
    <w:p>
      <w:pPr>
        <w:pStyle w:val="SourceText"/>
        <w:keepNext/>
      </w:pPr>
      <w:r>
        <w:t>2018</w:t>
      </w:r>
    </w:p>
    <w:p>
      <w:pPr>
        <w:pStyle w:val="SourceText"/>
        <w:keepLines/>
      </w:pPr>
      <w:r>
        <w:t xml:space="preserve">Exposure-specific regional guidance; not automatic United States legal limits. </w:t>
      </w:r>
      <w:hyperlink r:id="rId30" w:history="1">
        <w:r>
          <w:rPr>
            <w:rFonts w:ascii="Liberation Serif" w:hAnsi="Liberation Serif"/>
            <w:color w:val="254F72"/>
            <w:sz w:val="21"/>
          </w:rPr>
          <w:t>Source: www.who.int</w:t>
        </w:r>
      </w:hyperlink>
    </w:p>
    <w:p>
      <w:bookmarkStart w:id="440" w:name="R21"/>
      <w:pPr>
        <w:pStyle w:val="SourceText"/>
        <w:keepNext/>
        <w:spacing w:before="160"/>
      </w:pPr>
      <w:r>
        <w:rPr>
          <w:b/>
        </w:rPr>
        <w:t xml:space="preserve">[R21] </w:t>
      </w:r>
      <w:hyperlink r:id="rId31" w:history="1">
        <w:r>
          <w:rPr>
            <w:rFonts w:ascii="Liberation Serif" w:hAnsi="Liberation Serif"/>
            <w:b/>
            <w:color w:val="182C3D"/>
          </w:rPr>
          <w:t>WHO, FAO, UNEP, and WOAH, One Health Joint Plan of Action</w:t>
        </w:r>
      </w:hyperlink>
      <w:bookmarkEnd w:id="440"/>
    </w:p>
    <w:p>
      <w:pPr>
        <w:pStyle w:val="SourceText"/>
        <w:keepNext/>
      </w:pPr>
      <w:r>
        <w:t>2022–2026 original implementation period</w:t>
      </w:r>
    </w:p>
    <w:p>
      <w:pPr>
        <w:pStyle w:val="SourceText"/>
        <w:keepLines/>
      </w:pPr>
      <w:r>
        <w:t xml:space="preserve">Human, animal, plant, and ecosystem coordination. </w:t>
      </w:r>
      <w:hyperlink r:id="rId31" w:history="1">
        <w:r>
          <w:rPr>
            <w:rFonts w:ascii="Liberation Serif" w:hAnsi="Liberation Serif"/>
            <w:color w:val="254F72"/>
            <w:sz w:val="21"/>
          </w:rPr>
          <w:t>Source: www.who.int</w:t>
        </w:r>
      </w:hyperlink>
    </w:p>
    <w:p>
      <w:bookmarkStart w:id="441" w:name="R22"/>
      <w:pPr>
        <w:pStyle w:val="SourceText"/>
        <w:keepNext/>
        <w:spacing w:before="160"/>
      </w:pPr>
      <w:r>
        <w:rPr>
          <w:b/>
        </w:rPr>
        <w:t xml:space="preserve">[R22] </w:t>
      </w:r>
      <w:hyperlink r:id="rId32" w:history="1">
        <w:r>
          <w:rPr>
            <w:rFonts w:ascii="Liberation Serif" w:hAnsi="Liberation Serif"/>
            <w:b/>
            <w:color w:val="182C3D"/>
          </w:rPr>
          <w:t>World Health Organization, Quadripartite Collaboration Extends the One Health Joint Plan of Action to 2029</w:t>
        </w:r>
      </w:hyperlink>
      <w:bookmarkEnd w:id="441"/>
    </w:p>
    <w:p>
      <w:pPr>
        <w:pStyle w:val="SourceText"/>
        <w:keepNext/>
      </w:pPr>
      <w:r>
        <w:t>August 14, 2026</w:t>
      </w:r>
    </w:p>
    <w:p>
      <w:pPr>
        <w:pStyle w:val="SourceText"/>
        <w:keepLines/>
      </w:pPr>
      <w:r>
        <w:t xml:space="preserve">Current extension announcement; not an amendment to United States law. </w:t>
      </w:r>
      <w:hyperlink r:id="rId32" w:history="1">
        <w:r>
          <w:rPr>
            <w:rFonts w:ascii="Liberation Serif" w:hAnsi="Liberation Serif"/>
            <w:color w:val="254F72"/>
            <w:sz w:val="21"/>
          </w:rPr>
          <w:t>Source: www.who.int</w:t>
        </w:r>
      </w:hyperlink>
    </w:p>
    <w:p>
      <w:bookmarkStart w:id="442" w:name="R23"/>
      <w:pPr>
        <w:pStyle w:val="SourceText"/>
        <w:keepNext/>
        <w:spacing w:before="160"/>
      </w:pPr>
      <w:r>
        <w:rPr>
          <w:b/>
        </w:rPr>
        <w:t xml:space="preserve">[R23] </w:t>
      </w:r>
      <w:hyperlink r:id="rId33" w:history="1">
        <w:r>
          <w:rPr>
            <w:rFonts w:ascii="Liberation Serif" w:hAnsi="Liberation Serif"/>
            <w:b/>
            <w:color w:val="182C3D"/>
          </w:rPr>
          <w:t>World Health Organization and International Labour Organization, Long Working Hours Increasing Deaths from Heart Disease and Stroke</w:t>
        </w:r>
      </w:hyperlink>
      <w:bookmarkEnd w:id="442"/>
    </w:p>
    <w:p>
      <w:pPr>
        <w:pStyle w:val="SourceText"/>
        <w:keepNext/>
      </w:pPr>
      <w:r>
        <w:t>May 17, 2021; estimates concern 2000–2016</w:t>
      </w:r>
    </w:p>
    <w:p>
      <w:pPr>
        <w:pStyle w:val="SourceText"/>
        <w:keepLines/>
      </w:pPr>
      <w:r>
        <w:t xml:space="preserve">Observational risk synthesis and historical modeled burden; no proof of an optimal universal workweek. </w:t>
      </w:r>
      <w:hyperlink r:id="rId33" w:history="1">
        <w:r>
          <w:rPr>
            <w:rFonts w:ascii="Liberation Serif" w:hAnsi="Liberation Serif"/>
            <w:color w:val="254F72"/>
            <w:sz w:val="21"/>
          </w:rPr>
          <w:t>Source: www.who.int</w:t>
        </w:r>
      </w:hyperlink>
    </w:p>
    <w:p>
      <w:bookmarkStart w:id="443" w:name="R24"/>
      <w:pPr>
        <w:pStyle w:val="SourceText"/>
        <w:keepNext/>
        <w:spacing w:before="160"/>
      </w:pPr>
      <w:r>
        <w:rPr>
          <w:b/>
        </w:rPr>
        <w:t xml:space="preserve">[R24] </w:t>
      </w:r>
      <w:hyperlink r:id="rId34" w:history="1">
        <w:r>
          <w:rPr>
            <w:rFonts w:ascii="Liberation Serif" w:hAnsi="Liberation Serif"/>
            <w:b/>
            <w:color w:val="182C3D"/>
          </w:rPr>
          <w:t>Fan and colleagues, Work Time Reduction via a 4-Day Workweek Finds Improvements in Workers’ Well-being</w:t>
        </w:r>
      </w:hyperlink>
      <w:bookmarkEnd w:id="443"/>
    </w:p>
    <w:p>
      <w:pPr>
        <w:pStyle w:val="SourceText"/>
        <w:keepNext/>
      </w:pPr>
      <w:r>
        <w:t>Nature Human Behaviour (2025)</w:t>
      </w:r>
    </w:p>
    <w:p>
      <w:pPr>
        <w:pStyle w:val="SourceText"/>
        <w:keepLines/>
      </w:pPr>
      <w:r>
        <w:t xml:space="preserve">Selected participating organizations, six-month intervention, and nonrandomized comparisons limit generalization. </w:t>
      </w:r>
      <w:hyperlink r:id="rId34" w:history="1">
        <w:r>
          <w:rPr>
            <w:rFonts w:ascii="Liberation Serif" w:hAnsi="Liberation Serif"/>
            <w:color w:val="254F72"/>
            <w:sz w:val="21"/>
          </w:rPr>
          <w:t>Source: pubmed.ncbi.nlm.nih.gov</w:t>
        </w:r>
      </w:hyperlink>
    </w:p>
    <w:p>
      <w:bookmarkStart w:id="444" w:name="R25"/>
      <w:pPr>
        <w:pStyle w:val="SourceText"/>
        <w:keepNext/>
        <w:spacing w:before="160"/>
      </w:pPr>
      <w:r>
        <w:rPr>
          <w:b/>
        </w:rPr>
        <w:t xml:space="preserve">[R25] </w:t>
      </w:r>
      <w:hyperlink r:id="rId35" w:history="1">
        <w:r>
          <w:rPr>
            <w:rFonts w:ascii="Liberation Serif" w:hAnsi="Liberation Serif"/>
            <w:b/>
            <w:color w:val="182C3D"/>
          </w:rPr>
          <w:t>Organisation for Economic Co-operation and Development, Measuring Well-being and Progress</w:t>
        </w:r>
      </w:hyperlink>
      <w:bookmarkEnd w:id="444"/>
    </w:p>
    <w:p>
      <w:pPr>
        <w:pStyle w:val="SourceText"/>
        <w:keepNext/>
      </w:pPr>
      <w:r>
        <w:t>Accessed October 1, 2026</w:t>
      </w:r>
    </w:p>
    <w:p>
      <w:pPr>
        <w:pStyle w:val="SourceText"/>
        <w:keepLines/>
      </w:pPr>
      <w:r>
        <w:t xml:space="preserve">Multidimensional measurement; an indicator framework does not determine political priorities. </w:t>
      </w:r>
      <w:hyperlink r:id="rId35" w:history="1">
        <w:r>
          <w:rPr>
            <w:rFonts w:ascii="Liberation Serif" w:hAnsi="Liberation Serif"/>
            <w:color w:val="254F72"/>
            <w:sz w:val="21"/>
          </w:rPr>
          <w:t>Source: www.oecd.org</w:t>
        </w:r>
      </w:hyperlink>
    </w:p>
    <w:p>
      <w:bookmarkStart w:id="445" w:name="R26"/>
      <w:pPr>
        <w:pStyle w:val="SourceText"/>
        <w:keepNext/>
        <w:spacing w:before="160"/>
      </w:pPr>
      <w:r>
        <w:rPr>
          <w:b/>
        </w:rPr>
        <w:t xml:space="preserve">[R26] </w:t>
      </w:r>
      <w:hyperlink r:id="rId36" w:history="1">
        <w:r>
          <w:rPr>
            <w:rFonts w:ascii="Liberation Serif" w:hAnsi="Liberation Serif"/>
            <w:b/>
            <w:color w:val="182C3D"/>
          </w:rPr>
          <w:t>Organisation for Economic Co-operation and Development, Guidelines on Measuring Subjective Well-being: 2025 Update</w:t>
        </w:r>
      </w:hyperlink>
      <w:bookmarkEnd w:id="445"/>
    </w:p>
    <w:p>
      <w:pPr>
        <w:pStyle w:val="SourceText"/>
        <w:keepNext/>
      </w:pPr>
      <w:r>
        <w:t>2025</w:t>
      </w:r>
    </w:p>
    <w:p>
      <w:pPr>
        <w:pStyle w:val="SourceText"/>
        <w:keepLines/>
      </w:pPr>
      <w:r>
        <w:t xml:space="preserve">Survey methodology; subjective reports must not become compulsory personal scores. </w:t>
      </w:r>
      <w:hyperlink r:id="rId36" w:history="1">
        <w:r>
          <w:rPr>
            <w:rFonts w:ascii="Liberation Serif" w:hAnsi="Liberation Serif"/>
            <w:color w:val="254F72"/>
            <w:sz w:val="21"/>
          </w:rPr>
          <w:t>Source: www.oecd.org</w:t>
        </w:r>
      </w:hyperlink>
    </w:p>
    <w:p>
      <w:bookmarkStart w:id="446" w:name="R27"/>
      <w:pPr>
        <w:pStyle w:val="SourceText"/>
        <w:keepNext/>
        <w:spacing w:before="160"/>
      </w:pPr>
      <w:r>
        <w:rPr>
          <w:b/>
        </w:rPr>
        <w:t xml:space="preserve">[R27] </w:t>
      </w:r>
      <w:hyperlink r:id="rId37" w:history="1">
        <w:r>
          <w:rPr>
            <w:rFonts w:ascii="Liberation Serif" w:hAnsi="Liberation Serif"/>
            <w:b/>
            <w:color w:val="182C3D"/>
          </w:rPr>
          <w:t>National Institute of Standards and Technology, Artificial Intelligence Risk Management Framework</w:t>
        </w:r>
      </w:hyperlink>
      <w:bookmarkEnd w:id="446"/>
    </w:p>
    <w:p>
      <w:pPr>
        <w:pStyle w:val="SourceText"/>
        <w:keepNext/>
      </w:pPr>
      <w:r>
        <w:t>AI RMF 1.0 (January 2023)</w:t>
      </w:r>
    </w:p>
    <w:p>
      <w:pPr>
        <w:pStyle w:val="SourceText"/>
        <w:keepLines/>
      </w:pPr>
      <w:r>
        <w:t xml:space="preserve">Voluntary risk-management framework; no general Federal licensing authority. </w:t>
      </w:r>
      <w:hyperlink r:id="rId37" w:history="1">
        <w:r>
          <w:rPr>
            <w:rFonts w:ascii="Liberation Serif" w:hAnsi="Liberation Serif"/>
            <w:color w:val="254F72"/>
            <w:sz w:val="21"/>
          </w:rPr>
          <w:t>Source: www.nist.gov</w:t>
        </w:r>
      </w:hyperlink>
    </w:p>
    <w:p>
      <w:bookmarkStart w:id="447" w:name="R28"/>
      <w:pPr>
        <w:pStyle w:val="SourceText"/>
        <w:keepNext/>
        <w:spacing w:before="160"/>
      </w:pPr>
      <w:r>
        <w:rPr>
          <w:b/>
        </w:rPr>
        <w:t xml:space="preserve">[R28] </w:t>
      </w:r>
      <w:hyperlink r:id="rId38" w:history="1">
        <w:r>
          <w:rPr>
            <w:rFonts w:ascii="Liberation Serif" w:hAnsi="Liberation Serif"/>
            <w:b/>
            <w:color w:val="182C3D"/>
          </w:rPr>
          <w:t>National Institute of Standards and Technology, Artificial Intelligence Risk Management Framework: Generative Artificial Intelligence Profile</w:t>
        </w:r>
      </w:hyperlink>
      <w:bookmarkEnd w:id="447"/>
    </w:p>
    <w:p>
      <w:pPr>
        <w:pStyle w:val="SourceText"/>
        <w:keepNext/>
      </w:pPr>
      <w:r>
        <w:t>NIST AI 600-1 (2024)</w:t>
      </w:r>
    </w:p>
    <w:p>
      <w:pPr>
        <w:pStyle w:val="SourceText"/>
        <w:keepLines/>
      </w:pPr>
      <w:r>
        <w:t xml:space="preserve">Technical risk profile; not proof that every model has the same risk. </w:t>
      </w:r>
      <w:hyperlink r:id="rId38" w:history="1">
        <w:r>
          <w:rPr>
            <w:rFonts w:ascii="Liberation Serif" w:hAnsi="Liberation Serif"/>
            <w:color w:val="254F72"/>
            <w:sz w:val="21"/>
          </w:rPr>
          <w:t>Source: www.nist.gov</w:t>
        </w:r>
      </w:hyperlink>
    </w:p>
    <w:p>
      <w:bookmarkStart w:id="448" w:name="R29"/>
      <w:pPr>
        <w:pStyle w:val="SourceText"/>
        <w:keepNext/>
        <w:spacing w:before="160"/>
      </w:pPr>
      <w:r>
        <w:rPr>
          <w:b/>
        </w:rPr>
        <w:t xml:space="preserve">[R29] </w:t>
      </w:r>
      <w:hyperlink r:id="rId39" w:history="1">
        <w:r>
          <w:rPr>
            <w:rFonts w:ascii="Liberation Serif" w:hAnsi="Liberation Serif"/>
            <w:b/>
            <w:color w:val="182C3D"/>
          </w:rPr>
          <w:t>Council of Europe, Framework Convention on Artificial Intelligence and Human Rights, Democracy and the Rule of Law</w:t>
        </w:r>
      </w:hyperlink>
      <w:bookmarkEnd w:id="448"/>
    </w:p>
    <w:p>
      <w:pPr>
        <w:pStyle w:val="SourceText"/>
        <w:keepNext/>
      </w:pPr>
      <w:r>
        <w:t>Opened for signature September 5, 2024</w:t>
      </w:r>
    </w:p>
    <w:p>
      <w:pPr>
        <w:pStyle w:val="SourceText"/>
        <w:keepLines/>
      </w:pPr>
      <w:r>
        <w:t xml:space="preserve">Treaty framework; binding effect depends on party status and applicable law, not mere citation. </w:t>
      </w:r>
      <w:hyperlink r:id="rId39" w:history="1">
        <w:r>
          <w:rPr>
            <w:rFonts w:ascii="Liberation Serif" w:hAnsi="Liberation Serif"/>
            <w:color w:val="254F72"/>
            <w:sz w:val="21"/>
          </w:rPr>
          <w:t>Source: www.coe.int</w:t>
        </w:r>
      </w:hyperlink>
    </w:p>
    <w:p>
      <w:bookmarkStart w:id="449" w:name="R30"/>
      <w:pPr>
        <w:pStyle w:val="SourceText"/>
        <w:keepNext/>
        <w:spacing w:before="160"/>
      </w:pPr>
      <w:r>
        <w:rPr>
          <w:b/>
        </w:rPr>
        <w:t xml:space="preserve">[R30] </w:t>
      </w:r>
      <w:hyperlink r:id="rId40" w:history="1">
        <w:r>
          <w:rPr>
            <w:rFonts w:ascii="Liberation Serif" w:hAnsi="Liberation Serif"/>
            <w:b/>
            <w:color w:val="182C3D"/>
          </w:rPr>
          <w:t>European Commission, AI Act: Regulatory Framework and Application Timeline</w:t>
        </w:r>
      </w:hyperlink>
      <w:bookmarkEnd w:id="449"/>
    </w:p>
    <w:p>
      <w:pPr>
        <w:pStyle w:val="SourceText"/>
        <w:keepNext/>
      </w:pPr>
      <w:r>
        <w:t>Current official explanatory page accessed October 1, 2026</w:t>
      </w:r>
    </w:p>
    <w:p>
      <w:pPr>
        <w:pStyle w:val="SourceText"/>
        <w:keepLines/>
      </w:pPr>
      <w:r>
        <w:t xml:space="preserve">Commission page records 2026 amendments and later high-risk application dates; consult final consolidated law for transactions. </w:t>
      </w:r>
      <w:hyperlink r:id="rId40" w:history="1">
        <w:r>
          <w:rPr>
            <w:rFonts w:ascii="Liberation Serif" w:hAnsi="Liberation Serif"/>
            <w:color w:val="254F72"/>
            <w:sz w:val="21"/>
          </w:rPr>
          <w:t>Source: digital-strategy.ec.europa.eu</w:t>
        </w:r>
      </w:hyperlink>
    </w:p>
    <w:p>
      <w:bookmarkStart w:id="450" w:name="R31"/>
      <w:pPr>
        <w:pStyle w:val="SourceText"/>
        <w:keepNext/>
        <w:spacing w:before="160"/>
      </w:pPr>
      <w:r>
        <w:rPr>
          <w:b/>
        </w:rPr>
        <w:t xml:space="preserve">[R31] </w:t>
      </w:r>
      <w:hyperlink r:id="rId41" w:history="1">
        <w:r>
          <w:rPr>
            <w:rFonts w:ascii="Liberation Serif" w:hAnsi="Liberation Serif"/>
            <w:b/>
            <w:color w:val="182C3D"/>
          </w:rPr>
          <w:t>Federal Trade Commission, Final Changes to the Children’s Online Privacy Protection Rule</w:t>
        </w:r>
      </w:hyperlink>
      <w:bookmarkEnd w:id="450"/>
    </w:p>
    <w:p>
      <w:pPr>
        <w:pStyle w:val="SourceText"/>
        <w:keepNext/>
      </w:pPr>
      <w:r>
        <w:t>January 16, 2025 announcement</w:t>
      </w:r>
    </w:p>
    <w:p>
      <w:pPr>
        <w:pStyle w:val="SourceText"/>
        <w:keepLines/>
      </w:pPr>
      <w:r>
        <w:t xml:space="preserve">COPPA framework concerns children under 13; HUMAN Act coverage of known minors under 18 is a separate proposed choice. </w:t>
      </w:r>
      <w:hyperlink r:id="rId41" w:history="1">
        <w:r>
          <w:rPr>
            <w:rFonts w:ascii="Liberation Serif" w:hAnsi="Liberation Serif"/>
            <w:color w:val="254F72"/>
            <w:sz w:val="21"/>
          </w:rPr>
          <w:t>Source: www.ftc.gov</w:t>
        </w:r>
      </w:hyperlink>
    </w:p>
    <w:p>
      <w:bookmarkStart w:id="451" w:name="R32"/>
      <w:pPr>
        <w:pStyle w:val="SourceText"/>
        <w:keepNext/>
        <w:spacing w:before="160"/>
      </w:pPr>
      <w:r>
        <w:rPr>
          <w:b/>
        </w:rPr>
        <w:t xml:space="preserve">[R32] </w:t>
      </w:r>
      <w:hyperlink r:id="rId42" w:history="1">
        <w:r>
          <w:rPr>
            <w:rFonts w:ascii="Liberation Serif" w:hAnsi="Liberation Serif"/>
            <w:b/>
            <w:color w:val="182C3D"/>
          </w:rPr>
          <w:t>UNESCO, Recommendation on the Ethics of Neurotechnology</w:t>
        </w:r>
      </w:hyperlink>
      <w:bookmarkEnd w:id="451"/>
    </w:p>
    <w:p>
      <w:pPr>
        <w:pStyle w:val="SourceText"/>
        <w:keepNext/>
      </w:pPr>
      <w:r>
        <w:t>Adopted November 11, 2025</w:t>
      </w:r>
    </w:p>
    <w:p>
      <w:pPr>
        <w:pStyle w:val="SourceText"/>
        <w:keepLines/>
      </w:pPr>
      <w:r>
        <w:t xml:space="preserve">Nonbinding international recommendation; cognitive privacy and dignity framework. </w:t>
      </w:r>
      <w:hyperlink r:id="rId42" w:history="1">
        <w:r>
          <w:rPr>
            <w:rFonts w:ascii="Liberation Serif" w:hAnsi="Liberation Serif"/>
            <w:color w:val="254F72"/>
            <w:sz w:val="21"/>
          </w:rPr>
          <w:t>Source: www.unesco.org</w:t>
        </w:r>
      </w:hyperlink>
    </w:p>
    <w:p>
      <w:bookmarkStart w:id="452" w:name="R33"/>
      <w:pPr>
        <w:pStyle w:val="SourceText"/>
        <w:keepNext/>
        <w:spacing w:before="160"/>
      </w:pPr>
      <w:r>
        <w:rPr>
          <w:b/>
        </w:rPr>
        <w:t xml:space="preserve">[R33] </w:t>
      </w:r>
      <w:hyperlink r:id="rId43" w:history="1">
        <w:r>
          <w:rPr>
            <w:rFonts w:ascii="Liberation Serif" w:hAnsi="Liberation Serif"/>
            <w:b/>
            <w:color w:val="182C3D"/>
          </w:rPr>
          <w:t>World Health Organization, Human Genome Editing: A Framework for Governance</w:t>
        </w:r>
      </w:hyperlink>
      <w:bookmarkEnd w:id="452"/>
    </w:p>
    <w:p>
      <w:pPr>
        <w:pStyle w:val="SourceText"/>
        <w:keepNext/>
      </w:pPr>
      <w:r>
        <w:t>2021</w:t>
      </w:r>
    </w:p>
    <w:p>
      <w:pPr>
        <w:pStyle w:val="SourceText"/>
        <w:keepLines/>
      </w:pPr>
      <w:r>
        <w:t xml:space="preserve">Governance across somatic, germline, and heritable uses; does not specify this bill’s five-year restriction. </w:t>
      </w:r>
      <w:hyperlink r:id="rId43" w:history="1">
        <w:r>
          <w:rPr>
            <w:rFonts w:ascii="Liberation Serif" w:hAnsi="Liberation Serif"/>
            <w:color w:val="254F72"/>
            <w:sz w:val="21"/>
          </w:rPr>
          <w:t>Source: www.who.int</w:t>
        </w:r>
      </w:hyperlink>
    </w:p>
    <w:p>
      <w:bookmarkStart w:id="453" w:name="R34"/>
      <w:pPr>
        <w:pStyle w:val="SourceText"/>
        <w:keepNext/>
        <w:spacing w:before="160"/>
      </w:pPr>
      <w:r>
        <w:rPr>
          <w:b/>
        </w:rPr>
        <w:t xml:space="preserve">[R34] </w:t>
      </w:r>
      <w:hyperlink r:id="rId44" w:history="1">
        <w:r>
          <w:rPr>
            <w:rFonts w:ascii="Liberation Serif" w:hAnsi="Liberation Serif"/>
            <w:b/>
            <w:color w:val="182C3D"/>
          </w:rPr>
          <w:t>United States Food and Drug Administration, Human Gene Therapy Products Incorporating Human Genome Editing</w:t>
        </w:r>
      </w:hyperlink>
      <w:bookmarkEnd w:id="453"/>
    </w:p>
    <w:p>
      <w:pPr>
        <w:pStyle w:val="SourceText"/>
        <w:keepNext/>
      </w:pPr>
      <w:r>
        <w:t>Final guidance, January 2024</w:t>
      </w:r>
    </w:p>
    <w:p>
      <w:pPr>
        <w:pStyle w:val="SourceText"/>
        <w:keepLines/>
      </w:pPr>
      <w:r>
        <w:t xml:space="preserve">FDA development guidance; underlying statutory approval requirements remain distinct. </w:t>
      </w:r>
      <w:hyperlink r:id="rId44" w:history="1">
        <w:r>
          <w:rPr>
            <w:rFonts w:ascii="Liberation Serif" w:hAnsi="Liberation Serif"/>
            <w:color w:val="254F72"/>
            <w:sz w:val="21"/>
          </w:rPr>
          <w:t>Source: www.fda.gov</w:t>
        </w:r>
      </w:hyperlink>
    </w:p>
    <w:p>
      <w:bookmarkStart w:id="454" w:name="R35"/>
      <w:pPr>
        <w:pStyle w:val="SourceText"/>
        <w:keepNext/>
        <w:spacing w:before="160"/>
      </w:pPr>
      <w:r>
        <w:rPr>
          <w:b/>
        </w:rPr>
        <w:t xml:space="preserve">[R35] </w:t>
      </w:r>
      <w:hyperlink r:id="rId45" w:history="1">
        <w:r>
          <w:rPr>
            <w:rFonts w:ascii="Liberation Serif" w:hAnsi="Liberation Serif"/>
            <w:b/>
            <w:color w:val="182C3D"/>
          </w:rPr>
          <w:t>United States Food and Drug Administration, Leveraging Prior Knowledge in the Development of Human Gene Therapy Products Incorporating Genome Editing</w:t>
        </w:r>
      </w:hyperlink>
      <w:bookmarkEnd w:id="454"/>
    </w:p>
    <w:p>
      <w:pPr>
        <w:pStyle w:val="SourceText"/>
        <w:keepNext/>
      </w:pPr>
      <w:r>
        <w:t>Draft guidance, June 2026</w:t>
      </w:r>
    </w:p>
    <w:p>
      <w:pPr>
        <w:pStyle w:val="SourceText"/>
        <w:keepLines/>
      </w:pPr>
      <w:r>
        <w:t xml:space="preserve">Draft, not final guidance or independent law; evidence of ongoing technical development only. </w:t>
      </w:r>
      <w:hyperlink r:id="rId45" w:history="1">
        <w:r>
          <w:rPr>
            <w:rFonts w:ascii="Liberation Serif" w:hAnsi="Liberation Serif"/>
            <w:color w:val="254F72"/>
            <w:sz w:val="21"/>
          </w:rPr>
          <w:t>Source: www.fda.gov</w:t>
        </w:r>
      </w:hyperlink>
    </w:p>
    <w:p>
      <w:bookmarkStart w:id="455" w:name="R36"/>
      <w:pPr>
        <w:pStyle w:val="SourceText"/>
        <w:keepNext/>
        <w:spacing w:before="160"/>
      </w:pPr>
      <w:r>
        <w:rPr>
          <w:b/>
        </w:rPr>
        <w:t xml:space="preserve">[R36] </w:t>
      </w:r>
      <w:hyperlink r:id="rId46" w:history="1">
        <w:r>
          <w:rPr>
            <w:rFonts w:ascii="Liberation Serif" w:hAnsi="Liberation Serif"/>
            <w:b/>
            <w:color w:val="182C3D"/>
          </w:rPr>
          <w:t>Department of Health and Human Services, Federal Policy for the Protection of Human Subjects: Common Rule</w:t>
        </w:r>
      </w:hyperlink>
      <w:bookmarkEnd w:id="455"/>
    </w:p>
    <w:p>
      <w:pPr>
        <w:pStyle w:val="SourceText"/>
        <w:keepNext/>
      </w:pPr>
      <w:r>
        <w:t>45 C.F.R. part 46; accessed October 1, 2026</w:t>
      </w:r>
    </w:p>
    <w:p>
      <w:pPr>
        <w:pStyle w:val="SourceText"/>
        <w:keepLines/>
      </w:pPr>
      <w:r>
        <w:t xml:space="preserve">Existing research protections; scope and subparts must be checked for each study. </w:t>
      </w:r>
      <w:hyperlink r:id="rId46" w:history="1">
        <w:r>
          <w:rPr>
            <w:rFonts w:ascii="Liberation Serif" w:hAnsi="Liberation Serif"/>
            <w:color w:val="254F72"/>
            <w:sz w:val="21"/>
          </w:rPr>
          <w:t>Source: www.hhs.gov</w:t>
        </w:r>
      </w:hyperlink>
    </w:p>
    <w:p>
      <w:bookmarkStart w:id="456" w:name="R37"/>
      <w:pPr>
        <w:pStyle w:val="SourceText"/>
        <w:keepNext/>
        <w:spacing w:before="160"/>
      </w:pPr>
      <w:r>
        <w:rPr>
          <w:b/>
        </w:rPr>
        <w:t xml:space="preserve">[R37] </w:t>
      </w:r>
      <w:hyperlink r:id="rId47" w:history="1">
        <w:r>
          <w:rPr>
            <w:rFonts w:ascii="Liberation Serif" w:hAnsi="Liberation Serif"/>
            <w:b/>
            <w:color w:val="182C3D"/>
          </w:rPr>
          <w:t>World Medical Association, Declaration of Helsinki</w:t>
        </w:r>
      </w:hyperlink>
      <w:bookmarkEnd w:id="456"/>
    </w:p>
    <w:p>
      <w:pPr>
        <w:pStyle w:val="SourceText"/>
        <w:keepNext/>
      </w:pPr>
      <w:r>
        <w:t>2024 revision</w:t>
      </w:r>
    </w:p>
    <w:p>
      <w:pPr>
        <w:pStyle w:val="SourceText"/>
        <w:keepLines/>
      </w:pPr>
      <w:r>
        <w:t xml:space="preserve">Professional ethical declaration; not a self-executing United States statute. </w:t>
      </w:r>
      <w:hyperlink r:id="rId47" w:history="1">
        <w:r>
          <w:rPr>
            <w:rFonts w:ascii="Liberation Serif" w:hAnsi="Liberation Serif"/>
            <w:color w:val="254F72"/>
            <w:sz w:val="21"/>
          </w:rPr>
          <w:t>Source: www.wma.net</w:t>
        </w:r>
      </w:hyperlink>
    </w:p>
    <w:p>
      <w:bookmarkStart w:id="457" w:name="R38"/>
      <w:pPr>
        <w:pStyle w:val="SourceText"/>
        <w:keepNext/>
        <w:spacing w:before="160"/>
      </w:pPr>
      <w:r>
        <w:rPr>
          <w:b/>
        </w:rPr>
        <w:t xml:space="preserve">[R38] </w:t>
      </w:r>
      <w:hyperlink r:id="rId48" w:history="1">
        <w:r>
          <w:rPr>
            <w:rFonts w:ascii="Liberation Serif" w:hAnsi="Liberation Serif"/>
            <w:b/>
            <w:color w:val="182C3D"/>
          </w:rPr>
          <w:t>Department of the Interior, Native American Graves Protection and Repatriation Act: Systematic Processes for Disposition or Repatriation</w:t>
        </w:r>
      </w:hyperlink>
      <w:bookmarkEnd w:id="457"/>
    </w:p>
    <w:p>
      <w:pPr>
        <w:pStyle w:val="SourceText"/>
        <w:keepNext/>
      </w:pPr>
      <w:r>
        <w:t>Final rule, December 13, 2023; effective January 12, 2024</w:t>
      </w:r>
    </w:p>
    <w:p>
      <w:pPr>
        <w:pStyle w:val="SourceText"/>
        <w:keepLines/>
      </w:pPr>
      <w:r>
        <w:t xml:space="preserve">Existing provenance, consultation, consent, and repatriation obligations remain applicable. </w:t>
      </w:r>
      <w:hyperlink r:id="rId48" w:history="1">
        <w:r>
          <w:rPr>
            <w:rFonts w:ascii="Liberation Serif" w:hAnsi="Liberation Serif"/>
            <w:color w:val="254F72"/>
            <w:sz w:val="21"/>
          </w:rPr>
          <w:t>Source: www.federalregister.gov</w:t>
        </w:r>
      </w:hyperlink>
    </w:p>
    <w:p>
      <w:bookmarkStart w:id="458" w:name="R39"/>
      <w:pPr>
        <w:pStyle w:val="SourceText"/>
        <w:keepNext/>
        <w:spacing w:before="160"/>
      </w:pPr>
      <w:r>
        <w:rPr>
          <w:b/>
        </w:rPr>
        <w:t xml:space="preserve">[R39] </w:t>
      </w:r>
      <w:hyperlink r:id="rId49" w:history="1">
        <w:r>
          <w:rPr>
            <w:rFonts w:ascii="Liberation Serif" w:hAnsi="Liberation Serif"/>
            <w:b/>
            <w:color w:val="182C3D"/>
          </w:rPr>
          <w:t>African Union, AU Data Policy Framework</w:t>
        </w:r>
      </w:hyperlink>
      <w:bookmarkEnd w:id="458"/>
    </w:p>
    <w:p>
      <w:pPr>
        <w:pStyle w:val="SourceText"/>
        <w:keepNext/>
      </w:pPr>
      <w:r>
        <w:t>Endorsed 2022; official document page July 28, 2022</w:t>
      </w:r>
    </w:p>
    <w:p>
      <w:pPr>
        <w:pStyle w:val="SourceText"/>
        <w:keepLines/>
      </w:pPr>
      <w:r>
        <w:t xml:space="preserve">Continental policy framework; national implementation and local capacity differ. </w:t>
      </w:r>
      <w:hyperlink r:id="rId49" w:history="1">
        <w:r>
          <w:rPr>
            <w:rFonts w:ascii="Liberation Serif" w:hAnsi="Liberation Serif"/>
            <w:color w:val="254F72"/>
            <w:sz w:val="21"/>
          </w:rPr>
          <w:t>Source: au.int</w:t>
        </w:r>
      </w:hyperlink>
    </w:p>
    <w:p>
      <w:bookmarkStart w:id="459" w:name="R40"/>
      <w:pPr>
        <w:pStyle w:val="SourceText"/>
        <w:keepNext/>
        <w:spacing w:before="160"/>
      </w:pPr>
      <w:r>
        <w:rPr>
          <w:b/>
        </w:rPr>
        <w:t xml:space="preserve">[R40] </w:t>
      </w:r>
      <w:hyperlink r:id="rId50" w:history="1">
        <w:r>
          <w:rPr>
            <w:rFonts w:ascii="Liberation Serif" w:hAnsi="Liberation Serif"/>
            <w:b/>
            <w:color w:val="182C3D"/>
          </w:rPr>
          <w:t>United Nations, Convention on the Rights of Persons with Disabilities</w:t>
        </w:r>
      </w:hyperlink>
      <w:bookmarkEnd w:id="459"/>
    </w:p>
    <w:p>
      <w:pPr>
        <w:pStyle w:val="SourceText"/>
        <w:keepNext/>
      </w:pPr>
      <w:r>
        <w:t>2006 instrument</w:t>
      </w:r>
    </w:p>
    <w:p>
      <w:pPr>
        <w:pStyle w:val="SourceText"/>
        <w:keepLines/>
      </w:pPr>
      <w:r>
        <w:t xml:space="preserve">Comparative treaty reference; this package does not assume United States ratification or automatic domestic effect. </w:t>
      </w:r>
      <w:hyperlink r:id="rId50" w:history="1">
        <w:r>
          <w:rPr>
            <w:rFonts w:ascii="Liberation Serif" w:hAnsi="Liberation Serif"/>
            <w:color w:val="254F72"/>
            <w:sz w:val="21"/>
          </w:rPr>
          <w:t>Source: www.ohchr.org</w:t>
        </w:r>
      </w:hyperlink>
    </w:p>
    <w:p>
      <w:bookmarkStart w:id="460" w:name="R41"/>
      <w:pPr>
        <w:pStyle w:val="SourceText"/>
        <w:keepNext/>
        <w:spacing w:before="160"/>
      </w:pPr>
      <w:r>
        <w:rPr>
          <w:b/>
        </w:rPr>
        <w:t xml:space="preserve">[R41] </w:t>
      </w:r>
      <w:hyperlink r:id="rId51" w:history="1">
        <w:r>
          <w:rPr>
            <w:rFonts w:ascii="Liberation Serif" w:hAnsi="Liberation Serif"/>
            <w:b/>
            <w:color w:val="182C3D"/>
          </w:rPr>
          <w:t>Well-being of Future Generations (Wales) Act 2015</w:t>
        </w:r>
      </w:hyperlink>
      <w:bookmarkEnd w:id="460"/>
    </w:p>
    <w:p>
      <w:pPr>
        <w:pStyle w:val="SourceText"/>
        <w:keepNext/>
      </w:pPr>
      <w:r>
        <w:t>2015 anaw 2</w:t>
      </w:r>
    </w:p>
    <w:p>
      <w:pPr>
        <w:pStyle w:val="SourceText"/>
        <w:keepLines/>
      </w:pPr>
      <w:r>
        <w:t xml:space="preserve">Duties and governance for specified Welsh public bodies; not directly transplantable United States authority. </w:t>
      </w:r>
      <w:hyperlink r:id="rId51" w:history="1">
        <w:r>
          <w:rPr>
            <w:rFonts w:ascii="Liberation Serif" w:hAnsi="Liberation Serif"/>
            <w:color w:val="254F72"/>
            <w:sz w:val="21"/>
          </w:rPr>
          <w:t>Source: www.legislation.gov.uk</w:t>
        </w:r>
      </w:hyperlink>
    </w:p>
    <w:p>
      <w:bookmarkStart w:id="461" w:name="R42"/>
      <w:pPr>
        <w:pStyle w:val="SourceText"/>
        <w:keepNext/>
        <w:spacing w:before="160"/>
      </w:pPr>
      <w:r>
        <w:rPr>
          <w:b/>
        </w:rPr>
        <w:t xml:space="preserve">[R42] </w:t>
      </w:r>
      <w:hyperlink r:id="rId52" w:history="1">
        <w:r>
          <w:rPr>
            <w:rFonts w:ascii="Liberation Serif" w:hAnsi="Liberation Serif"/>
            <w:b/>
            <w:color w:val="182C3D"/>
          </w:rPr>
          <w:t>Australian Fair Work Ombudsman, Right to Disconnect</w:t>
        </w:r>
      </w:hyperlink>
      <w:bookmarkEnd w:id="461"/>
    </w:p>
    <w:p>
      <w:pPr>
        <w:pStyle w:val="SourceText"/>
        <w:keepNext/>
      </w:pPr>
      <w:r>
        <w:t>Current guidance accessed October 1, 2026</w:t>
      </w:r>
    </w:p>
    <w:p>
      <w:pPr>
        <w:pStyle w:val="SourceText"/>
        <w:keepLines/>
      </w:pPr>
      <w:r>
        <w:t xml:space="preserve">Reasonableness-based employment right; not a blanket ban on all after-hours contact. </w:t>
      </w:r>
      <w:hyperlink r:id="rId52" w:history="1">
        <w:r>
          <w:rPr>
            <w:rFonts w:ascii="Liberation Serif" w:hAnsi="Liberation Serif"/>
            <w:color w:val="254F72"/>
            <w:sz w:val="21"/>
          </w:rPr>
          <w:t>Source: www.fairwork.gov.au</w:t>
        </w:r>
      </w:hyperlink>
    </w:p>
    <w:p>
      <w:bookmarkStart w:id="462" w:name="R43"/>
      <w:pPr>
        <w:pStyle w:val="SourceText"/>
        <w:keepNext/>
        <w:spacing w:before="160"/>
      </w:pPr>
      <w:r>
        <w:rPr>
          <w:b/>
        </w:rPr>
        <w:t xml:space="preserve">[R43] </w:t>
      </w:r>
      <w:hyperlink r:id="rId53" w:history="1">
        <w:r>
          <w:rPr>
            <w:rFonts w:ascii="Liberation Serif" w:hAnsi="Liberation Serif"/>
            <w:b/>
            <w:color w:val="182C3D"/>
          </w:rPr>
          <w:t>European Parliament and Council, Directive 2003/88/EC Concerning Certain Aspects of the Organisation of Working Time</w:t>
        </w:r>
      </w:hyperlink>
      <w:bookmarkEnd w:id="462"/>
    </w:p>
    <w:p>
      <w:pPr>
        <w:pStyle w:val="SourceText"/>
        <w:keepNext/>
      </w:pPr>
      <w:r>
        <w:t>November 4, 2003</w:t>
      </w:r>
    </w:p>
    <w:p>
      <w:pPr>
        <w:pStyle w:val="SourceText"/>
        <w:keepLines/>
      </w:pPr>
      <w:r>
        <w:t xml:space="preserve">Minimum rest and working-time framework with derogations and national implementation. </w:t>
      </w:r>
      <w:hyperlink r:id="rId53" w:history="1">
        <w:r>
          <w:rPr>
            <w:rFonts w:ascii="Liberation Serif" w:hAnsi="Liberation Serif"/>
            <w:color w:val="254F72"/>
            <w:sz w:val="21"/>
          </w:rPr>
          <w:t>Source: eur-lex.europa.eu</w:t>
        </w:r>
      </w:hyperlink>
    </w:p>
    <w:p>
      <w:bookmarkStart w:id="463" w:name="R44"/>
      <w:pPr>
        <w:pStyle w:val="SourceText"/>
        <w:keepNext/>
        <w:spacing w:before="160"/>
      </w:pPr>
      <w:r>
        <w:rPr>
          <w:b/>
        </w:rPr>
        <w:t xml:space="preserve">[R44] </w:t>
      </w:r>
      <w:hyperlink r:id="rId54" w:history="1">
        <w:r>
          <w:rPr>
            <w:rFonts w:ascii="Liberation Serif" w:hAnsi="Liberation Serif"/>
            <w:b/>
            <w:color w:val="182C3D"/>
          </w:rPr>
          <w:t>Cabinet Office of Japan, Policies on Loneliness and Isolation</w:t>
        </w:r>
      </w:hyperlink>
      <w:bookmarkEnd w:id="463"/>
    </w:p>
    <w:p>
      <w:pPr>
        <w:pStyle w:val="SourceText"/>
        <w:keepNext/>
      </w:pPr>
      <w:r>
        <w:t>Official English-language policy portal; accessed October 1, 2026</w:t>
      </w:r>
    </w:p>
    <w:p>
      <w:pPr>
        <w:pStyle w:val="SourceText"/>
        <w:keepLines/>
      </w:pPr>
      <w:r>
        <w:t xml:space="preserve">Coordination model; not evidence that the law itself has caused a particular health improvement. </w:t>
      </w:r>
      <w:hyperlink r:id="rId54" w:history="1">
        <w:r>
          <w:rPr>
            <w:rFonts w:ascii="Liberation Serif" w:hAnsi="Liberation Serif"/>
            <w:color w:val="254F72"/>
            <w:sz w:val="21"/>
          </w:rPr>
          <w:t>Source: www.cao.go.jp</w:t>
        </w:r>
      </w:hyperlink>
    </w:p>
    <w:p>
      <w:bookmarkStart w:id="464" w:name="R45"/>
      <w:pPr>
        <w:pStyle w:val="SourceText"/>
        <w:keepNext/>
        <w:spacing w:before="160"/>
      </w:pPr>
      <w:r>
        <w:rPr>
          <w:b/>
        </w:rPr>
        <w:t xml:space="preserve">[R45] </w:t>
      </w:r>
      <w:hyperlink r:id="rId55" w:history="1">
        <w:r>
          <w:rPr>
            <w:rFonts w:ascii="Liberation Serif" w:hAnsi="Liberation Serif"/>
            <w:b/>
            <w:color w:val="182C3D"/>
          </w:rPr>
          <w:t>Chile, Law No. 21.383, Constitutional Amendment Concerning Scientific and Technological Development at the Service of Persons</w:t>
        </w:r>
      </w:hyperlink>
      <w:bookmarkEnd w:id="464"/>
    </w:p>
    <w:p>
      <w:pPr>
        <w:pStyle w:val="SourceText"/>
        <w:keepNext/>
      </w:pPr>
      <w:r>
        <w:t>October 25, 2021</w:t>
      </w:r>
    </w:p>
    <w:p>
      <w:pPr>
        <w:pStyle w:val="SourceText"/>
        <w:keepLines/>
      </w:pPr>
      <w:r>
        <w:t xml:space="preserve">Constitutional text concerning physical and mental integrity and brain activity; distinguish later legislative proposals. </w:t>
      </w:r>
      <w:hyperlink r:id="rId55" w:history="1">
        <w:r>
          <w:rPr>
            <w:rFonts w:ascii="Liberation Serif" w:hAnsi="Liberation Serif"/>
            <w:color w:val="254F72"/>
            <w:sz w:val="21"/>
          </w:rPr>
          <w:t>Source: www.bcn.cl</w:t>
        </w:r>
      </w:hyperlink>
    </w:p>
    <w:p>
      <w:bookmarkStart w:id="465" w:name="R46"/>
      <w:pPr>
        <w:pStyle w:val="SourceText"/>
        <w:keepNext/>
        <w:spacing w:before="160"/>
      </w:pPr>
      <w:r>
        <w:rPr>
          <w:b/>
        </w:rPr>
        <w:t xml:space="preserve">[R46] </w:t>
      </w:r>
      <w:hyperlink r:id="rId56" w:history="1">
        <w:r>
          <w:rPr>
            <w:rFonts w:ascii="Liberation Serif" w:hAnsi="Liberation Serif"/>
            <w:b/>
            <w:color w:val="182C3D"/>
          </w:rPr>
          <w:t>Congressional Research Service, Constitution Annotated: Spending Power Overview</w:t>
        </w:r>
      </w:hyperlink>
      <w:bookmarkEnd w:id="465"/>
    </w:p>
    <w:p>
      <w:pPr>
        <w:pStyle w:val="SourceText"/>
        <w:keepNext/>
      </w:pPr>
      <w:r>
        <w:t>Accessed October 1, 2026</w:t>
      </w:r>
    </w:p>
    <w:p>
      <w:pPr>
        <w:pStyle w:val="SourceText"/>
        <w:keepLines/>
      </w:pPr>
      <w:r>
        <w:t xml:space="preserve">Federal spending authority and constitutional limits. </w:t>
      </w:r>
      <w:hyperlink r:id="rId56" w:history="1">
        <w:r>
          <w:rPr>
            <w:rFonts w:ascii="Liberation Serif" w:hAnsi="Liberation Serif"/>
            <w:color w:val="254F72"/>
            <w:sz w:val="21"/>
          </w:rPr>
          <w:t>Source: constitution.congress.gov</w:t>
        </w:r>
      </w:hyperlink>
    </w:p>
    <w:p>
      <w:bookmarkStart w:id="466" w:name="R47"/>
      <w:pPr>
        <w:pStyle w:val="SourceText"/>
        <w:keepNext/>
        <w:spacing w:before="160"/>
      </w:pPr>
      <w:r>
        <w:rPr>
          <w:b/>
        </w:rPr>
        <w:t xml:space="preserve">[R47] </w:t>
      </w:r>
      <w:hyperlink r:id="rId57" w:history="1">
        <w:r>
          <w:rPr>
            <w:rFonts w:ascii="Liberation Serif" w:hAnsi="Liberation Serif"/>
            <w:b/>
            <w:color w:val="182C3D"/>
          </w:rPr>
          <w:t>Congressional Research Service, Constitution Annotated: Coercion and Spending Conditions</w:t>
        </w:r>
      </w:hyperlink>
      <w:bookmarkEnd w:id="466"/>
    </w:p>
    <w:p>
      <w:pPr>
        <w:pStyle w:val="SourceText"/>
        <w:keepNext/>
      </w:pPr>
      <w:r>
        <w:t>Accessed October 1, 2026</w:t>
      </w:r>
    </w:p>
    <w:p>
      <w:pPr>
        <w:pStyle w:val="SourceText"/>
        <w:keepLines/>
      </w:pPr>
      <w:r>
        <w:t xml:space="preserve">NFIB-related anti-coercion analysis; voluntary label alone does not settle constitutionality. </w:t>
      </w:r>
      <w:hyperlink r:id="rId57" w:history="1">
        <w:r>
          <w:rPr>
            <w:rFonts w:ascii="Liberation Serif" w:hAnsi="Liberation Serif"/>
            <w:color w:val="254F72"/>
            <w:sz w:val="21"/>
          </w:rPr>
          <w:t>Source: constitution.congress.gov</w:t>
        </w:r>
      </w:hyperlink>
    </w:p>
    <w:p>
      <w:bookmarkStart w:id="467" w:name="R48"/>
      <w:pPr>
        <w:pStyle w:val="SourceText"/>
        <w:keepNext/>
        <w:spacing w:before="160"/>
      </w:pPr>
      <w:r>
        <w:rPr>
          <w:b/>
        </w:rPr>
        <w:t xml:space="preserve">[R48] </w:t>
      </w:r>
      <w:hyperlink r:id="rId58" w:history="1">
        <w:r>
          <w:rPr>
            <w:rFonts w:ascii="Liberation Serif" w:hAnsi="Liberation Serif"/>
            <w:b/>
            <w:color w:val="182C3D"/>
          </w:rPr>
          <w:t>Congressional Research Service, Constitution Annotated: Anti-Commandeering Doctrine</w:t>
        </w:r>
      </w:hyperlink>
      <w:bookmarkEnd w:id="467"/>
    </w:p>
    <w:p>
      <w:pPr>
        <w:pStyle w:val="SourceText"/>
        <w:keepNext/>
      </w:pPr>
      <w:r>
        <w:t>Accessed October 1, 2026</w:t>
      </w:r>
    </w:p>
    <w:p>
      <w:pPr>
        <w:pStyle w:val="SourceText"/>
        <w:keepLines/>
      </w:pPr>
      <w:r>
        <w:t xml:space="preserve">Federalism limits on directing State legislative and executive administration. </w:t>
      </w:r>
      <w:hyperlink r:id="rId58" w:history="1">
        <w:r>
          <w:rPr>
            <w:rFonts w:ascii="Liberation Serif" w:hAnsi="Liberation Serif"/>
            <w:color w:val="254F72"/>
            <w:sz w:val="21"/>
          </w:rPr>
          <w:t>Source: constitution.congress.gov</w:t>
        </w:r>
      </w:hyperlink>
    </w:p>
    <w:p>
      <w:bookmarkStart w:id="468" w:name="R49"/>
      <w:pPr>
        <w:pStyle w:val="SourceText"/>
        <w:keepNext/>
        <w:spacing w:before="160"/>
      </w:pPr>
      <w:r>
        <w:rPr>
          <w:b/>
        </w:rPr>
        <w:t xml:space="preserve">[R49] </w:t>
      </w:r>
      <w:hyperlink r:id="rId59" w:history="1">
        <w:r>
          <w:rPr>
            <w:rFonts w:ascii="Liberation Serif" w:hAnsi="Liberation Serif"/>
            <w:b/>
            <w:color w:val="182C3D"/>
          </w:rPr>
          <w:t>Congressional Research Service, Constitution Annotated: Major Questions Doctrine</w:t>
        </w:r>
      </w:hyperlink>
      <w:bookmarkEnd w:id="468"/>
    </w:p>
    <w:p>
      <w:pPr>
        <w:pStyle w:val="SourceText"/>
        <w:keepNext/>
      </w:pPr>
      <w:r>
        <w:t>Accessed October 1, 2026</w:t>
      </w:r>
    </w:p>
    <w:p>
      <w:pPr>
        <w:pStyle w:val="SourceText"/>
        <w:keepLines/>
      </w:pPr>
      <w:r>
        <w:t xml:space="preserve">Delegation and clarity concerns for consequential agency action. </w:t>
      </w:r>
      <w:hyperlink r:id="rId59" w:history="1">
        <w:r>
          <w:rPr>
            <w:rFonts w:ascii="Liberation Serif" w:hAnsi="Liberation Serif"/>
            <w:color w:val="254F72"/>
            <w:sz w:val="21"/>
          </w:rPr>
          <w:t>Source: constitution.congress.gov</w:t>
        </w:r>
      </w:hyperlink>
    </w:p>
    <w:p>
      <w:bookmarkStart w:id="469" w:name="R50"/>
      <w:pPr>
        <w:pStyle w:val="SourceText"/>
        <w:keepNext/>
        <w:spacing w:before="160"/>
      </w:pPr>
      <w:r>
        <w:rPr>
          <w:b/>
        </w:rPr>
        <w:t xml:space="preserve">[R50] </w:t>
      </w:r>
      <w:hyperlink r:id="rId60" w:history="1">
        <w:r>
          <w:rPr>
            <w:rFonts w:ascii="Liberation Serif" w:hAnsi="Liberation Serif"/>
            <w:b/>
            <w:color w:val="182C3D"/>
          </w:rPr>
          <w:t>Loper Bright Enterprises v. Raimondo, No. 22-451</w:t>
        </w:r>
      </w:hyperlink>
      <w:bookmarkEnd w:id="469"/>
    </w:p>
    <w:p>
      <w:pPr>
        <w:pStyle w:val="SourceText"/>
        <w:keepNext/>
      </w:pPr>
      <w:r>
        <w:t>Supreme Court, June 28, 2024; slip opinion</w:t>
      </w:r>
    </w:p>
    <w:p>
      <w:pPr>
        <w:pStyle w:val="SourceText"/>
        <w:keepLines/>
      </w:pPr>
      <w:r>
        <w:t xml:space="preserve">Independent judicial interpretation under the Administrative Procedure Act; technical facts remain separately reviewable. </w:t>
      </w:r>
      <w:hyperlink r:id="rId60" w:history="1">
        <w:r>
          <w:rPr>
            <w:rFonts w:ascii="Liberation Serif" w:hAnsi="Liberation Serif"/>
            <w:color w:val="254F72"/>
            <w:sz w:val="21"/>
          </w:rPr>
          <w:t>Source: www.supremecourt.gov</w:t>
        </w:r>
      </w:hyperlink>
    </w:p>
    <w:p>
      <w:bookmarkStart w:id="470" w:name="R51"/>
      <w:pPr>
        <w:pStyle w:val="SourceText"/>
        <w:keepNext/>
        <w:spacing w:before="160"/>
      </w:pPr>
      <w:r>
        <w:rPr>
          <w:b/>
        </w:rPr>
        <w:t xml:space="preserve">[R51] </w:t>
      </w:r>
      <w:hyperlink r:id="rId61" w:history="1">
        <w:r>
          <w:rPr>
            <w:rFonts w:ascii="Liberation Serif" w:hAnsi="Liberation Serif"/>
            <w:b/>
            <w:color w:val="182C3D"/>
          </w:rPr>
          <w:t>Securities and Exchange Commission v. Jarkesy, No. 22-859</w:t>
        </w:r>
      </w:hyperlink>
      <w:bookmarkEnd w:id="470"/>
    </w:p>
    <w:p>
      <w:pPr>
        <w:pStyle w:val="SourceText"/>
        <w:keepNext/>
      </w:pPr>
      <w:r>
        <w:t>Supreme Court, June 27, 2024; slip opinion</w:t>
      </w:r>
    </w:p>
    <w:p>
      <w:pPr>
        <w:pStyle w:val="SourceText"/>
        <w:keepLines/>
      </w:pPr>
      <w:r>
        <w:t xml:space="preserve">Seventh Amendment implications of SEC civil penalties; not a ruling that every administrative remedy is forbidden. </w:t>
      </w:r>
      <w:hyperlink r:id="rId61" w:history="1">
        <w:r>
          <w:rPr>
            <w:rFonts w:ascii="Liberation Serif" w:hAnsi="Liberation Serif"/>
            <w:color w:val="254F72"/>
            <w:sz w:val="21"/>
          </w:rPr>
          <w:t>Source: www.supremecourt.gov</w:t>
        </w:r>
      </w:hyperlink>
    </w:p>
    <w:p>
      <w:bookmarkStart w:id="471" w:name="R52"/>
      <w:pPr>
        <w:pStyle w:val="SourceText"/>
        <w:keepNext/>
        <w:spacing w:before="160"/>
      </w:pPr>
      <w:r>
        <w:rPr>
          <w:b/>
        </w:rPr>
        <w:t xml:space="preserve">[R52] </w:t>
      </w:r>
      <w:hyperlink r:id="rId62" w:history="1">
        <w:r>
          <w:rPr>
            <w:rFonts w:ascii="Liberation Serif" w:hAnsi="Liberation Serif"/>
            <w:b/>
            <w:color w:val="182C3D"/>
          </w:rPr>
          <w:t>Moody v. NetChoice, LLC, No. 22-277</w:t>
        </w:r>
      </w:hyperlink>
      <w:bookmarkEnd w:id="471"/>
    </w:p>
    <w:p>
      <w:pPr>
        <w:pStyle w:val="SourceText"/>
        <w:keepNext/>
      </w:pPr>
      <w:r>
        <w:t>Supreme Court, July 1, 2024; slip opinion</w:t>
      </w:r>
    </w:p>
    <w:p>
      <w:pPr>
        <w:pStyle w:val="SourceText"/>
        <w:keepLines/>
      </w:pPr>
      <w:r>
        <w:t xml:space="preserve">Platform editorial expression and facial-review analysis; application-specific scrutiny remains necessary. </w:t>
      </w:r>
      <w:hyperlink r:id="rId62" w:history="1">
        <w:r>
          <w:rPr>
            <w:rFonts w:ascii="Liberation Serif" w:hAnsi="Liberation Serif"/>
            <w:color w:val="254F72"/>
            <w:sz w:val="21"/>
          </w:rPr>
          <w:t>Source: www.supremecourt.gov</w:t>
        </w:r>
      </w:hyperlink>
    </w:p>
    <w:p>
      <w:bookmarkStart w:id="472" w:name="R53"/>
      <w:pPr>
        <w:pStyle w:val="SourceText"/>
        <w:keepNext/>
        <w:spacing w:before="160"/>
      </w:pPr>
      <w:r>
        <w:rPr>
          <w:b/>
        </w:rPr>
        <w:t xml:space="preserve">[R53] </w:t>
      </w:r>
      <w:hyperlink r:id="rId63" w:history="1">
        <w:r>
          <w:rPr>
            <w:rFonts w:ascii="Liberation Serif" w:hAnsi="Liberation Serif"/>
            <w:b/>
            <w:color w:val="182C3D"/>
          </w:rPr>
          <w:t>Free Speech Coalition, Inc. v. Paxton, No. 23-1122</w:t>
        </w:r>
      </w:hyperlink>
      <w:bookmarkEnd w:id="472"/>
    </w:p>
    <w:p>
      <w:pPr>
        <w:pStyle w:val="SourceText"/>
        <w:keepNext/>
      </w:pPr>
      <w:r>
        <w:t>Supreme Court, June 27, 2025; slip opinion</w:t>
      </w:r>
    </w:p>
    <w:p>
      <w:pPr>
        <w:pStyle w:val="SourceText"/>
        <w:keepLines/>
      </w:pPr>
      <w:r>
        <w:t xml:space="preserve">Context-specific age-verification decision; not blanket validation of every online identity mandate. </w:t>
      </w:r>
      <w:hyperlink r:id="rId63" w:history="1">
        <w:r>
          <w:rPr>
            <w:rFonts w:ascii="Liberation Serif" w:hAnsi="Liberation Serif"/>
            <w:color w:val="254F72"/>
            <w:sz w:val="21"/>
          </w:rPr>
          <w:t>Source: www.supremecourt.gov</w:t>
        </w:r>
      </w:hyperlink>
    </w:p>
    <w:p>
      <w:bookmarkStart w:id="473" w:name="R54"/>
      <w:pPr>
        <w:pStyle w:val="SourceText"/>
        <w:keepNext/>
        <w:spacing w:before="160"/>
      </w:pPr>
      <w:r>
        <w:rPr>
          <w:b/>
        </w:rPr>
        <w:t xml:space="preserve">[R54] </w:t>
      </w:r>
      <w:hyperlink r:id="rId64" w:history="1">
        <w:r>
          <w:rPr>
            <w:rFonts w:ascii="Liberation Serif" w:hAnsi="Liberation Serif"/>
            <w:b/>
            <w:color w:val="182C3D"/>
          </w:rPr>
          <w:t>Cummings v. Premier Rehab Keller, P.L.L.C., No. 20-219</w:t>
        </w:r>
      </w:hyperlink>
      <w:bookmarkEnd w:id="473"/>
    </w:p>
    <w:p>
      <w:pPr>
        <w:pStyle w:val="SourceText"/>
        <w:keepNext/>
      </w:pPr>
      <w:r>
        <w:t>Supreme Court, April 28, 2022; slip opinion</w:t>
      </w:r>
    </w:p>
    <w:p>
      <w:pPr>
        <w:pStyle w:val="SourceText"/>
        <w:keepLines/>
      </w:pPr>
      <w:r>
        <w:t xml:space="preserve">Existing Rehabilitation Act and ACA implied remedies; clear notice of newly created remedies matters. </w:t>
      </w:r>
      <w:hyperlink r:id="rId64" w:history="1">
        <w:r>
          <w:rPr>
            <w:rFonts w:ascii="Liberation Serif" w:hAnsi="Liberation Serif"/>
            <w:color w:val="254F72"/>
            <w:sz w:val="21"/>
          </w:rPr>
          <w:t>Source: www.supremecourt.gov</w:t>
        </w:r>
      </w:hyperlink>
    </w:p>
    <w:p>
      <w:bookmarkStart w:id="474" w:name="R55"/>
      <w:pPr>
        <w:pStyle w:val="SourceText"/>
        <w:keepNext/>
        <w:spacing w:before="160"/>
      </w:pPr>
      <w:r>
        <w:rPr>
          <w:b/>
        </w:rPr>
        <w:t xml:space="preserve">[R55] </w:t>
      </w:r>
      <w:hyperlink r:id="rId65" w:history="1">
        <w:r>
          <w:rPr>
            <w:rFonts w:ascii="Liberation Serif" w:hAnsi="Liberation Serif"/>
            <w:b/>
            <w:color w:val="182C3D"/>
          </w:rPr>
          <w:t>TransUnion LLC v. Ramirez, No. 20-297</w:t>
        </w:r>
      </w:hyperlink>
      <w:bookmarkEnd w:id="474"/>
    </w:p>
    <w:p>
      <w:pPr>
        <w:pStyle w:val="SourceText"/>
        <w:keepNext/>
      </w:pPr>
      <w:r>
        <w:t>Supreme Court, June 25, 2021; slip opinion</w:t>
      </w:r>
    </w:p>
    <w:p>
      <w:pPr>
        <w:pStyle w:val="SourceText"/>
        <w:keepLines/>
      </w:pPr>
      <w:r>
        <w:t xml:space="preserve">Article III concrete-injury requirement for Federal damages claims. </w:t>
      </w:r>
      <w:hyperlink r:id="rId65" w:history="1">
        <w:r>
          <w:rPr>
            <w:rFonts w:ascii="Liberation Serif" w:hAnsi="Liberation Serif"/>
            <w:color w:val="254F72"/>
            <w:sz w:val="21"/>
          </w:rPr>
          <w:t>Source: www.supremecourt.gov</w:t>
        </w:r>
      </w:hyperlink>
    </w:p>
    <w:p>
      <w:bookmarkStart w:id="475" w:name="R56"/>
      <w:pPr>
        <w:pStyle w:val="SourceText"/>
        <w:keepNext/>
        <w:spacing w:before="160"/>
      </w:pPr>
      <w:r>
        <w:rPr>
          <w:b/>
        </w:rPr>
        <w:t xml:space="preserve">[R56] </w:t>
      </w:r>
      <w:hyperlink r:id="rId66" w:history="1">
        <w:r>
          <w:rPr>
            <w:rFonts w:ascii="Liberation Serif" w:hAnsi="Liberation Serif"/>
            <w:b/>
            <w:color w:val="182C3D"/>
          </w:rPr>
          <w:t>Department of Justice, Statement on Enforcement of the Integration Mandate of Title II of the ADA and Olmstead v. L.C.</w:t>
        </w:r>
      </w:hyperlink>
      <w:bookmarkEnd w:id="475"/>
    </w:p>
    <w:p>
      <w:pPr>
        <w:pStyle w:val="SourceText"/>
        <w:keepNext/>
      </w:pPr>
      <w:r>
        <w:t>Guidance last updated February 28, 2020</w:t>
      </w:r>
    </w:p>
    <w:p>
      <w:pPr>
        <w:pStyle w:val="SourceText"/>
        <w:keepLines/>
      </w:pPr>
      <w:r>
        <w:t xml:space="preserve">Explains DOJ interpretation of community integration and applicable limits; guidance is not the judgment itself. </w:t>
      </w:r>
      <w:hyperlink r:id="rId66" w:history="1">
        <w:r>
          <w:rPr>
            <w:rFonts w:ascii="Liberation Serif" w:hAnsi="Liberation Serif"/>
            <w:color w:val="254F72"/>
            <w:sz w:val="21"/>
          </w:rPr>
          <w:t>Source: www.ada.gov</w:t>
        </w:r>
      </w:hyperlink>
    </w:p>
    <w:p>
      <w:bookmarkStart w:id="476" w:name="R57"/>
      <w:pPr>
        <w:pStyle w:val="SourceText"/>
        <w:keepNext/>
        <w:spacing w:before="160"/>
      </w:pPr>
      <w:r>
        <w:rPr>
          <w:b/>
        </w:rPr>
        <w:t xml:space="preserve">[R57] </w:t>
      </w:r>
      <w:hyperlink r:id="rId67" w:history="1">
        <w:r>
          <w:rPr>
            <w:rFonts w:ascii="Liberation Serif" w:hAnsi="Liberation Serif"/>
            <w:b/>
            <w:color w:val="182C3D"/>
          </w:rPr>
          <w:t>National Human Genome Research Institute, Genetic Discrimination</w:t>
        </w:r>
      </w:hyperlink>
      <w:bookmarkEnd w:id="476"/>
    </w:p>
    <w:p>
      <w:pPr>
        <w:pStyle w:val="SourceText"/>
        <w:keepNext/>
      </w:pPr>
      <w:r>
        <w:t>Accessed October 1, 2026</w:t>
      </w:r>
    </w:p>
    <w:p>
      <w:pPr>
        <w:pStyle w:val="SourceText"/>
        <w:keepLines/>
      </w:pPr>
      <w:r>
        <w:t xml:space="preserve">GINA coverage and gaps; broader insurance regulation is not silently supplied by the draft. </w:t>
      </w:r>
      <w:hyperlink r:id="rId67" w:history="1">
        <w:r>
          <w:rPr>
            <w:rFonts w:ascii="Liberation Serif" w:hAnsi="Liberation Serif"/>
            <w:color w:val="254F72"/>
            <w:sz w:val="21"/>
          </w:rPr>
          <w:t>Source: www.genome.gov</w:t>
        </w:r>
      </w:hyperlink>
    </w:p>
    <w:p>
      <w:bookmarkStart w:id="477" w:name="R58"/>
      <w:pPr>
        <w:pStyle w:val="SourceText"/>
        <w:keepNext/>
        <w:spacing w:before="160"/>
      </w:pPr>
      <w:r>
        <w:rPr>
          <w:b/>
        </w:rPr>
        <w:t xml:space="preserve">[R58] </w:t>
      </w:r>
      <w:hyperlink r:id="rId68" w:history="1">
        <w:r>
          <w:rPr>
            <w:rFonts w:ascii="Liberation Serif" w:hAnsi="Liberation Serif"/>
            <w:b/>
            <w:color w:val="182C3D"/>
          </w:rPr>
          <w:t>Congressional Budget Office, Frequently Asked Questions About Cost Estimates</w:t>
        </w:r>
      </w:hyperlink>
      <w:bookmarkEnd w:id="477"/>
    </w:p>
    <w:p>
      <w:pPr>
        <w:pStyle w:val="SourceText"/>
        <w:keepNext/>
      </w:pPr>
      <w:r>
        <w:t>Accessed October 1, 2026</w:t>
      </w:r>
    </w:p>
    <w:p>
      <w:pPr>
        <w:pStyle w:val="SourceText"/>
        <w:keepLines/>
      </w:pPr>
      <w:r>
        <w:t xml:space="preserve">Distinctions among direct spending, authorizations, mandates, PAYGO, and debt-service analysis. </w:t>
      </w:r>
      <w:hyperlink r:id="rId68" w:history="1">
        <w:r>
          <w:rPr>
            <w:rFonts w:ascii="Liberation Serif" w:hAnsi="Liberation Serif"/>
            <w:color w:val="254F72"/>
            <w:sz w:val="21"/>
          </w:rPr>
          <w:t>Source: www.cbo.gov</w:t>
        </w:r>
      </w:hyperlink>
    </w:p>
    <w:p>
      <w:bookmarkStart w:id="478" w:name="R59"/>
      <w:pPr>
        <w:pStyle w:val="SourceText"/>
        <w:keepNext/>
        <w:spacing w:before="160"/>
      </w:pPr>
      <w:r>
        <w:rPr>
          <w:b/>
        </w:rPr>
        <w:t xml:space="preserve">[R59] </w:t>
      </w:r>
      <w:hyperlink r:id="rId69" w:history="1">
        <w:r>
          <w:rPr>
            <w:rFonts w:ascii="Liberation Serif" w:hAnsi="Liberation Serif"/>
            <w:b/>
            <w:color w:val="182C3D"/>
          </w:rPr>
          <w:t>Office of Management and Budget, Uniform Administrative Requirements, Cost Principles, and Audit Requirements for Federal Awards</w:t>
        </w:r>
      </w:hyperlink>
      <w:bookmarkEnd w:id="478"/>
    </w:p>
    <w:p>
      <w:pPr>
        <w:pStyle w:val="SourceText"/>
        <w:keepNext/>
      </w:pPr>
      <w:r>
        <w:t>2 C.F.R. part 200; accessed October 1, 2026</w:t>
      </w:r>
    </w:p>
    <w:p>
      <w:pPr>
        <w:pStyle w:val="SourceText"/>
        <w:keepLines/>
      </w:pPr>
      <w:r>
        <w:t xml:space="preserve">Existing award administration and cost principles; HUMAN Act-specific requirements are additional where lawfully specified. </w:t>
      </w:r>
      <w:hyperlink r:id="rId69" w:history="1">
        <w:r>
          <w:rPr>
            <w:rFonts w:ascii="Liberation Serif" w:hAnsi="Liberation Serif"/>
            <w:color w:val="254F72"/>
            <w:sz w:val="21"/>
          </w:rPr>
          <w:t>Source: www.ecfr.gov</w:t>
        </w:r>
      </w:hyperlink>
    </w:p>
    <w:p>
      <w:bookmarkStart w:id="479" w:name="ANNEX_H"/>
      <w:pPr>
        <w:pStyle w:val="Heading1"/>
        <w:pageBreakBefore/>
      </w:pPr>
      <w:r>
        <w:t>ANNEX H. QUALITY-CHECK</w:t>
      </w:r>
      <w:bookmarkEnd w:id="479"/>
    </w:p>
    <w:p>
      <w:bookmarkStart w:id="480" w:name="ANNEX_SECTION_479"/>
      <w:pPr>
        <w:pStyle w:val="Heading2"/>
      </w:pPr>
      <w:r>
        <w:t>H.1. Consistency and completeness</w:t>
      </w:r>
      <w:bookmarkEnd w:id="480"/>
    </w:p>
    <w:p>
      <w:pPr/>
      <w:r>
        <w:t>The operative text contains thirty titles and three hundred uniquely numbered sections. The appropriation schedule totals $400 billion, the eleven account shares total 100 percent, and the advance is included rather than added. The central staffing ceiling is included in the overall ceiling. Organizational, general, commercial, and technology-specific commencement rules are distinguished. The document includes the entire model text; the annexes do not substitute for omitted operative sections.</w:t>
      </w:r>
    </w:p>
    <w:p>
      <w:pPr/>
      <w:r>
        <w:t>Internal references were checked against the section inventory. References to section 553 of title 5, United States Code, concern external law, not a missing section of this bill. The research and fiscal annexes are expressly nonoperative. Final introduction should still include independent legislative-counsel review of every cross-reference and proposed conforming amendment.</w:t>
      </w:r>
    </w:p>
    <w:p>
      <w:bookmarkStart w:id="481" w:name="ANNEX_SECTION_480"/>
      <w:pPr>
        <w:pStyle w:val="Heading2"/>
      </w:pPr>
      <w:r>
        <w:t>H.2. Authority and constitutional risk</w:t>
      </w:r>
      <w:bookmarkEnd w:id="481"/>
    </w:p>
    <w:p>
      <w:pPr/>
      <w:r>
        <w:t>Federal spending, defined commercial activity, and Federal operations supply different proposed authority pathways. State and tribal participation is not treated as compulsory administration. Closed technological categories, express remedies, and bounded rules reduce reliance on broad purpose clauses. These features do not constitute a guarantee of validity. Speech, privacy, equality, medical autonomy, delegation, federalism, remedy, and application-specific questions remain for legal review and potentially courts.</w:t>
      </w:r>
    </w:p>
    <w:p>
      <w:bookmarkStart w:id="482" w:name="ANNEX_SECTION_481"/>
      <w:pPr>
        <w:pStyle w:val="Heading2"/>
      </w:pPr>
      <w:r>
        <w:t>H.3. Enforceability and remedies</w:t>
      </w:r>
      <w:bookmarkEnd w:id="482"/>
    </w:p>
    <w:p>
      <w:pPr/>
      <w:r>
        <w:t>Actors, coverage, dates, evidence standards, notice, remedies, penalties, appeals, and judicial review are specified. Monetary penalties are sought in court. Emergency authority is time-limited. Private claims require enumerated duties, actual injury, causation, and an appropriate defendant. Important limits remain: sovereign immunity is not generally abrogated, no universal Federal damages remedy is created, and arbitration law is not broadly displaced. Administrative capacity will affect practical enforceability.</w:t>
      </w:r>
    </w:p>
    <w:p>
      <w:bookmarkStart w:id="483" w:name="ANNEX_SECTION_482"/>
      <w:pPr>
        <w:pStyle w:val="Heading2"/>
      </w:pPr>
      <w:r>
        <w:t>H.4. Fiscal assumptions</w:t>
      </w:r>
      <w:bookmarkEnd w:id="483"/>
    </w:p>
    <w:p>
      <w:pPr/>
      <w:r>
        <w:t>The appropriation is an express proposed commitment, not an empirical estimate of all unmet need. No offsetting revenue or savings is invented. Outlay timing, interest, inflation, staffing costs, and leave-cost calculations are labeled assumptions. Federal spending is separated from private compliance burdens and hypothetical renewal. Formal scoring, PAYGO treatment, possible sequestration, take-up, unit costs, and post-year-ten administration remain unresolved external review items.</w:t>
      </w:r>
    </w:p>
    <w:p>
      <w:bookmarkStart w:id="484" w:name="ANNEX_SECTION_483"/>
      <w:pPr>
        <w:pStyle w:val="Heading2"/>
      </w:pPr>
      <w:r>
        <w:t>H.5. Implementation risk</w:t>
      </w:r>
      <w:bookmarkEnd w:id="484"/>
    </w:p>
    <w:p>
      <w:pPr/>
      <w:r>
        <w:t>The principal operational dependencies are qualified staff, grant-management capacity, assessor independence, accessible systems, lawful data governance, local service supply, capital maintenance, and continuity for dependent users. The roadmap sequences those dependencies and identifies responsible actors. Funding alone cannot establish delivery capacity, and a dashboard cannot substitute for functioning services. Corrective action and orderly closure must remain available when an authorized intervention does not work as expected.</w:t>
      </w:r>
    </w:p>
    <w:p>
      <w:bookmarkStart w:id="485" w:name="ANNEX_SECTION_484"/>
      <w:pPr>
        <w:pStyle w:val="Heading2"/>
      </w:pPr>
      <w:r>
        <w:t>H.6. Evidence and global applicability</w:t>
      </w:r>
      <w:bookmarkEnd w:id="485"/>
    </w:p>
    <w:p>
      <w:pPr/>
      <w:r>
        <w:t>The record distinguishes descriptive evidence, intervention studies, guidance, existing law, and proposed choices. Selected foreign and international mechanisms inform the design without being treated as automatically binding United States law. The draft rejects a single ideal human, ancestry-based hierarchy, and compulsory lifestyle optimization. The review is substantial but not an exhaustive survey of every study, jurisdiction, pending case, or future technology.</w:t>
      </w:r>
    </w:p>
    <w:p>
      <w:bookmarkStart w:id="486" w:name="ANNEX_SECTION_485"/>
      <w:pPr>
        <w:pStyle w:val="Heading2"/>
      </w:pPr>
      <w:r>
        <w:t>H.7. Open questions and introduction readiness</w:t>
      </w:r>
      <w:bookmarkEnd w:id="486"/>
    </w:p>
    <w:p>
      <w:pPr/>
      <w:r>
        <w:t>The complete model is suitable for substantive review and revision, not representation as enacted law or an officially scored congressional bill. Before introduction, the remaining work is an independent current-law update, agency technical assistance, formal cost and mandate estimates, hearing or consultation records, and decisions on the disclosed policy parameters. No scientific report, favorable pilot, or general declaration of purpose can make those institutional steps unnecessary.</w:t>
      </w:r>
    </w:p>
    <w:sectPr w:rsidR="00FC693F" w:rsidRPr="0006063C" w:rsidSect="00034616">
      <w:headerReference w:type="default" r:id="rId9"/>
      <w:footerReference w:type="default" r:id="rId10"/>
      <w:pgSz w:w="12240" w:h="15840"/>
      <w:pgMar w:top="1224" w:right="1296" w:bottom="1224" w:left="1296"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tabs>
        <w:tab w:pos="9648" w:val="right"/>
      </w:tabs>
      <w:spacing w:after="0"/>
    </w:pPr>
    <w:r>
      <w:t>MODEL FEDERAL BILL | NOT ENACTED</w:t>
      <w:tab/>
    </w:r>
    <w:fldSimple w:instr="PAGE">
      <w:r>
        <w:t>1</w:t>
      </w:r>
    </w:fldSimple>
    <w: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tabs>
        <w:tab w:pos="9648" w:val="right"/>
      </w:tabs>
      <w:spacing w:after="0"/>
    </w:pPr>
    <w:r>
      <w:rPr>
        <w:b/>
        <w:color w:val="182C3D"/>
      </w:rPr>
      <w:t>HUMAN ACT</w:t>
    </w:r>
    <w:r>
      <w:tab/>
      <w:t>LEGISLATIVE DEVELOPMENT EDITION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themeFontLang w:val="en-U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val="0"/>
      <w:widowControl/>
      <w:spacing w:line="259" w:lineRule="auto" w:after="90"/>
    </w:pPr>
    <w:rPr>
      <w:rFonts w:ascii="Liberation Serif" w:hAnsi="Liberation Serif" w:eastAsia="Liberation Serif" w:cs="Liberation Serif"/>
      <w:color w:val="111111"/>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Liberation Serif" w:hAnsi="Liberation Serif" w:eastAsia="Liberation Serif" w:cs="Liberation Serif"/>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Liberation Serif" w:hAnsi="Liberation Serif" w:eastAsia="Liberation Serif" w:cs="Liberation Serif"/>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240" w:line="252" w:lineRule="auto"/>
      <w:outlineLvl w:val="0"/>
    </w:pPr>
    <w:rPr>
      <w:rFonts w:asciiTheme="majorHAnsi" w:eastAsiaTheme="majorEastAsia" w:hAnsiTheme="majorHAnsi" w:cstheme="majorBidi" w:ascii="Liberation Serif" w:hAnsi="Liberation Serif" w:eastAsia="Liberation Serif" w:cs="Liberation Serif"/>
      <w:b/>
      <w:bCs/>
      <w:color w:val="182C3D"/>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52" w:lineRule="auto"/>
      <w:outlineLvl w:val="1"/>
    </w:pPr>
    <w:rPr>
      <w:rFonts w:asciiTheme="majorHAnsi" w:eastAsiaTheme="majorEastAsia" w:hAnsiTheme="majorHAnsi" w:cstheme="majorBidi" w:ascii="Liberation Serif" w:hAnsi="Liberation Serif" w:eastAsia="Liberation Serif" w:cs="Liberation Serif"/>
      <w:b/>
      <w:bCs/>
      <w:color w:val="182C3D"/>
      <w:sz w:val="24"/>
      <w:szCs w:val="26"/>
    </w:rPr>
  </w:style>
  <w:style w:type="paragraph" w:styleId="Heading3">
    <w:name w:val="heading 3"/>
    <w:basedOn w:val="Normal"/>
    <w:next w:val="Normal"/>
    <w:link w:val="Heading3Char"/>
    <w:uiPriority w:val="9"/>
    <w:unhideWhenUsed/>
    <w:qFormat/>
    <w:rsid w:val="00FC693F"/>
    <w:pPr>
      <w:keepNext/>
      <w:keepLines/>
      <w:widowControl/>
      <w:spacing w:before="0" w:after="240" w:line="252" w:lineRule="auto"/>
      <w:outlineLvl w:val="2"/>
    </w:pPr>
    <w:rPr>
      <w:rFonts w:asciiTheme="majorHAnsi" w:eastAsiaTheme="majorEastAsia" w:hAnsiTheme="majorHAnsi" w:cstheme="majorBidi" w:ascii="Liberation Serif" w:hAnsi="Liberation Serif" w:eastAsia="Liberation Serif" w:cs="Liberation Serif"/>
      <w:b/>
      <w:bCs/>
      <w:color w:val="182C3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Liberation Serif" w:hAnsi="Liberation Serif" w:eastAsia="Liberation Serif" w:cs="Liberation Serif"/>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Liberation Serif" w:hAnsi="Liberation Serif" w:eastAsia="Liberation Serif" w:cs="Liberation Serif"/>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Liberation Serif" w:hAnsi="Liberation Serif" w:eastAsia="Liberation Serif" w:cs="Liberation Serif"/>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Liberation Serif" w:hAnsi="Liberation Serif" w:eastAsia="Liberation Serif" w:cs="Liberation Serif"/>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Liberation Serif" w:hAnsi="Liberation Serif" w:eastAsia="Liberation Serif" w:cs="Liberation Serif"/>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Liberation Serif" w:hAnsi="Liberation Serif" w:eastAsia="Liberation Serif" w:cs="Liberation Serif"/>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Liberation Serif" w:hAnsi="Liberation Serif" w:eastAsia="Liberation Serif" w:cs="Liberation Serif"/>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erif" w:hAnsi="Liberation Serif" w:eastAsia="Liberation Serif" w:cs="Liberation Serif"/>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Liberation Serif" w:hAnsi="Liberation Serif" w:eastAsia="Liberation Serif" w:cs="Liberation Serif"/>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Liberation Serif" w:hAnsi="Liberation Serif" w:eastAsia="Liberation Serif" w:cs="Liberation Serif"/>
    </w:rPr>
  </w:style>
  <w:style w:type="paragraph" w:styleId="BodyText">
    <w:name w:val="Body Text"/>
    <w:basedOn w:val="Normal"/>
    <w:link w:val="BodyTextChar"/>
    <w:uiPriority w:val="99"/>
    <w:unhideWhenUsed/>
    <w:rsid w:val="00AA1D8D"/>
    <w:pPr>
      <w:spacing w:after="120"/>
    </w:pPr>
    <w:rPr>
      <w:rFonts w:ascii="Liberation Serif" w:hAnsi="Liberation Serif" w:eastAsia="Liberation Serif" w:cs="Liberation Serif"/>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Liberation Serif" w:hAnsi="Liberation Serif" w:eastAsia="Liberation Serif" w:cs="Liberation Serif"/>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Liberation Serif" w:hAnsi="Liberation Serif" w:eastAsia="Liberation Serif" w:cs="Liberation Serif"/>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Liberation Serif" w:hAnsi="Liberation Serif" w:eastAsia="Liberation Serif" w:cs="Liberation Serif"/>
    </w:rPr>
  </w:style>
  <w:style w:type="paragraph" w:styleId="List2">
    <w:name w:val="List 2"/>
    <w:basedOn w:val="Normal"/>
    <w:uiPriority w:val="99"/>
    <w:unhideWhenUsed/>
    <w:rsid w:val="00326F90"/>
    <w:pPr>
      <w:ind w:left="720" w:hanging="360"/>
      <w:contextualSpacing/>
    </w:pPr>
    <w:rPr>
      <w:rFonts w:ascii="Liberation Serif" w:hAnsi="Liberation Serif" w:eastAsia="Liberation Serif" w:cs="Liberation Serif"/>
    </w:rPr>
  </w:style>
  <w:style w:type="paragraph" w:styleId="List3">
    <w:name w:val="List 3"/>
    <w:basedOn w:val="Normal"/>
    <w:uiPriority w:val="99"/>
    <w:unhideWhenUsed/>
    <w:rsid w:val="00326F90"/>
    <w:pPr>
      <w:ind w:left="1080" w:hanging="360"/>
      <w:contextualSpacing/>
    </w:pPr>
    <w:rPr>
      <w:rFonts w:ascii="Liberation Serif" w:hAnsi="Liberation Serif" w:eastAsia="Liberation Serif" w:cs="Liberation Serif"/>
    </w:rPr>
  </w:style>
  <w:style w:type="paragraph" w:styleId="ListBullet">
    <w:name w:val="List Bullet"/>
    <w:basedOn w:val="Normal"/>
    <w:uiPriority w:val="99"/>
    <w:unhideWhenUsed/>
    <w:rsid w:val="00326F90"/>
    <w:pPr>
      <w:numPr>
        <w:numId w:val="1"/>
      </w:numPr>
      <w:contextualSpacing/>
    </w:pPr>
    <w:rPr>
      <w:rFonts w:ascii="Liberation Serif" w:hAnsi="Liberation Serif" w:eastAsia="Liberation Serif" w:cs="Liberation Serif"/>
    </w:rPr>
  </w:style>
  <w:style w:type="paragraph" w:styleId="ListBullet2">
    <w:name w:val="List Bullet 2"/>
    <w:basedOn w:val="Normal"/>
    <w:uiPriority w:val="99"/>
    <w:unhideWhenUsed/>
    <w:rsid w:val="00326F90"/>
    <w:pPr>
      <w:numPr>
        <w:numId w:val="2"/>
      </w:numPr>
      <w:contextualSpacing/>
    </w:pPr>
    <w:rPr>
      <w:rFonts w:ascii="Liberation Serif" w:hAnsi="Liberation Serif" w:eastAsia="Liberation Serif" w:cs="Liberation Serif"/>
    </w:rPr>
  </w:style>
  <w:style w:type="paragraph" w:styleId="ListBullet3">
    <w:name w:val="List Bullet 3"/>
    <w:basedOn w:val="Normal"/>
    <w:uiPriority w:val="99"/>
    <w:unhideWhenUsed/>
    <w:rsid w:val="00326F90"/>
    <w:pPr>
      <w:numPr>
        <w:numId w:val="3"/>
      </w:numPr>
      <w:contextualSpacing/>
    </w:pPr>
    <w:rPr>
      <w:rFonts w:ascii="Liberation Serif" w:hAnsi="Liberation Serif" w:eastAsia="Liberation Serif" w:cs="Liberation Serif"/>
    </w:rPr>
  </w:style>
  <w:style w:type="paragraph" w:styleId="ListNumber">
    <w:name w:val="List Number"/>
    <w:basedOn w:val="Normal"/>
    <w:uiPriority w:val="99"/>
    <w:unhideWhenUsed/>
    <w:rsid w:val="00326F90"/>
    <w:pPr>
      <w:numPr>
        <w:numId w:val="5"/>
      </w:numPr>
      <w:contextualSpacing/>
    </w:pPr>
    <w:rPr>
      <w:rFonts w:ascii="Liberation Serif" w:hAnsi="Liberation Serif" w:eastAsia="Liberation Serif" w:cs="Liberation Serif"/>
    </w:rPr>
  </w:style>
  <w:style w:type="paragraph" w:styleId="ListNumber2">
    <w:name w:val="List Number 2"/>
    <w:basedOn w:val="Normal"/>
    <w:uiPriority w:val="99"/>
    <w:unhideWhenUsed/>
    <w:rsid w:val="0029639D"/>
    <w:pPr>
      <w:numPr>
        <w:numId w:val="6"/>
      </w:numPr>
      <w:contextualSpacing/>
    </w:pPr>
    <w:rPr>
      <w:rFonts w:ascii="Liberation Serif" w:hAnsi="Liberation Serif" w:eastAsia="Liberation Serif" w:cs="Liberation Serif"/>
    </w:rPr>
  </w:style>
  <w:style w:type="paragraph" w:styleId="ListNumber3">
    <w:name w:val="List Number 3"/>
    <w:basedOn w:val="Normal"/>
    <w:uiPriority w:val="99"/>
    <w:unhideWhenUsed/>
    <w:rsid w:val="0029639D"/>
    <w:pPr>
      <w:numPr>
        <w:numId w:val="7"/>
      </w:numPr>
      <w:contextualSpacing/>
    </w:pPr>
    <w:rPr>
      <w:rFonts w:ascii="Liberation Serif" w:hAnsi="Liberation Serif" w:eastAsia="Liberation Serif" w:cs="Liberation Serif"/>
    </w:rPr>
  </w:style>
  <w:style w:type="paragraph" w:styleId="ListContinue">
    <w:name w:val="List Continue"/>
    <w:basedOn w:val="Normal"/>
    <w:uiPriority w:val="99"/>
    <w:unhideWhenUsed/>
    <w:rsid w:val="0029639D"/>
    <w:pPr>
      <w:spacing w:after="120"/>
      <w:ind w:left="360"/>
      <w:contextualSpacing/>
    </w:pPr>
    <w:rPr>
      <w:rFonts w:ascii="Liberation Serif" w:hAnsi="Liberation Serif" w:eastAsia="Liberation Serif" w:cs="Liberation Serif"/>
    </w:rPr>
  </w:style>
  <w:style w:type="paragraph" w:styleId="ListContinue2">
    <w:name w:val="List Continue 2"/>
    <w:basedOn w:val="Normal"/>
    <w:uiPriority w:val="99"/>
    <w:unhideWhenUsed/>
    <w:rsid w:val="0029639D"/>
    <w:pPr>
      <w:spacing w:after="120"/>
      <w:ind w:left="720"/>
      <w:contextualSpacing/>
    </w:pPr>
    <w:rPr>
      <w:rFonts w:ascii="Liberation Serif" w:hAnsi="Liberation Serif" w:eastAsia="Liberation Serif" w:cs="Liberation Serif"/>
    </w:rPr>
  </w:style>
  <w:style w:type="paragraph" w:styleId="ListContinue3">
    <w:name w:val="List Continue 3"/>
    <w:basedOn w:val="Normal"/>
    <w:uiPriority w:val="99"/>
    <w:unhideWhenUsed/>
    <w:rsid w:val="0029639D"/>
    <w:pPr>
      <w:spacing w:after="120"/>
      <w:ind w:left="1080"/>
      <w:contextualSpacing/>
    </w:pPr>
    <w:rPr>
      <w:rFonts w:ascii="Liberation Serif" w:hAnsi="Liberation Serif" w:eastAsia="Liberation Serif" w:cs="Liberation Serif"/>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Liberation Serif" w:hAnsi="Liberation Serif" w:eastAsia="Liberation Serif" w:cs="Liberation Serif"/>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Liberation Serif" w:hAnsi="Liberation Serif" w:eastAsia="Liberation Serif" w:cs="Liberation Serif"/>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iberation Serif" w:hAnsi="Liberation Serif" w:eastAsia="Liberation Serif" w:cs="Liberation Serif"/>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Liberation Serif" w:hAnsi="Liberation Serif" w:eastAsia="Liberation Serif" w:cs="Liberation Serif"/>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Liberation Serif" w:hAnsi="Liberation Serif" w:eastAsia="Liberation Serif" w:cs="Liberation Serif"/>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rontText">
    <w:name w:val="FrontText"/>
    <w:basedOn w:val="Normal"/>
    <w:pPr>
      <w:spacing w:after="80"/>
    </w:pPr>
    <w:rPr>
      <w:rFonts w:ascii="Liberation Serif" w:hAnsi="Liberation Serif" w:eastAsia="Liberation Serif" w:cs="Liberation Serif"/>
      <w:sz w:val="23"/>
    </w:rPr>
  </w:style>
  <w:style w:type="paragraph" w:customStyle="1" w:styleId="ContentsText">
    <w:name w:val="ContentsText"/>
    <w:basedOn w:val="Normal"/>
    <w:pPr>
      <w:spacing w:after="0" w:line="240" w:lineRule="auto"/>
    </w:pPr>
    <w:rPr>
      <w:rFonts w:ascii="Liberation Serif" w:hAnsi="Liberation Serif" w:eastAsia="Liberation Serif" w:cs="Liberation Serif"/>
      <w:sz w:val="19"/>
    </w:rPr>
  </w:style>
  <w:style w:type="paragraph" w:customStyle="1" w:styleId="SourceText">
    <w:name w:val="SourceText"/>
    <w:basedOn w:val="Normal"/>
    <w:pPr>
      <w:spacing w:after="80"/>
    </w:pPr>
    <w:rPr>
      <w:rFonts w:ascii="Liberation Serif" w:hAnsi="Liberation Serif" w:eastAsia="Liberation Serif" w:cs="Liberation Serif"/>
      <w:sz w:val="21"/>
    </w:rPr>
  </w:style>
  <w:style w:type="paragraph" w:customStyle="1" w:styleId="TableText">
    <w:name w:val="TableText"/>
    <w:basedOn w:val="Normal"/>
    <w:pPr>
      <w:spacing w:after="80"/>
    </w:pPr>
    <w:rPr>
      <w:rFonts w:ascii="Liberation Serif" w:hAnsi="Liberation Serif" w:eastAsia="Liberation Serif" w:cs="Liberation Serif"/>
      <w:sz w:val="20"/>
    </w:rPr>
  </w:style>
  <w:style w:type="paragraph" w:customStyle="1" w:styleId="SmallNote">
    <w:name w:val="SmallNote"/>
    <w:basedOn w:val="Normal"/>
    <w:pPr>
      <w:spacing w:after="80"/>
    </w:pPr>
    <w:rPr>
      <w:rFonts w:ascii="Liberation Serif" w:hAnsi="Liberation Serif" w:eastAsia="Liberation Serif" w:cs="Liberation Serif"/>
      <w:sz w:val="18"/>
    </w:rPr>
  </w:style>
  <w:style w:type="paragraph" w:customStyle="1" w:styleId="LegalBody">
    <w:name w:val="LegalBody"/>
    <w:basedOn w:val="Normal"/>
    <w:pPr>
      <w:spacing w:after="80"/>
      <w:ind w:left="230" w:hanging="230"/>
    </w:pPr>
    <w:rPr>
      <w:rFonts w:ascii="Liberation Serif" w:hAnsi="Liberation Serif" w:eastAsia="Liberation Serif" w:cs="Liberation Serif"/>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humanorigins.si.edu/human-characteristics" TargetMode="External"/><Relationship Id="rId12" Type="http://schemas.openxmlformats.org/officeDocument/2006/relationships/hyperlink" Target="https://www.genome.gov/about-nhgri/Director/genomics-landscape/may-4-2023-nasem-report-population-descriptors-genetics-genomics-research" TargetMode="External"/><Relationship Id="rId13" Type="http://schemas.openxmlformats.org/officeDocument/2006/relationships/hyperlink" Target="https://pubmed.ncbi.nlm.nih.gov/33100820/" TargetMode="External"/><Relationship Id="rId14" Type="http://schemas.openxmlformats.org/officeDocument/2006/relationships/hyperlink" Target="https://www.who.int/teams/maternal-newborn-child-adolescent-health-and-ageing/child-health/nurturing-care" TargetMode="External"/><Relationship Id="rId15" Type="http://schemas.openxmlformats.org/officeDocument/2006/relationships/hyperlink" Target="https://publications.aap.org/pediatrics/article/142/3/e20182058/38649/The-Power-of-Play-A-Pediatric-Role-in-Enhancing" TargetMode="External"/><Relationship Id="rId16" Type="http://schemas.openxmlformats.org/officeDocument/2006/relationships/hyperlink" Target="https://www.who.int/publications/i/item/9789240015128" TargetMode="External"/><Relationship Id="rId17" Type="http://schemas.openxmlformats.org/officeDocument/2006/relationships/hyperlink" Target="https://www.nhlbi.nih.gov/health/sleep/sleep-wake-cycle" TargetMode="External"/><Relationship Id="rId18" Type="http://schemas.openxmlformats.org/officeDocument/2006/relationships/hyperlink" Target="https://www.who.int/news-room/fact-sheets/detail/healthy-diet" TargetMode="External"/><Relationship Id="rId19" Type="http://schemas.openxmlformats.org/officeDocument/2006/relationships/hyperlink" Target="https://www.who.int/groups/commission-on-social-connection/report" TargetMode="External"/><Relationship Id="rId20" Type="http://schemas.openxmlformats.org/officeDocument/2006/relationships/hyperlink" Target="https://www.oecd.org/en/publications/social-connections-and-loneliness-in-oecd-countries_6df2d6a0-en.html" TargetMode="External"/><Relationship Id="rId21" Type="http://schemas.openxmlformats.org/officeDocument/2006/relationships/hyperlink" Target="https://www.ncbi.nlm.nih.gov/books/NBK603423/" TargetMode="External"/><Relationship Id="rId22" Type="http://schemas.openxmlformats.org/officeDocument/2006/relationships/hyperlink" Target="https://www.who.int/publications/i/item/9789240031029" TargetMode="External"/><Relationship Id="rId23" Type="http://schemas.openxmlformats.org/officeDocument/2006/relationships/hyperlink" Target="https://www.who.int/news-room/questions-and-answers/item/healthy-ageing-and-functional-ability" TargetMode="External"/><Relationship Id="rId24" Type="http://schemas.openxmlformats.org/officeDocument/2006/relationships/hyperlink" Target="https://www.ncbi.nlm.nih.gov/books/NBK553775/" TargetMode="External"/><Relationship Id="rId25" Type="http://schemas.openxmlformats.org/officeDocument/2006/relationships/hyperlink" Target="https://www.cdc.gov/physical-activity/php/strategies/increasing-physical-activity-through-community-design-prevention-strategies.html" TargetMode="External"/><Relationship Id="rId26" Type="http://schemas.openxmlformats.org/officeDocument/2006/relationships/hyperlink" Target="https://www.thecommunityguide.org/findings/physical-activity-built-environment-approaches.html" TargetMode="External"/><Relationship Id="rId27" Type="http://schemas.openxmlformats.org/officeDocument/2006/relationships/hyperlink" Target="https://pmc.ncbi.nlm.nih.gov/articles/PMC6324526/" TargetMode="External"/><Relationship Id="rId28" Type="http://schemas.openxmlformats.org/officeDocument/2006/relationships/hyperlink" Target="https://www.who.int/publications/i/item/9789241550376" TargetMode="External"/><Relationship Id="rId29" Type="http://schemas.openxmlformats.org/officeDocument/2006/relationships/hyperlink" Target="https://www.who.int/publications/i/item/9789240034228" TargetMode="External"/><Relationship Id="rId30" Type="http://schemas.openxmlformats.org/officeDocument/2006/relationships/hyperlink" Target="https://www.who.int/europe/publications/i/item/9789289053563" TargetMode="External"/><Relationship Id="rId31" Type="http://schemas.openxmlformats.org/officeDocument/2006/relationships/hyperlink" Target="https://www.who.int/publications/i/item/9789240059139" TargetMode="External"/><Relationship Id="rId32" Type="http://schemas.openxmlformats.org/officeDocument/2006/relationships/hyperlink" Target="https://www.who.int/news/item/14-08-2026-quadripartite-collaboration-extends-the-one-health-joint-plan-of-action-to-2029" TargetMode="External"/><Relationship Id="rId33" Type="http://schemas.openxmlformats.org/officeDocument/2006/relationships/hyperlink" Target="https://www.who.int/news/item/17-05-2021-long-working-hours-increasing-deaths-from-heart-disease-and-stroke-who-ilo" TargetMode="External"/><Relationship Id="rId34" Type="http://schemas.openxmlformats.org/officeDocument/2006/relationships/hyperlink" Target="https://pubmed.ncbi.nlm.nih.gov/40691306/" TargetMode="External"/><Relationship Id="rId35" Type="http://schemas.openxmlformats.org/officeDocument/2006/relationships/hyperlink" Target="https://www.oecd.org/en/topics/sub-issues/measuring-well-being-and-progress.html" TargetMode="External"/><Relationship Id="rId36" Type="http://schemas.openxmlformats.org/officeDocument/2006/relationships/hyperlink" Target="https://www.oecd.org/en/publications/oecd-guidelines-on-measuring-subjective-well-being-2025-update_9203632a-en.html" TargetMode="External"/><Relationship Id="rId37" Type="http://schemas.openxmlformats.org/officeDocument/2006/relationships/hyperlink" Target="https://www.nist.gov/itl/ai-risk-management-framework" TargetMode="External"/><Relationship Id="rId38" Type="http://schemas.openxmlformats.org/officeDocument/2006/relationships/hyperlink" Target="https://www.nist.gov/publications/artificial-intelligence-risk-management-framework-generative-artificial-intelligence" TargetMode="External"/><Relationship Id="rId39" Type="http://schemas.openxmlformats.org/officeDocument/2006/relationships/hyperlink" Target="https://www.coe.int/en/web/artificial-intelligence/the-framework-convention-on-artificial-intelligence" TargetMode="External"/><Relationship Id="rId40" Type="http://schemas.openxmlformats.org/officeDocument/2006/relationships/hyperlink" Target="https://digital-strategy.ec.europa.eu/en/policies/regulatory-framework-ai" TargetMode="External"/><Relationship Id="rId41" Type="http://schemas.openxmlformats.org/officeDocument/2006/relationships/hyperlink" Target="https://www.ftc.gov/news-events/news/press-releases/2025/01/ftc-finalizes-changes-childrens-privacy-rule-limiting-companies-ability-monetize-kids-data" TargetMode="External"/><Relationship Id="rId42" Type="http://schemas.openxmlformats.org/officeDocument/2006/relationships/hyperlink" Target="https://www.unesco.org/en/legal-affairs/recommendation-ethics-neurotechnology" TargetMode="External"/><Relationship Id="rId43" Type="http://schemas.openxmlformats.org/officeDocument/2006/relationships/hyperlink" Target="https://www.who.int/publications/i/item/9789240030060" TargetMode="External"/><Relationship Id="rId44" Type="http://schemas.openxmlformats.org/officeDocument/2006/relationships/hyperlink" Target="https://www.fda.gov/regulatory-information/search-fda-guidance-documents/human-gene-therapy-products-incorporating-human-genome-editing" TargetMode="External"/><Relationship Id="rId45" Type="http://schemas.openxmlformats.org/officeDocument/2006/relationships/hyperlink" Target="https://www.fda.gov/regulatory-information/search-fda-guidance-documents/leveraging-prior-knowledge-development-human-gene-therapy-products-incorporating-genome-editing" TargetMode="External"/><Relationship Id="rId46" Type="http://schemas.openxmlformats.org/officeDocument/2006/relationships/hyperlink" Target="https://www.hhs.gov/ohrp/regulations-and-policy/regulations/common-rule/index.html" TargetMode="External"/><Relationship Id="rId47" Type="http://schemas.openxmlformats.org/officeDocument/2006/relationships/hyperlink" Target="https://www.wma.net/policies-post/wma-declaration-of-helsinki/" TargetMode="External"/><Relationship Id="rId48" Type="http://schemas.openxmlformats.org/officeDocument/2006/relationships/hyperlink" Target="https://www.federalregister.gov/documents/2023/12/13/2023-27040/native-american-graves-protection-and-repatriation-act-systematic-processes-for-disposition-or" TargetMode="External"/><Relationship Id="rId49" Type="http://schemas.openxmlformats.org/officeDocument/2006/relationships/hyperlink" Target="https://au.int/en/documents/20220728/au-data-policy-framework" TargetMode="External"/><Relationship Id="rId50" Type="http://schemas.openxmlformats.org/officeDocument/2006/relationships/hyperlink" Target="https://www.ohchr.org/en/instruments-mechanisms/instruments/convention-rights-persons-disabilities" TargetMode="External"/><Relationship Id="rId51" Type="http://schemas.openxmlformats.org/officeDocument/2006/relationships/hyperlink" Target="https://www.legislation.gov.uk/anaw/2015/2/contents" TargetMode="External"/><Relationship Id="rId52" Type="http://schemas.openxmlformats.org/officeDocument/2006/relationships/hyperlink" Target="https://www.fairwork.gov.au/employment-conditions/right-to-disconnect" TargetMode="External"/><Relationship Id="rId53" Type="http://schemas.openxmlformats.org/officeDocument/2006/relationships/hyperlink" Target="https://eur-lex.europa.eu/eli/dir/2003/88/oj/eng" TargetMode="External"/><Relationship Id="rId54" Type="http://schemas.openxmlformats.org/officeDocument/2006/relationships/hyperlink" Target="https://www.cao.go.jp/kodoku_koritsu/index-e.html" TargetMode="External"/><Relationship Id="rId55" Type="http://schemas.openxmlformats.org/officeDocument/2006/relationships/hyperlink" Target="https://www.bcn.cl/leychile/navegar?idNorma=1166983" TargetMode="External"/><Relationship Id="rId56" Type="http://schemas.openxmlformats.org/officeDocument/2006/relationships/hyperlink" Target="https://constitution.congress.gov/browse/essay/artI-S8-C1-2-1/ALDE_00013356/" TargetMode="External"/><Relationship Id="rId57" Type="http://schemas.openxmlformats.org/officeDocument/2006/relationships/hyperlink" Target="https://constitution.congress.gov/browse/essay/artI-S8-C1-2-6/ALDE_00013361/" TargetMode="External"/><Relationship Id="rId58" Type="http://schemas.openxmlformats.org/officeDocument/2006/relationships/hyperlink" Target="https://constitution.congress.gov/browse/essay/amdt10-4-2/ALDE_00013627/" TargetMode="External"/><Relationship Id="rId59" Type="http://schemas.openxmlformats.org/officeDocument/2006/relationships/hyperlink" Target="https://constitution.congress.gov/browse/essay/artII-S1-C1-7/ALDE_00013796/" TargetMode="External"/><Relationship Id="rId60" Type="http://schemas.openxmlformats.org/officeDocument/2006/relationships/hyperlink" Target="https://www.supremecourt.gov/opinions/23pdf/22-451_7m58.pdf" TargetMode="External"/><Relationship Id="rId61" Type="http://schemas.openxmlformats.org/officeDocument/2006/relationships/hyperlink" Target="https://www.supremecourt.gov/opinions/23pdf/22-859_1924.pdf" TargetMode="External"/><Relationship Id="rId62" Type="http://schemas.openxmlformats.org/officeDocument/2006/relationships/hyperlink" Target="https://www.supremecourt.gov/opinions/23pdf/22-277_d18f.pdf" TargetMode="External"/><Relationship Id="rId63" Type="http://schemas.openxmlformats.org/officeDocument/2006/relationships/hyperlink" Target="https://www.supremecourt.gov/opinions/24pdf/23-1122_3e04.pdf" TargetMode="External"/><Relationship Id="rId64" Type="http://schemas.openxmlformats.org/officeDocument/2006/relationships/hyperlink" Target="https://www.supremecourt.gov/opinions/21pdf/20-219_1b82.pdf" TargetMode="External"/><Relationship Id="rId65" Type="http://schemas.openxmlformats.org/officeDocument/2006/relationships/hyperlink" Target="https://www.supremecourt.gov/opinions/20pdf/20-297_4g25.pdf" TargetMode="External"/><Relationship Id="rId66" Type="http://schemas.openxmlformats.org/officeDocument/2006/relationships/hyperlink" Target="https://www.ada.gov/resources/olmstead-mandate-statement/" TargetMode="External"/><Relationship Id="rId67" Type="http://schemas.openxmlformats.org/officeDocument/2006/relationships/hyperlink" Target="https://www.genome.gov/about-genomics/policy-issues/Genetic-Discrimination" TargetMode="External"/><Relationship Id="rId68" Type="http://schemas.openxmlformats.org/officeDocument/2006/relationships/hyperlink" Target="https://www.cbo.gov/cost-estimates/faqs" TargetMode="External"/><Relationship Id="rId69" Type="http://schemas.openxmlformats.org/officeDocument/2006/relationships/hyperlink" Target="https://www.ecfr.gov/current/title-2/subtitle-A/chapter-II/part-2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Act: Complete Model Federal Bill and Supporting Analyses</dc:title>
  <dc:subject>Human Understanding, Mutuality, Autonomy, and Nurture Act of 2026</dc:subject>
  <dc:creator>Legislative Development Draft</dc:creator>
  <cp:keywords>HUMAN Act; model legislation; human development; autonomy; research; fiscal analysis</cp:keywords>
  <dc:description>Complete legislative development model. Not enacted and not an official government cost estimate.</dc:description>
  <cp:lastModifiedBy/>
  <cp:revision>1</cp:revision>
  <dcterms:created xsi:type="dcterms:W3CDTF">2026-10-01T12:00:00Z</dcterms:created>
  <dcterms:modified xsi:type="dcterms:W3CDTF">2026-10-01T12:00:00Z</dcterms:modified>
  <cp:category/>
</cp:coreProperties>
</file>