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verKicker"/>
      </w:pPr>
      <w:r>
        <w:rPr>
          <w:rFonts w:ascii="Calibri" w:hAnsi="Calibri"/>
          <w:b/>
          <w:color w:val="0B2545"/>
          <w:sz w:val="18"/>
        </w:rPr>
        <w:t>LEGISLATIVE SUBMISSION PACKET</w:t>
      </w:r>
    </w:p>
    <w:p>
      <w:pPr>
        <w:pStyle w:val="CoverTitle"/>
      </w:pPr>
      <w:r>
        <w:rPr>
          <w:rFonts w:ascii="Times New Roman" w:hAnsi="Times New Roman"/>
          <w:b/>
          <w:color w:val="0B2545"/>
          <w:sz w:val="56"/>
        </w:rPr>
        <w:t>American Vote Act</w:t>
      </w:r>
    </w:p>
    <w:p>
      <w:pPr>
        <w:pStyle w:val="CoverSubtitle"/>
      </w:pPr>
      <w:r>
        <w:rPr>
          <w:rFonts w:ascii="Calibri" w:hAnsi="Calibri"/>
          <w:i/>
          <w:color w:val="5C6370"/>
          <w:sz w:val="25"/>
        </w:rPr>
        <w:t>Federal Election Access, Security, Integrity, and Democratic Renewal Package</w:t>
      </w:r>
    </w:p>
    <w:tbl>
      <w:tblPr>
        <w:tblW w:type="dxa" w:w="9360"/>
        <w:jc w:val="left"/>
        <w:tblLayout w:type="fixed"/>
        <w:tblLook w:firstColumn="1" w:firstRow="1" w:lastColumn="0" w:lastRow="0" w:noHBand="0" w:noVBand="1" w:val="04A0"/>
        <w:tblInd w:w="120" w:type="dxa"/>
        <w:tblCellMar>
          <w:top w:w="160" w:type="dxa"/>
          <w:start w:w="180" w:type="dxa"/>
          <w:bottom w:w="160" w:type="dxa"/>
          <w:end w:w="180" w:type="dxa"/>
        </w:tblCellMar>
      </w:tblPr>
      <w:tblGrid>
        <w:gridCol w:w="9360"/>
      </w:tblGrid>
      <w:tr>
        <w:tc>
          <w:tcPr>
            <w:tcW w:type="dxa" w:w="9360"/>
            <w:shd w:fill="F4F6F9"/>
            <w:tcBorders>
              <w:top w:val="single" w:sz="6" w:space="0" w:color="CBD5E1"/>
              <w:left w:val="single" w:sz="6" w:space="0" w:color="CBD5E1"/>
              <w:bottom w:val="single" w:sz="6" w:space="0" w:color="CBD5E1"/>
              <w:right w:val="single" w:sz="6" w:space="0" w:color="CBD5E1"/>
            </w:tcBorders>
          </w:tcPr>
          <w:p>
            <w:pPr>
              <w:pStyle w:val="Lead"/>
              <w:spacing w:after="0"/>
            </w:pPr>
            <w:r>
              <w:rPr>
                <w:rFonts w:ascii="Calibri" w:hAnsi="Calibri"/>
                <w:color w:val="1F2937"/>
                <w:sz w:val="21"/>
              </w:rPr>
              <w:t>An integrated statutory and constitutional-amendment package establishing national election access, registration, citizenship-verification, mail-ballot, security, anti-deception, ranked-choice voting, campaign-finance, voting-rights, and democratic-renewal reforms.</w:t>
            </w:r>
          </w:p>
        </w:tc>
      </w:tr>
    </w:tbl>
    <w:p/>
    <w:tbl>
      <w:tblPr>
        <w:tblW w:type="dxa" w:w="9360"/>
        <w:jc w:val="left"/>
        <w:tblLayout w:type="fixed"/>
        <w:tblLook w:firstColumn="1" w:firstRow="1" w:lastColumn="0" w:lastRow="0" w:noHBand="0" w:noVBand="1" w:val="04A0"/>
        <w:tblInd w:w="120" w:type="dxa"/>
        <w:tblCellMar>
          <w:top w:w="80" w:type="dxa"/>
          <w:start w:w="120" w:type="dxa"/>
          <w:bottom w:w="80" w:type="dxa"/>
          <w:end w:w="120" w:type="dxa"/>
        </w:tblCellMar>
      </w:tblPr>
      <w:tblGrid>
        <w:gridCol w:w="2300"/>
        <w:gridCol w:w="7060"/>
      </w:tblGrid>
      <w:tr>
        <w:tc>
          <w:tcPr>
            <w:tcW w:type="dxa" w:w="2300"/>
            <w:tcBorders>
              <w:top w:val="single" w:sz="6" w:space="0" w:color="CBD5E1"/>
              <w:left w:val="single" w:sz="6" w:space="0" w:color="CBD5E1"/>
              <w:bottom w:val="single" w:sz="6" w:space="0" w:color="CBD5E1"/>
              <w:right w:val="single" w:sz="6" w:space="0" w:color="CBD5E1"/>
            </w:tcBorders>
            <w:vAlign w:val="center"/>
            <w:shd w:fill="E8EEF5"/>
          </w:tcPr>
          <w:p>
            <w:pPr>
              <w:spacing w:after="0"/>
            </w:pPr>
            <w:r>
              <w:rPr>
                <w:rFonts w:ascii="Calibri" w:hAnsi="Calibri"/>
                <w:b/>
                <w:color w:val="0B2545"/>
                <w:sz w:val="19"/>
              </w:rPr>
              <w:t>Package</w:t>
            </w:r>
          </w:p>
        </w:tc>
        <w:tc>
          <w:tcPr>
            <w:tcW w:type="dxa" w:w="7060"/>
            <w:tcBorders>
              <w:top w:val="single" w:sz="6" w:space="0" w:color="CBD5E1"/>
              <w:left w:val="single" w:sz="6" w:space="0" w:color="CBD5E1"/>
              <w:bottom w:val="single" w:sz="6" w:space="0" w:color="CBD5E1"/>
              <w:right w:val="single" w:sz="6" w:space="0" w:color="CBD5E1"/>
            </w:tcBorders>
            <w:vAlign w:val="center"/>
          </w:tcPr>
          <w:p>
            <w:pPr>
              <w:spacing w:after="0"/>
            </w:pPr>
            <w:r>
              <w:rPr>
                <w:rFonts w:ascii="Calibri" w:hAnsi="Calibri"/>
                <w:color w:val="1F2937"/>
                <w:sz w:val="20"/>
              </w:rPr>
              <w:t>American Vote Act; American Democratic Renewal Amendment</w:t>
            </w:r>
          </w:p>
        </w:tc>
      </w:tr>
      <w:tr>
        <w:tc>
          <w:tcPr>
            <w:tcW w:type="dxa" w:w="2300"/>
            <w:tcBorders>
              <w:top w:val="single" w:sz="6" w:space="0" w:color="CBD5E1"/>
              <w:left w:val="single" w:sz="6" w:space="0" w:color="CBD5E1"/>
              <w:bottom w:val="single" w:sz="6" w:space="0" w:color="CBD5E1"/>
              <w:right w:val="single" w:sz="6" w:space="0" w:color="CBD5E1"/>
            </w:tcBorders>
            <w:vAlign w:val="center"/>
            <w:shd w:fill="E8EEF5"/>
          </w:tcPr>
          <w:p>
            <w:pPr>
              <w:spacing w:after="0"/>
            </w:pPr>
            <w:r>
              <w:rPr>
                <w:rFonts w:ascii="Calibri" w:hAnsi="Calibri"/>
                <w:b/>
                <w:color w:val="0B2545"/>
                <w:sz w:val="19"/>
              </w:rPr>
              <w:t>Draft sponsor</w:t>
            </w:r>
          </w:p>
        </w:tc>
        <w:tc>
          <w:tcPr>
            <w:tcW w:type="dxa" w:w="7060"/>
            <w:tcBorders>
              <w:top w:val="single" w:sz="6" w:space="0" w:color="CBD5E1"/>
              <w:left w:val="single" w:sz="6" w:space="0" w:color="CBD5E1"/>
              <w:bottom w:val="single" w:sz="6" w:space="0" w:color="CBD5E1"/>
              <w:right w:val="single" w:sz="6" w:space="0" w:color="CBD5E1"/>
            </w:tcBorders>
            <w:vAlign w:val="center"/>
          </w:tcPr>
          <w:p>
            <w:pPr>
              <w:spacing w:after="0"/>
            </w:pPr>
            <w:r>
              <w:rPr>
                <w:rFonts w:ascii="Calibri" w:hAnsi="Calibri"/>
                <w:color w:val="1F2937"/>
                <w:sz w:val="20"/>
              </w:rPr>
              <w:t>[Insert sponsor]</w:t>
            </w:r>
          </w:p>
        </w:tc>
      </w:tr>
      <w:tr>
        <w:tc>
          <w:tcPr>
            <w:tcW w:type="dxa" w:w="2300"/>
            <w:tcBorders>
              <w:top w:val="single" w:sz="6" w:space="0" w:color="CBD5E1"/>
              <w:left w:val="single" w:sz="6" w:space="0" w:color="CBD5E1"/>
              <w:bottom w:val="single" w:sz="6" w:space="0" w:color="CBD5E1"/>
              <w:right w:val="single" w:sz="6" w:space="0" w:color="CBD5E1"/>
            </w:tcBorders>
            <w:vAlign w:val="center"/>
            <w:shd w:fill="E8EEF5"/>
          </w:tcPr>
          <w:p>
            <w:pPr>
              <w:spacing w:after="0"/>
            </w:pPr>
            <w:r>
              <w:rPr>
                <w:rFonts w:ascii="Calibri" w:hAnsi="Calibri"/>
                <w:b/>
                <w:color w:val="0B2545"/>
                <w:sz w:val="19"/>
              </w:rPr>
              <w:t>Congress</w:t>
            </w:r>
          </w:p>
        </w:tc>
        <w:tc>
          <w:tcPr>
            <w:tcW w:type="dxa" w:w="7060"/>
            <w:tcBorders>
              <w:top w:val="single" w:sz="6" w:space="0" w:color="CBD5E1"/>
              <w:left w:val="single" w:sz="6" w:space="0" w:color="CBD5E1"/>
              <w:bottom w:val="single" w:sz="6" w:space="0" w:color="CBD5E1"/>
              <w:right w:val="single" w:sz="6" w:space="0" w:color="CBD5E1"/>
            </w:tcBorders>
            <w:vAlign w:val="center"/>
          </w:tcPr>
          <w:p>
            <w:pPr>
              <w:spacing w:after="0"/>
            </w:pPr>
            <w:r>
              <w:rPr>
                <w:rFonts w:ascii="Calibri" w:hAnsi="Calibri"/>
                <w:color w:val="1F2937"/>
                <w:sz w:val="20"/>
              </w:rPr>
              <w:t>119th Congress</w:t>
            </w:r>
          </w:p>
        </w:tc>
      </w:tr>
      <w:tr>
        <w:tc>
          <w:tcPr>
            <w:tcW w:type="dxa" w:w="2300"/>
            <w:tcBorders>
              <w:top w:val="single" w:sz="6" w:space="0" w:color="CBD5E1"/>
              <w:left w:val="single" w:sz="6" w:space="0" w:color="CBD5E1"/>
              <w:bottom w:val="single" w:sz="6" w:space="0" w:color="CBD5E1"/>
              <w:right w:val="single" w:sz="6" w:space="0" w:color="CBD5E1"/>
            </w:tcBorders>
            <w:vAlign w:val="center"/>
            <w:shd w:fill="E8EEF5"/>
          </w:tcPr>
          <w:p>
            <w:pPr>
              <w:spacing w:after="0"/>
            </w:pPr>
            <w:r>
              <w:rPr>
                <w:rFonts w:ascii="Calibri" w:hAnsi="Calibri"/>
                <w:b/>
                <w:color w:val="0B2545"/>
                <w:sz w:val="19"/>
              </w:rPr>
              <w:t>Committee referral</w:t>
            </w:r>
          </w:p>
        </w:tc>
        <w:tc>
          <w:tcPr>
            <w:tcW w:type="dxa" w:w="7060"/>
            <w:tcBorders>
              <w:top w:val="single" w:sz="6" w:space="0" w:color="CBD5E1"/>
              <w:left w:val="single" w:sz="6" w:space="0" w:color="CBD5E1"/>
              <w:bottom w:val="single" w:sz="6" w:space="0" w:color="CBD5E1"/>
              <w:right w:val="single" w:sz="6" w:space="0" w:color="CBD5E1"/>
            </w:tcBorders>
            <w:vAlign w:val="center"/>
          </w:tcPr>
          <w:p>
            <w:pPr>
              <w:spacing w:after="0"/>
            </w:pPr>
            <w:r>
              <w:rPr>
                <w:rFonts w:ascii="Calibri" w:hAnsi="Calibri"/>
                <w:color w:val="1F2937"/>
                <w:sz w:val="20"/>
              </w:rPr>
              <w:t>House Administration; Judiciary; Homeland Security; Energy and Commerce; Education and the Workforce; Oversight and Government Reform; Financial Services; Ways and Means; Appropriations.</w:t>
            </w:r>
          </w:p>
        </w:tc>
      </w:tr>
      <w:tr>
        <w:tc>
          <w:tcPr>
            <w:tcW w:type="dxa" w:w="2300"/>
            <w:tcBorders>
              <w:top w:val="single" w:sz="6" w:space="0" w:color="CBD5E1"/>
              <w:left w:val="single" w:sz="6" w:space="0" w:color="CBD5E1"/>
              <w:bottom w:val="single" w:sz="6" w:space="0" w:color="CBD5E1"/>
              <w:right w:val="single" w:sz="6" w:space="0" w:color="CBD5E1"/>
            </w:tcBorders>
            <w:vAlign w:val="center"/>
            <w:shd w:fill="E8EEF5"/>
          </w:tcPr>
          <w:p>
            <w:pPr>
              <w:spacing w:after="0"/>
            </w:pPr>
            <w:r>
              <w:rPr>
                <w:rFonts w:ascii="Calibri" w:hAnsi="Calibri"/>
                <w:b/>
                <w:color w:val="0B2545"/>
                <w:sz w:val="19"/>
              </w:rPr>
              <w:t>Filing date</w:t>
            </w:r>
          </w:p>
        </w:tc>
        <w:tc>
          <w:tcPr>
            <w:tcW w:type="dxa" w:w="7060"/>
            <w:tcBorders>
              <w:top w:val="single" w:sz="6" w:space="0" w:color="CBD5E1"/>
              <w:left w:val="single" w:sz="6" w:space="0" w:color="CBD5E1"/>
              <w:bottom w:val="single" w:sz="6" w:space="0" w:color="CBD5E1"/>
              <w:right w:val="single" w:sz="6" w:space="0" w:color="CBD5E1"/>
            </w:tcBorders>
            <w:vAlign w:val="center"/>
          </w:tcPr>
          <w:p>
            <w:pPr>
              <w:spacing w:after="0"/>
            </w:pPr>
            <w:r>
              <w:rPr>
                <w:rFonts w:ascii="Calibri" w:hAnsi="Calibri"/>
                <w:color w:val="1F2937"/>
                <w:sz w:val="20"/>
              </w:rPr>
              <w:t>[Insert filing date]</w:t>
            </w:r>
          </w:p>
        </w:tc>
      </w:tr>
      <w:tr>
        <w:tc>
          <w:tcPr>
            <w:tcW w:type="dxa" w:w="2300"/>
            <w:tcBorders>
              <w:top w:val="single" w:sz="6" w:space="0" w:color="CBD5E1"/>
              <w:left w:val="single" w:sz="6" w:space="0" w:color="CBD5E1"/>
              <w:bottom w:val="single" w:sz="6" w:space="0" w:color="CBD5E1"/>
              <w:right w:val="single" w:sz="6" w:space="0" w:color="CBD5E1"/>
            </w:tcBorders>
            <w:vAlign w:val="center"/>
            <w:shd w:fill="E8EEF5"/>
          </w:tcPr>
          <w:p>
            <w:pPr>
              <w:spacing w:after="0"/>
            </w:pPr>
            <w:r>
              <w:rPr>
                <w:rFonts w:ascii="Calibri" w:hAnsi="Calibri"/>
                <w:b/>
                <w:color w:val="0B2545"/>
                <w:sz w:val="19"/>
              </w:rPr>
              <w:t>Submission contents</w:t>
            </w:r>
          </w:p>
        </w:tc>
        <w:tc>
          <w:tcPr>
            <w:tcW w:type="dxa" w:w="7060"/>
            <w:tcBorders>
              <w:top w:val="single" w:sz="6" w:space="0" w:color="CBD5E1"/>
              <w:left w:val="single" w:sz="6" w:space="0" w:color="CBD5E1"/>
              <w:bottom w:val="single" w:sz="6" w:space="0" w:color="CBD5E1"/>
              <w:right w:val="single" w:sz="6" w:space="0" w:color="CBD5E1"/>
            </w:tcBorders>
            <w:vAlign w:val="center"/>
          </w:tcPr>
          <w:p>
            <w:pPr>
              <w:spacing w:after="0"/>
            </w:pPr>
            <w:r>
              <w:rPr>
                <w:rFonts w:ascii="Calibri" w:hAnsi="Calibri"/>
                <w:color w:val="1F2937"/>
                <w:sz w:val="20"/>
              </w:rPr>
              <w:t>Drafting overview; H.R. statutory instrument; conditional implementation title; H.J. Res. companion amendment; quality-check memorandum.</w:t>
            </w:r>
          </w:p>
        </w:tc>
      </w:tr>
    </w:tbl>
    <w:p>
      <w:pPr>
        <w:pStyle w:val="Heading3Custom"/>
      </w:pPr>
      <w:r>
        <w:rPr>
          <w:rFonts w:ascii="Calibri" w:hAnsi="Calibri"/>
          <w:b/>
          <w:color w:val="1F4D78"/>
          <w:sz w:val="24"/>
        </w:rPr>
        <w:t>Statutory purpose</w:t>
      </w:r>
    </w:p>
    <w:p>
      <w:pPr>
        <w:pStyle w:val="SmallNote"/>
      </w:pPr>
      <w:r>
        <w:rPr>
          <w:rFonts w:ascii="Calibri" w:hAnsi="Calibri"/>
          <w:i/>
          <w:color w:val="5C6370"/>
          <w:sz w:val="19"/>
        </w:rPr>
        <w:t>To establish minimum national standards of access, security, integrity, transparency, and equal participation in elections for Federal office; to expand voting-rights protections; to require ranked-choice voting in congressional general and special elections; to protect voters from intimidation, deception, cyber threats, and foreign influence; and for other purposes.</w:t>
      </w:r>
    </w:p>
    <w:p>
      <w:pPr>
        <w:pStyle w:val="Heading3Custom"/>
      </w:pPr>
      <w:r>
        <w:rPr>
          <w:rFonts w:ascii="Calibri" w:hAnsi="Calibri"/>
          <w:b/>
          <w:color w:val="1F4D78"/>
          <w:sz w:val="24"/>
        </w:rPr>
        <w:t>Companion amendment purpose</w:t>
      </w:r>
    </w:p>
    <w:p>
      <w:pPr>
        <w:pStyle w:val="SmallNote"/>
      </w:pPr>
      <w:r>
        <w:rPr>
          <w:rFonts w:ascii="Calibri" w:hAnsi="Calibri"/>
          <w:i/>
          <w:color w:val="5C6370"/>
          <w:sz w:val="19"/>
        </w:rPr>
        <w:t>Proposing an amendment to the Constitution of the United States to authorize uniform national minimum standards, including ranked-choice voting, for Presidential and State elections, and to establish maximum age qualifications for certain Federal offices.</w:t>
      </w:r>
    </w:p>
    <w:p>
      <w:pPr>
        <w:pBdr>
          <w:bottom w:val="single" w:sz="10" w:space="3" w:color="17324D"/>
        </w:pBdr>
      </w:pPr>
    </w:p>
    <w:p>
      <w:pPr>
        <w:pStyle w:val="SmallNote"/>
      </w:pPr>
      <w:r>
        <w:rPr>
          <w:rFonts w:ascii="Calibri" w:hAnsi="Calibri"/>
          <w:i/>
          <w:color w:val="5C6370"/>
          <w:sz w:val="19"/>
        </w:rPr>
        <w:t>Prepared as a congressional submission packet from the attached draft. Bracketed metadata fields remain for filing-specific completion.</w:t>
      </w:r>
    </w:p>
    <w:p>
      <w:r>
        <w:br w:type="page"/>
      </w:r>
    </w:p>
    <w:p>
      <w:pPr>
        <w:pStyle w:val="Heading1Custom"/>
      </w:pPr>
      <w:r>
        <w:rPr>
          <w:rFonts w:ascii="Calibri" w:hAnsi="Calibri"/>
          <w:b/>
          <w:color w:val="2E74B5"/>
          <w:sz w:val="32"/>
        </w:rPr>
        <w:t>Drafting Overview</w:t>
      </w:r>
    </w:p>
    <w:tbl>
      <w:tblPr>
        <w:tblW w:type="dxa" w:w="9360"/>
        <w:jc w:val="left"/>
        <w:tblLayout w:type="fixed"/>
        <w:tblLook w:firstColumn="1" w:firstRow="1" w:lastColumn="0" w:lastRow="0" w:noHBand="0" w:noVBand="1" w:val="04A0"/>
        <w:tblInd w:w="120" w:type="dxa"/>
        <w:tblCellMar>
          <w:top w:w="130" w:type="dxa"/>
          <w:start w:w="160" w:type="dxa"/>
          <w:bottom w:w="130" w:type="dxa"/>
          <w:end w:w="160" w:type="dxa"/>
        </w:tblCellMar>
      </w:tblPr>
      <w:tblGrid>
        <w:gridCol w:w="9360"/>
      </w:tblGrid>
      <w:tr>
        <w:tc>
          <w:tcPr>
            <w:tcW w:type="dxa" w:w="9360"/>
            <w:shd w:fill="F4F6F9"/>
            <w:tcBorders>
              <w:top w:val="single" w:sz="6" w:space="0" w:color="CBD5E1"/>
              <w:left w:val="single" w:sz="6" w:space="0" w:color="CBD5E1"/>
              <w:bottom w:val="single" w:sz="6" w:space="0" w:color="CBD5E1"/>
              <w:right w:val="single" w:sz="6" w:space="0" w:color="CBD5E1"/>
            </w:tcBorders>
          </w:tcPr>
        </w:tc>
      </w:tr>
    </w:tbl>
    <w:p>
      <w:pPr>
        <w:spacing w:after="40"/>
      </w:pPr>
    </w:p>
    <w:p>
      <w:pPr>
        <w:pStyle w:val="Body"/>
      </w:pPr>
      <w:r>
        <w:rPr>
          <w:rFonts w:ascii="Calibri" w:hAnsi="Calibri"/>
          <w:color w:val="1F2937"/>
          <w:sz w:val="22"/>
        </w:rPr>
        <w:t>The access, verification, and security provisions below are built on current official frameworks: USCIS now states that SAVE can verify citizenship for naturalized, acquired, and U.S.-born citizens; USCIS and vote.gov already provide voter-registration pathways for new citizens; and EAC, NIST, CISA, DOJ, FTC, FCC, and FEC materials support the bill’s emphasis on paper records, auditable systems, cyber incident reporting, deception safeguards, AI-voice restrictions, and sponsor transparency. Recent polling also shows broad public support for early voting, automatic registration, same-day registration, paper backups, and making Election Day a holiday. The campaign-finance title uses neutral, objective rules for any foreign-influenced political committee rather than naming any one organization, because existing federal law already bans foreign-national election spending and a one-off named penalty would be more vulnerable to abuse and litigation.</w:t>
      </w:r>
    </w:p>
    <w:p>
      <w:r>
        <w:br w:type="page"/>
      </w:r>
    </w:p>
    <w:p>
      <w:pPr>
        <w:pStyle w:val="InstrumentHeading"/>
      </w:pPr>
      <w:r>
        <w:rPr>
          <w:rFonts w:ascii="Calibri" w:hAnsi="Calibri"/>
          <w:b/>
          <w:color w:val="2E74B5"/>
          <w:sz w:val="32"/>
        </w:rPr>
        <w:t>Instrument I — The American Vote Act</w:t>
      </w:r>
    </w:p>
    <w:p>
      <w:pPr>
        <w:pStyle w:val="BillLabel"/>
      </w:pPr>
      <w:r>
        <w:rPr>
          <w:rFonts w:ascii="Times New Roman" w:hAnsi="Times New Roman"/>
          <w:b/>
          <w:color w:val="1F2937"/>
          <w:sz w:val="24"/>
        </w:rPr>
        <w:t>119TH CONGRESS</w:t>
      </w:r>
    </w:p>
    <w:p>
      <w:pPr>
        <w:pStyle w:val="BillLabel"/>
      </w:pPr>
      <w:r>
        <w:rPr>
          <w:rFonts w:ascii="Times New Roman" w:hAnsi="Times New Roman"/>
          <w:b/>
          <w:color w:val="1F2937"/>
          <w:sz w:val="24"/>
        </w:rPr>
        <w:t>1ST SESSION</w:t>
      </w:r>
    </w:p>
    <w:p>
      <w:pPr>
        <w:pStyle w:val="BillLabel"/>
      </w:pPr>
      <w:r>
        <w:rPr>
          <w:rFonts w:ascii="Times New Roman" w:hAnsi="Times New Roman"/>
          <w:b/>
          <w:color w:val="1F2937"/>
          <w:sz w:val="24"/>
        </w:rPr>
        <w:t>H. R. __</w:t>
      </w:r>
    </w:p>
    <w:p>
      <w:pPr>
        <w:pStyle w:val="BillLongTitle"/>
      </w:pPr>
      <w:r>
        <w:rPr>
          <w:rFonts w:ascii="Times New Roman" w:hAnsi="Times New Roman"/>
          <w:color w:val="1F2937"/>
          <w:sz w:val="22"/>
        </w:rPr>
        <w:t>To establish minimum national standards of access, security, integrity, transparency, and equal participation in elections for Federal office; to expand voting-rights protections; to require ranked-choice voting in congressional general and special elections; to protect voters from intimidation, deception, cyber threats, and foreign influence; and for other purposes.</w:t>
      </w:r>
    </w:p>
    <w:p>
      <w:pPr>
        <w:pStyle w:val="BillLabel"/>
      </w:pPr>
      <w:r>
        <w:rPr>
          <w:rFonts w:ascii="Times New Roman" w:hAnsi="Times New Roman"/>
          <w:b/>
          <w:color w:val="1F2937"/>
          <w:sz w:val="24"/>
        </w:rPr>
        <w:t>IN THE HOUSE OF REPRESENTATIVES</w:t>
      </w:r>
    </w:p>
    <w:p>
      <w:pPr>
        <w:pStyle w:val="BillLabel"/>
      </w:pPr>
      <w:r>
        <w:rPr>
          <w:rFonts w:ascii="Times New Roman" w:hAnsi="Times New Roman"/>
          <w:b/>
          <w:color w:val="1F2937"/>
          <w:sz w:val="24"/>
        </w:rPr>
        <w:t>[Date]</w:t>
      </w:r>
    </w:p>
    <w:p>
      <w:pPr>
        <w:pStyle w:val="HouseAction"/>
      </w:pPr>
      <w:r>
        <w:rPr>
          <w:rFonts w:ascii="Times New Roman" w:hAnsi="Times New Roman"/>
          <w:color w:val="1F2937"/>
          <w:sz w:val="19"/>
        </w:rPr>
        <w:t>Mr./Ms. ______ introduced the following bill; which was referred to the Committee on House Administration, and in addition to the Committees on the Judiciary, Homeland Security, Energy and Commerce, Education and the Workforce, Oversight and Government Reform, Financial Services, Ways and Means, and Appropriations, for a period to be subsequently determined by the Speaker, in each case for consideration of such provisions as fall within the jurisdiction of the committee concerned.</w:t>
      </w:r>
    </w:p>
    <w:p>
      <w:pPr>
        <w:pStyle w:val="BillLabel"/>
      </w:pPr>
      <w:r>
        <w:rPr>
          <w:rFonts w:ascii="Times New Roman" w:hAnsi="Times New Roman"/>
          <w:b/>
          <w:color w:val="1F2937"/>
          <w:sz w:val="24"/>
        </w:rPr>
        <w:t>A BILL</w:t>
      </w:r>
    </w:p>
    <w:p>
      <w:pPr>
        <w:pStyle w:val="EnactingClause"/>
      </w:pPr>
      <w:r>
        <w:rPr>
          <w:rFonts w:ascii="Times New Roman" w:hAnsi="Times New Roman"/>
          <w:i/>
          <w:color w:val="1F2937"/>
          <w:sz w:val="21"/>
        </w:rPr>
        <w:t>Be it enacted by the Senate and House of Representatives of the United States of America in Congress assembled,</w:t>
      </w:r>
    </w:p>
    <w:p>
      <w:pPr>
        <w:pStyle w:val="SectionHeading"/>
      </w:pPr>
      <w:r>
        <w:rPr>
          <w:rFonts w:ascii="Calibri" w:hAnsi="Calibri"/>
          <w:b/>
          <w:color w:val="0B2545"/>
          <w:sz w:val="19"/>
        </w:rPr>
        <w:t>SECTION 1. SHORT TITLE.</w:t>
      </w:r>
    </w:p>
    <w:p>
      <w:pPr>
        <w:pStyle w:val="LegalBody"/>
      </w:pPr>
      <w:r>
        <w:rPr>
          <w:rFonts w:ascii="Times New Roman" w:hAnsi="Times New Roman"/>
          <w:color w:val="1F2937"/>
          <w:sz w:val="20"/>
        </w:rPr>
        <w:t>This Act may be cited as the “American Vote Act”.</w:t>
      </w:r>
    </w:p>
    <w:p>
      <w:pPr>
        <w:pStyle w:val="SectionHeading"/>
      </w:pPr>
      <w:r>
        <w:rPr>
          <w:rFonts w:ascii="Calibri" w:hAnsi="Calibri"/>
          <w:b/>
          <w:color w:val="0B2545"/>
          <w:sz w:val="19"/>
        </w:rPr>
        <w:t>SEC. 2. TABLE OF CONTENTS.</w:t>
      </w:r>
    </w:p>
    <w:p>
      <w:pPr>
        <w:pStyle w:val="LegalBody"/>
      </w:pPr>
      <w:r>
        <w:rPr>
          <w:rFonts w:ascii="Times New Roman" w:hAnsi="Times New Roman"/>
          <w:color w:val="1F2937"/>
          <w:sz w:val="20"/>
        </w:rPr>
        <w:t>The table of contents for this Act is as follows:</w:t>
      </w:r>
    </w:p>
    <w:p>
      <w:pPr>
        <w:pStyle w:val="TOCEntry"/>
      </w:pPr>
      <w:r>
        <w:rPr>
          <w:rFonts w:ascii="Times New Roman" w:hAnsi="Times New Roman"/>
          <w:color w:val="1F2937"/>
          <w:sz w:val="20"/>
        </w:rPr>
        <w:t>Sec. 1. Short title.</w:t>
      </w:r>
    </w:p>
    <w:p>
      <w:pPr>
        <w:pStyle w:val="TOCEntry"/>
      </w:pPr>
      <w:r>
        <w:rPr>
          <w:rFonts w:ascii="Times New Roman" w:hAnsi="Times New Roman"/>
          <w:color w:val="1F2937"/>
          <w:sz w:val="20"/>
        </w:rPr>
        <w:t>Sec. 2. Table of contents.</w:t>
      </w:r>
    </w:p>
    <w:p>
      <w:pPr>
        <w:pStyle w:val="TOCEntry"/>
      </w:pPr>
      <w:r>
        <w:rPr>
          <w:rFonts w:ascii="Times New Roman" w:hAnsi="Times New Roman"/>
          <w:color w:val="1F2937"/>
          <w:sz w:val="20"/>
        </w:rPr>
        <w:t>Sec. 3. Findings and purposes.</w:t>
      </w:r>
    </w:p>
    <w:p>
      <w:pPr>
        <w:pStyle w:val="TOCEntry"/>
      </w:pPr>
      <w:r>
        <w:rPr>
          <w:rFonts w:ascii="Times New Roman" w:hAnsi="Times New Roman"/>
          <w:color w:val="1F2937"/>
          <w:sz w:val="20"/>
        </w:rPr>
        <w:t>Sec. 4. Constitutional authority.</w:t>
      </w:r>
    </w:p>
    <w:p>
      <w:pPr>
        <w:pStyle w:val="TOCEntry"/>
      </w:pPr>
      <w:r>
        <w:rPr>
          <w:rFonts w:ascii="Times New Roman" w:hAnsi="Times New Roman"/>
          <w:color w:val="1F2937"/>
          <w:sz w:val="20"/>
        </w:rPr>
        <w:t>Sec. 5. Definitions.</w:t>
      </w:r>
    </w:p>
    <w:p>
      <w:pPr>
        <w:pStyle w:val="TitleHeading"/>
      </w:pPr>
      <w:r>
        <w:rPr>
          <w:rFonts w:ascii="Calibri" w:hAnsi="Calibri"/>
          <w:b/>
          <w:color w:val="0B2545"/>
          <w:sz w:val="20"/>
        </w:rPr>
        <w:t>TITLE I — NATIONAL VOTING DAY, REGISTRATION, AND CITIZENSHIP MODERNIZATION</w:t>
      </w:r>
    </w:p>
    <w:p>
      <w:pPr>
        <w:pStyle w:val="TOCEntry"/>
      </w:pPr>
      <w:r>
        <w:rPr>
          <w:rFonts w:ascii="Times New Roman" w:hAnsi="Times New Roman"/>
          <w:color w:val="1F2937"/>
          <w:sz w:val="20"/>
        </w:rPr>
        <w:t>Sec. 101. Election Day as legal public holiday.</w:t>
      </w:r>
    </w:p>
    <w:p>
      <w:pPr>
        <w:pStyle w:val="TOCEntry"/>
      </w:pPr>
      <w:r>
        <w:rPr>
          <w:rFonts w:ascii="Times New Roman" w:hAnsi="Times New Roman"/>
          <w:color w:val="1F2937"/>
          <w:sz w:val="20"/>
        </w:rPr>
        <w:t>Sec. 102. Paid voting leave for private-sector employees.</w:t>
      </w:r>
    </w:p>
    <w:p>
      <w:pPr>
        <w:pStyle w:val="TOCEntry"/>
      </w:pPr>
      <w:r>
        <w:rPr>
          <w:rFonts w:ascii="Times New Roman" w:hAnsi="Times New Roman"/>
          <w:color w:val="1F2937"/>
          <w:sz w:val="20"/>
        </w:rPr>
        <w:t>Sec. 103. Essential operations; Federal contractor compliance.</w:t>
      </w:r>
    </w:p>
    <w:p>
      <w:pPr>
        <w:pStyle w:val="TOCEntry"/>
      </w:pPr>
      <w:r>
        <w:rPr>
          <w:rFonts w:ascii="Times New Roman" w:hAnsi="Times New Roman"/>
          <w:color w:val="1F2937"/>
          <w:sz w:val="20"/>
        </w:rPr>
        <w:t>Sec. 104. Automatic voter registration.</w:t>
      </w:r>
    </w:p>
    <w:p>
      <w:pPr>
        <w:pStyle w:val="TOCEntry"/>
      </w:pPr>
      <w:r>
        <w:rPr>
          <w:rFonts w:ascii="Times New Roman" w:hAnsi="Times New Roman"/>
          <w:color w:val="1F2937"/>
          <w:sz w:val="20"/>
        </w:rPr>
        <w:t>Sec. 105. Online voter registration.</w:t>
      </w:r>
    </w:p>
    <w:p>
      <w:pPr>
        <w:pStyle w:val="TOCEntry"/>
      </w:pPr>
      <w:r>
        <w:rPr>
          <w:rFonts w:ascii="Times New Roman" w:hAnsi="Times New Roman"/>
          <w:color w:val="1F2937"/>
          <w:sz w:val="20"/>
        </w:rPr>
        <w:t>Sec. 106. Same-day registration and correction.</w:t>
      </w:r>
    </w:p>
    <w:p>
      <w:pPr>
        <w:pStyle w:val="TOCEntry"/>
      </w:pPr>
      <w:r>
        <w:rPr>
          <w:rFonts w:ascii="Times New Roman" w:hAnsi="Times New Roman"/>
          <w:color w:val="1F2937"/>
          <w:sz w:val="20"/>
        </w:rPr>
        <w:t>Sec. 107. Portable registration and interstate updates.</w:t>
      </w:r>
    </w:p>
    <w:p>
      <w:pPr>
        <w:pStyle w:val="TOCEntry"/>
      </w:pPr>
      <w:r>
        <w:rPr>
          <w:rFonts w:ascii="Times New Roman" w:hAnsi="Times New Roman"/>
          <w:color w:val="1F2937"/>
          <w:sz w:val="20"/>
        </w:rPr>
        <w:t>Sec. 108. Voter registration at naturalization ceremonies.</w:t>
      </w:r>
    </w:p>
    <w:p>
      <w:pPr>
        <w:pStyle w:val="TOCEntry"/>
      </w:pPr>
      <w:r>
        <w:rPr>
          <w:rFonts w:ascii="Times New Roman" w:hAnsi="Times New Roman"/>
          <w:color w:val="1F2937"/>
          <w:sz w:val="20"/>
        </w:rPr>
        <w:t>Sec. 109. Federal Citizenship Verification Interface.</w:t>
      </w:r>
    </w:p>
    <w:p>
      <w:pPr>
        <w:pStyle w:val="TOCEntry"/>
      </w:pPr>
      <w:r>
        <w:rPr>
          <w:rFonts w:ascii="Times New Roman" w:hAnsi="Times New Roman"/>
          <w:color w:val="1F2937"/>
          <w:sz w:val="20"/>
        </w:rPr>
        <w:t>Sec. 110. Non-burdensome proof of citizenship for Federal elections.</w:t>
      </w:r>
    </w:p>
    <w:p>
      <w:pPr>
        <w:pStyle w:val="TOCEntry"/>
      </w:pPr>
      <w:r>
        <w:rPr>
          <w:rFonts w:ascii="Times New Roman" w:hAnsi="Times New Roman"/>
          <w:color w:val="1F2937"/>
          <w:sz w:val="20"/>
        </w:rPr>
        <w:t>Sec. 111. List maintenance, quiet period, and anti-purge protections.</w:t>
      </w:r>
    </w:p>
    <w:p>
      <w:pPr>
        <w:pStyle w:val="TOCEntry"/>
      </w:pPr>
      <w:r>
        <w:rPr>
          <w:rFonts w:ascii="Times New Roman" w:hAnsi="Times New Roman"/>
          <w:color w:val="1F2937"/>
          <w:sz w:val="20"/>
        </w:rPr>
        <w:t>Sec. 112. Preregistration of 16- and 17-year-olds.</w:t>
      </w:r>
    </w:p>
    <w:p>
      <w:pPr>
        <w:pStyle w:val="TOCEntry"/>
      </w:pPr>
      <w:r>
        <w:rPr>
          <w:rFonts w:ascii="Times New Roman" w:hAnsi="Times New Roman"/>
          <w:color w:val="1F2937"/>
          <w:sz w:val="20"/>
        </w:rPr>
        <w:t>Sec. 113. Privacy and data minimization.</w:t>
      </w:r>
    </w:p>
    <w:p>
      <w:pPr>
        <w:pStyle w:val="TitleHeading"/>
      </w:pPr>
      <w:r>
        <w:rPr>
          <w:rFonts w:ascii="Calibri" w:hAnsi="Calibri"/>
          <w:b/>
          <w:color w:val="0B2545"/>
          <w:sz w:val="20"/>
        </w:rPr>
        <w:t>TITLE II — BALLOT ACCESS, METHODS, AND EQUAL PARTICIPATION</w:t>
      </w:r>
    </w:p>
    <w:p>
      <w:pPr>
        <w:pStyle w:val="TOCEntry"/>
      </w:pPr>
      <w:r>
        <w:rPr>
          <w:rFonts w:ascii="Times New Roman" w:hAnsi="Times New Roman"/>
          <w:color w:val="1F2937"/>
          <w:sz w:val="20"/>
        </w:rPr>
        <w:t>Sec. 201. Early voting.</w:t>
      </w:r>
    </w:p>
    <w:p>
      <w:pPr>
        <w:pStyle w:val="TOCEntry"/>
      </w:pPr>
      <w:r>
        <w:rPr>
          <w:rFonts w:ascii="Times New Roman" w:hAnsi="Times New Roman"/>
          <w:color w:val="1F2937"/>
          <w:sz w:val="20"/>
        </w:rPr>
        <w:t>Sec. 202. No-excuse mail voting.</w:t>
      </w:r>
    </w:p>
    <w:p>
      <w:pPr>
        <w:pStyle w:val="TOCEntry"/>
      </w:pPr>
      <w:r>
        <w:rPr>
          <w:rFonts w:ascii="Times New Roman" w:hAnsi="Times New Roman"/>
          <w:color w:val="1F2937"/>
          <w:sz w:val="20"/>
        </w:rPr>
        <w:t>Sec. 203. Ballot tracking, prepaid postage, secure drop boxes, and ballot-return assistance.</w:t>
      </w:r>
    </w:p>
    <w:p>
      <w:pPr>
        <w:pStyle w:val="TOCEntry"/>
      </w:pPr>
      <w:r>
        <w:rPr>
          <w:rFonts w:ascii="Times New Roman" w:hAnsi="Times New Roman"/>
          <w:color w:val="1F2937"/>
          <w:sz w:val="20"/>
        </w:rPr>
        <w:t>Sec. 204. Timely receipt, preprocessing, signature review, and cure.</w:t>
      </w:r>
    </w:p>
    <w:p>
      <w:pPr>
        <w:pStyle w:val="TOCEntry"/>
      </w:pPr>
      <w:r>
        <w:rPr>
          <w:rFonts w:ascii="Times New Roman" w:hAnsi="Times New Roman"/>
          <w:color w:val="1F2937"/>
          <w:sz w:val="20"/>
        </w:rPr>
        <w:t>Sec. 205. Provisional and fail-safe ballots.</w:t>
      </w:r>
    </w:p>
    <w:p>
      <w:pPr>
        <w:pStyle w:val="TOCEntry"/>
      </w:pPr>
      <w:r>
        <w:rPr>
          <w:rFonts w:ascii="Times New Roman" w:hAnsi="Times New Roman"/>
          <w:color w:val="1F2937"/>
          <w:sz w:val="20"/>
        </w:rPr>
        <w:t>Sec. 206. Accessibility for voters with disabilities.</w:t>
      </w:r>
    </w:p>
    <w:p>
      <w:pPr>
        <w:pStyle w:val="TOCEntry"/>
      </w:pPr>
      <w:r>
        <w:rPr>
          <w:rFonts w:ascii="Times New Roman" w:hAnsi="Times New Roman"/>
          <w:color w:val="1F2937"/>
          <w:sz w:val="20"/>
        </w:rPr>
        <w:t>Sec. 207. Language access and plain-language election materials.</w:t>
      </w:r>
    </w:p>
    <w:p>
      <w:pPr>
        <w:pStyle w:val="TOCEntry"/>
      </w:pPr>
      <w:r>
        <w:rPr>
          <w:rFonts w:ascii="Times New Roman" w:hAnsi="Times New Roman"/>
          <w:color w:val="1F2937"/>
          <w:sz w:val="20"/>
        </w:rPr>
        <w:t>Sec. 208. Tribal, rural, campus, and unhoused voter access.</w:t>
      </w:r>
    </w:p>
    <w:p>
      <w:pPr>
        <w:pStyle w:val="TOCEntry"/>
      </w:pPr>
      <w:r>
        <w:rPr>
          <w:rFonts w:ascii="Times New Roman" w:hAnsi="Times New Roman"/>
          <w:color w:val="1F2937"/>
          <w:sz w:val="20"/>
        </w:rPr>
        <w:t>Sec. 209. Polling-place allocation and line-management standards.</w:t>
      </w:r>
    </w:p>
    <w:p>
      <w:pPr>
        <w:pStyle w:val="TOCEntry"/>
      </w:pPr>
      <w:r>
        <w:rPr>
          <w:rFonts w:ascii="Times New Roman" w:hAnsi="Times New Roman"/>
          <w:color w:val="1F2937"/>
          <w:sz w:val="20"/>
        </w:rPr>
        <w:t>Sec. 210. Training of election workers.</w:t>
      </w:r>
    </w:p>
    <w:p>
      <w:pPr>
        <w:pStyle w:val="TitleHeading"/>
      </w:pPr>
      <w:r>
        <w:rPr>
          <w:rFonts w:ascii="Calibri" w:hAnsi="Calibri"/>
          <w:b/>
          <w:color w:val="0B2545"/>
          <w:sz w:val="20"/>
        </w:rPr>
        <w:t>TITLE III — TRUTHFUL CIVIC PARTICIPATION AND ELECTION INFORMATION INTEGRITY</w:t>
      </w:r>
    </w:p>
    <w:p>
      <w:pPr>
        <w:pStyle w:val="TOCEntry"/>
      </w:pPr>
      <w:r>
        <w:rPr>
          <w:rFonts w:ascii="Times New Roman" w:hAnsi="Times New Roman"/>
          <w:color w:val="1F2937"/>
          <w:sz w:val="20"/>
        </w:rPr>
        <w:t>Sec. 301. Nonpartisan civic participation program.</w:t>
      </w:r>
    </w:p>
    <w:p>
      <w:pPr>
        <w:pStyle w:val="TOCEntry"/>
      </w:pPr>
      <w:r>
        <w:rPr>
          <w:rFonts w:ascii="Times New Roman" w:hAnsi="Times New Roman"/>
          <w:color w:val="1F2937"/>
          <w:sz w:val="20"/>
        </w:rPr>
        <w:t>Sec. 302. Deceptive practices and voter-suppression communications.</w:t>
      </w:r>
    </w:p>
    <w:p>
      <w:pPr>
        <w:pStyle w:val="TOCEntry"/>
      </w:pPr>
      <w:r>
        <w:rPr>
          <w:rFonts w:ascii="Times New Roman" w:hAnsi="Times New Roman"/>
          <w:color w:val="1F2937"/>
          <w:sz w:val="20"/>
        </w:rPr>
        <w:t>Sec. 303. Corrective notice and emergency relief.</w:t>
      </w:r>
    </w:p>
    <w:p>
      <w:pPr>
        <w:pStyle w:val="TOCEntry"/>
      </w:pPr>
      <w:r>
        <w:rPr>
          <w:rFonts w:ascii="Times New Roman" w:hAnsi="Times New Roman"/>
          <w:color w:val="1F2937"/>
          <w:sz w:val="20"/>
        </w:rPr>
        <w:t>Sec. 304. Synthetic-media disclosure and materially deceptive synthetic media.</w:t>
      </w:r>
    </w:p>
    <w:p>
      <w:pPr>
        <w:pStyle w:val="TOCEntry"/>
      </w:pPr>
      <w:r>
        <w:rPr>
          <w:rFonts w:ascii="Times New Roman" w:hAnsi="Times New Roman"/>
          <w:color w:val="1F2937"/>
          <w:sz w:val="20"/>
        </w:rPr>
        <w:t>Sec. 305. Paid digital political advertising disclaimers, public files, and sensitive-targeting limits.</w:t>
      </w:r>
    </w:p>
    <w:p>
      <w:pPr>
        <w:pStyle w:val="TOCEntry"/>
      </w:pPr>
      <w:r>
        <w:rPr>
          <w:rFonts w:ascii="Times New Roman" w:hAnsi="Times New Roman"/>
          <w:color w:val="1F2937"/>
          <w:sz w:val="20"/>
        </w:rPr>
        <w:t>Sec. 306. Foreign-influence safeguards and inauthentic amplification.</w:t>
      </w:r>
    </w:p>
    <w:p>
      <w:pPr>
        <w:pStyle w:val="TOCEntry"/>
      </w:pPr>
      <w:r>
        <w:rPr>
          <w:rFonts w:ascii="Times New Roman" w:hAnsi="Times New Roman"/>
          <w:color w:val="1F2937"/>
          <w:sz w:val="20"/>
        </w:rPr>
        <w:t>Sec. 307. AI-generated robocalls, texts, and impersonation.</w:t>
      </w:r>
    </w:p>
    <w:p>
      <w:pPr>
        <w:pStyle w:val="TOCEntry"/>
      </w:pPr>
      <w:r>
        <w:rPr>
          <w:rFonts w:ascii="Times New Roman" w:hAnsi="Times New Roman"/>
          <w:color w:val="1F2937"/>
          <w:sz w:val="20"/>
        </w:rPr>
        <w:t>Sec. 308. Ethical voter-engagement standards for federally supported outreach.</w:t>
      </w:r>
    </w:p>
    <w:p>
      <w:pPr>
        <w:pStyle w:val="TOCEntry"/>
      </w:pPr>
      <w:r>
        <w:rPr>
          <w:rFonts w:ascii="Times New Roman" w:hAnsi="Times New Roman"/>
          <w:color w:val="1F2937"/>
          <w:sz w:val="20"/>
        </w:rPr>
        <w:t>Sec. 309. Rules of construction and First Amendment protections.</w:t>
      </w:r>
    </w:p>
    <w:p>
      <w:pPr>
        <w:pStyle w:val="TitleHeading"/>
      </w:pPr>
      <w:r>
        <w:rPr>
          <w:rFonts w:ascii="Calibri" w:hAnsi="Calibri"/>
          <w:b/>
          <w:color w:val="0B2545"/>
          <w:sz w:val="20"/>
        </w:rPr>
        <w:t>TITLE IV — ELECTION SECURITY, CYBER RESILIENCE, AND AUDITABILITY</w:t>
      </w:r>
    </w:p>
    <w:p>
      <w:pPr>
        <w:pStyle w:val="TOCEntry"/>
      </w:pPr>
      <w:r>
        <w:rPr>
          <w:rFonts w:ascii="Times New Roman" w:hAnsi="Times New Roman"/>
          <w:color w:val="1F2937"/>
          <w:sz w:val="20"/>
        </w:rPr>
        <w:t>Sec. 401. Paper ballots and voter-verifiable paper records.</w:t>
      </w:r>
    </w:p>
    <w:p>
      <w:pPr>
        <w:pStyle w:val="TOCEntry"/>
      </w:pPr>
      <w:r>
        <w:rPr>
          <w:rFonts w:ascii="Times New Roman" w:hAnsi="Times New Roman"/>
          <w:color w:val="1F2937"/>
          <w:sz w:val="20"/>
        </w:rPr>
        <w:t>Sec. 402. Isolation of voting systems from the internet.</w:t>
      </w:r>
    </w:p>
    <w:p>
      <w:pPr>
        <w:pStyle w:val="TOCEntry"/>
      </w:pPr>
      <w:r>
        <w:rPr>
          <w:rFonts w:ascii="Times New Roman" w:hAnsi="Times New Roman"/>
          <w:color w:val="1F2937"/>
          <w:sz w:val="20"/>
        </w:rPr>
        <w:t>Sec. 403. Mandatory Federal security baseline for voting systems used in Federal elections.</w:t>
      </w:r>
    </w:p>
    <w:p>
      <w:pPr>
        <w:pStyle w:val="TOCEntry"/>
      </w:pPr>
      <w:r>
        <w:rPr>
          <w:rFonts w:ascii="Times New Roman" w:hAnsi="Times New Roman"/>
          <w:color w:val="1F2937"/>
          <w:sz w:val="20"/>
        </w:rPr>
        <w:t>Sec. 404. Vendor, software, and supply-chain security obligations.</w:t>
      </w:r>
    </w:p>
    <w:p>
      <w:pPr>
        <w:pStyle w:val="TOCEntry"/>
      </w:pPr>
      <w:r>
        <w:rPr>
          <w:rFonts w:ascii="Times New Roman" w:hAnsi="Times New Roman"/>
          <w:color w:val="1F2937"/>
          <w:sz w:val="20"/>
        </w:rPr>
        <w:t>Sec. 405. Cyber incident reporting.</w:t>
      </w:r>
    </w:p>
    <w:p>
      <w:pPr>
        <w:pStyle w:val="TOCEntry"/>
      </w:pPr>
      <w:r>
        <w:rPr>
          <w:rFonts w:ascii="Times New Roman" w:hAnsi="Times New Roman"/>
          <w:color w:val="1F2937"/>
          <w:sz w:val="20"/>
        </w:rPr>
        <w:t>Sec. 406. Continuity of operations and contingency planning.</w:t>
      </w:r>
    </w:p>
    <w:p>
      <w:pPr>
        <w:pStyle w:val="TOCEntry"/>
      </w:pPr>
      <w:r>
        <w:rPr>
          <w:rFonts w:ascii="Times New Roman" w:hAnsi="Times New Roman"/>
          <w:color w:val="1F2937"/>
          <w:sz w:val="20"/>
        </w:rPr>
        <w:t>Sec. 407. Risk-limiting audits.</w:t>
      </w:r>
    </w:p>
    <w:p>
      <w:pPr>
        <w:pStyle w:val="TOCEntry"/>
      </w:pPr>
      <w:r>
        <w:rPr>
          <w:rFonts w:ascii="Times New Roman" w:hAnsi="Times New Roman"/>
          <w:color w:val="1F2937"/>
          <w:sz w:val="20"/>
        </w:rPr>
        <w:t>Sec. 408. Recounts, public reporting, and chain of custody.</w:t>
      </w:r>
    </w:p>
    <w:p>
      <w:pPr>
        <w:pStyle w:val="TOCEntry"/>
      </w:pPr>
      <w:r>
        <w:rPr>
          <w:rFonts w:ascii="Times New Roman" w:hAnsi="Times New Roman"/>
          <w:color w:val="1F2937"/>
          <w:sz w:val="20"/>
        </w:rPr>
        <w:t>Sec. 409. Pilot program for secure remote ballot return.</w:t>
      </w:r>
    </w:p>
    <w:p>
      <w:pPr>
        <w:pStyle w:val="TOCEntry"/>
      </w:pPr>
      <w:r>
        <w:rPr>
          <w:rFonts w:ascii="Times New Roman" w:hAnsi="Times New Roman"/>
          <w:color w:val="1F2937"/>
          <w:sz w:val="20"/>
        </w:rPr>
        <w:t>Sec. 410. Protection of election workers and facilities.</w:t>
      </w:r>
    </w:p>
    <w:p>
      <w:pPr>
        <w:pStyle w:val="TOCEntry"/>
      </w:pPr>
      <w:r>
        <w:rPr>
          <w:rFonts w:ascii="Times New Roman" w:hAnsi="Times New Roman"/>
          <w:color w:val="1F2937"/>
          <w:sz w:val="20"/>
        </w:rPr>
        <w:t>Sec. 411. Official election information portals.</w:t>
      </w:r>
    </w:p>
    <w:p>
      <w:pPr>
        <w:pStyle w:val="TOCEntry"/>
      </w:pPr>
      <w:r>
        <w:rPr>
          <w:rFonts w:ascii="Times New Roman" w:hAnsi="Times New Roman"/>
          <w:color w:val="1F2937"/>
          <w:sz w:val="20"/>
        </w:rPr>
        <w:t>Sec. 412. Neutral administration of private support.</w:t>
      </w:r>
    </w:p>
    <w:p>
      <w:pPr>
        <w:pStyle w:val="TOCEntry"/>
      </w:pPr>
      <w:r>
        <w:rPr>
          <w:rFonts w:ascii="Times New Roman" w:hAnsi="Times New Roman"/>
          <w:color w:val="1F2937"/>
          <w:sz w:val="20"/>
        </w:rPr>
        <w:t>Sec. 413. Security and resilience grants.</w:t>
      </w:r>
    </w:p>
    <w:p>
      <w:pPr>
        <w:pStyle w:val="TitleHeading"/>
      </w:pPr>
      <w:r>
        <w:rPr>
          <w:rFonts w:ascii="Calibri" w:hAnsi="Calibri"/>
          <w:b/>
          <w:color w:val="0B2545"/>
          <w:sz w:val="20"/>
        </w:rPr>
        <w:t>TITLE V — RANKED-CHOICE VOTING FOR CONGRESSIONAL ELECTIONS AND STATE ADOPTION INCENTIVES</w:t>
      </w:r>
    </w:p>
    <w:p>
      <w:pPr>
        <w:pStyle w:val="TOCEntry"/>
      </w:pPr>
      <w:r>
        <w:rPr>
          <w:rFonts w:ascii="Times New Roman" w:hAnsi="Times New Roman"/>
          <w:color w:val="1F2937"/>
          <w:sz w:val="20"/>
        </w:rPr>
        <w:t>Sec. 501. Requirement of ranked-choice voting in congressional general and special elections.</w:t>
      </w:r>
    </w:p>
    <w:p>
      <w:pPr>
        <w:pStyle w:val="TOCEntry"/>
      </w:pPr>
      <w:r>
        <w:rPr>
          <w:rFonts w:ascii="Times New Roman" w:hAnsi="Times New Roman"/>
          <w:color w:val="1F2937"/>
          <w:sz w:val="20"/>
        </w:rPr>
        <w:t>Sec. 502. Ballot format and voter instructions.</w:t>
      </w:r>
    </w:p>
    <w:p>
      <w:pPr>
        <w:pStyle w:val="TOCEntry"/>
      </w:pPr>
      <w:r>
        <w:rPr>
          <w:rFonts w:ascii="Times New Roman" w:hAnsi="Times New Roman"/>
          <w:color w:val="1F2937"/>
          <w:sz w:val="20"/>
        </w:rPr>
        <w:t>Sec. 503. Tabulation rules.</w:t>
      </w:r>
    </w:p>
    <w:p>
      <w:pPr>
        <w:pStyle w:val="TOCEntry"/>
      </w:pPr>
      <w:r>
        <w:rPr>
          <w:rFonts w:ascii="Times New Roman" w:hAnsi="Times New Roman"/>
          <w:color w:val="1F2937"/>
          <w:sz w:val="20"/>
        </w:rPr>
        <w:t>Sec. 504. Recounts, audits, and reporting.</w:t>
      </w:r>
    </w:p>
    <w:p>
      <w:pPr>
        <w:pStyle w:val="TOCEntry"/>
      </w:pPr>
      <w:r>
        <w:rPr>
          <w:rFonts w:ascii="Times New Roman" w:hAnsi="Times New Roman"/>
          <w:color w:val="1F2937"/>
          <w:sz w:val="20"/>
        </w:rPr>
        <w:t>Sec. 505. Minority voting-rights and language-access review.</w:t>
      </w:r>
    </w:p>
    <w:p>
      <w:pPr>
        <w:pStyle w:val="TOCEntry"/>
      </w:pPr>
      <w:r>
        <w:rPr>
          <w:rFonts w:ascii="Times New Roman" w:hAnsi="Times New Roman"/>
          <w:color w:val="1F2937"/>
          <w:sz w:val="20"/>
        </w:rPr>
        <w:t>Sec. 506. Implementation schedule and transition grants.</w:t>
      </w:r>
    </w:p>
    <w:p>
      <w:pPr>
        <w:pStyle w:val="TOCEntry"/>
      </w:pPr>
      <w:r>
        <w:rPr>
          <w:rFonts w:ascii="Times New Roman" w:hAnsi="Times New Roman"/>
          <w:color w:val="1F2937"/>
          <w:sz w:val="20"/>
        </w:rPr>
        <w:t>Sec. 507. State option grants for additional ranked-choice adoption.</w:t>
      </w:r>
    </w:p>
    <w:p>
      <w:pPr>
        <w:pStyle w:val="TitleHeading"/>
      </w:pPr>
      <w:r>
        <w:rPr>
          <w:rFonts w:ascii="Calibri" w:hAnsi="Calibri"/>
          <w:b/>
          <w:color w:val="0B2545"/>
          <w:sz w:val="20"/>
        </w:rPr>
        <w:t>TITLE VI — CAMPAIGN FINANCE INTEGRITY, ANTI-CORRUPTION, AND FOREIGN INFLUENCE PREVENTION</w:t>
      </w:r>
    </w:p>
    <w:p>
      <w:pPr>
        <w:pStyle w:val="TOCEntry"/>
      </w:pPr>
      <w:r>
        <w:rPr>
          <w:rFonts w:ascii="Times New Roman" w:hAnsi="Times New Roman"/>
          <w:color w:val="1F2937"/>
          <w:sz w:val="20"/>
        </w:rPr>
        <w:t>Sec. 601. Relation to the Federal Election Campaign Act of 1971.</w:t>
      </w:r>
    </w:p>
    <w:p>
      <w:pPr>
        <w:pStyle w:val="TOCEntry"/>
      </w:pPr>
      <w:r>
        <w:rPr>
          <w:rFonts w:ascii="Times New Roman" w:hAnsi="Times New Roman"/>
          <w:color w:val="1F2937"/>
          <w:sz w:val="20"/>
        </w:rPr>
        <w:t>Sec. 602. Small-donor public financing option.</w:t>
      </w:r>
    </w:p>
    <w:p>
      <w:pPr>
        <w:pStyle w:val="TOCEntry"/>
      </w:pPr>
      <w:r>
        <w:rPr>
          <w:rFonts w:ascii="Times New Roman" w:hAnsi="Times New Roman"/>
          <w:color w:val="1F2937"/>
          <w:sz w:val="20"/>
        </w:rPr>
        <w:t>Sec. 603. Real-time disclosure.</w:t>
      </w:r>
    </w:p>
    <w:p>
      <w:pPr>
        <w:pStyle w:val="TOCEntry"/>
      </w:pPr>
      <w:r>
        <w:rPr>
          <w:rFonts w:ascii="Times New Roman" w:hAnsi="Times New Roman"/>
          <w:color w:val="1F2937"/>
          <w:sz w:val="20"/>
        </w:rPr>
        <w:t>Sec. 604. True-source and beneficial-ownership disclosure.</w:t>
      </w:r>
    </w:p>
    <w:p>
      <w:pPr>
        <w:pStyle w:val="TOCEntry"/>
      </w:pPr>
      <w:r>
        <w:rPr>
          <w:rFonts w:ascii="Times New Roman" w:hAnsi="Times New Roman"/>
          <w:color w:val="1F2937"/>
          <w:sz w:val="20"/>
        </w:rPr>
        <w:t>Sec. 605. Foreign-influenced political committees and covered entities.</w:t>
      </w:r>
    </w:p>
    <w:p>
      <w:pPr>
        <w:pStyle w:val="TOCEntry"/>
      </w:pPr>
      <w:r>
        <w:rPr>
          <w:rFonts w:ascii="Times New Roman" w:hAnsi="Times New Roman"/>
          <w:color w:val="1F2937"/>
          <w:sz w:val="20"/>
        </w:rPr>
        <w:t>Sec. 606. Suspension, divestiture, dissolution, and wind-down procedures.</w:t>
      </w:r>
    </w:p>
    <w:p>
      <w:pPr>
        <w:pStyle w:val="TOCEntry"/>
      </w:pPr>
      <w:r>
        <w:rPr>
          <w:rFonts w:ascii="Times New Roman" w:hAnsi="Times New Roman"/>
          <w:color w:val="1F2937"/>
          <w:sz w:val="20"/>
        </w:rPr>
        <w:t>Sec. 607. Coordination and common-vendor rules.</w:t>
      </w:r>
    </w:p>
    <w:p>
      <w:pPr>
        <w:pStyle w:val="TOCEntry"/>
      </w:pPr>
      <w:r>
        <w:rPr>
          <w:rFonts w:ascii="Times New Roman" w:hAnsi="Times New Roman"/>
          <w:color w:val="1F2937"/>
          <w:sz w:val="20"/>
        </w:rPr>
        <w:t>Sec. 608. Candidate and officeholder separation from outside groups; leadership PAC reform.</w:t>
      </w:r>
    </w:p>
    <w:p>
      <w:pPr>
        <w:pStyle w:val="TOCEntry"/>
      </w:pPr>
      <w:r>
        <w:rPr>
          <w:rFonts w:ascii="Times New Roman" w:hAnsi="Times New Roman"/>
          <w:color w:val="1F2937"/>
          <w:sz w:val="20"/>
        </w:rPr>
        <w:t>Sec. 609. Bundling, contractor, and foreign-agent transparency.</w:t>
      </w:r>
    </w:p>
    <w:p>
      <w:pPr>
        <w:pStyle w:val="TOCEntry"/>
      </w:pPr>
      <w:r>
        <w:rPr>
          <w:rFonts w:ascii="Times New Roman" w:hAnsi="Times New Roman"/>
          <w:color w:val="1F2937"/>
          <w:sz w:val="20"/>
        </w:rPr>
        <w:t>Sec. 610. Digital ad purchaser verification.</w:t>
      </w:r>
    </w:p>
    <w:p>
      <w:pPr>
        <w:pStyle w:val="TOCEntry"/>
      </w:pPr>
      <w:r>
        <w:rPr>
          <w:rFonts w:ascii="Times New Roman" w:hAnsi="Times New Roman"/>
          <w:color w:val="1F2937"/>
          <w:sz w:val="20"/>
        </w:rPr>
        <w:t>Sec. 611. Enforcement and penalties.</w:t>
      </w:r>
    </w:p>
    <w:p>
      <w:pPr>
        <w:pStyle w:val="TOCEntry"/>
      </w:pPr>
      <w:r>
        <w:rPr>
          <w:rFonts w:ascii="Times New Roman" w:hAnsi="Times New Roman"/>
          <w:color w:val="1F2937"/>
          <w:sz w:val="20"/>
        </w:rPr>
        <w:t>Sec. 612. Federal Election Commission modernization.</w:t>
      </w:r>
    </w:p>
    <w:p>
      <w:pPr>
        <w:pStyle w:val="TitleHeading"/>
      </w:pPr>
      <w:r>
        <w:rPr>
          <w:rFonts w:ascii="Calibri" w:hAnsi="Calibri"/>
          <w:b/>
          <w:color w:val="0B2545"/>
          <w:sz w:val="20"/>
        </w:rPr>
        <w:t>TITLE VII — VOTING RIGHTS ADVANCEMENT AND EQUAL ACCESS</w:t>
      </w:r>
    </w:p>
    <w:p>
      <w:pPr>
        <w:pStyle w:val="TOCEntry"/>
      </w:pPr>
      <w:r>
        <w:rPr>
          <w:rFonts w:ascii="Times New Roman" w:hAnsi="Times New Roman"/>
          <w:color w:val="1F2937"/>
          <w:sz w:val="20"/>
        </w:rPr>
        <w:t>Sec. 701. Modernized preclearance coverage formula.</w:t>
      </w:r>
    </w:p>
    <w:p>
      <w:pPr>
        <w:pStyle w:val="TOCEntry"/>
      </w:pPr>
      <w:r>
        <w:rPr>
          <w:rFonts w:ascii="Times New Roman" w:hAnsi="Times New Roman"/>
          <w:color w:val="1F2937"/>
          <w:sz w:val="20"/>
        </w:rPr>
        <w:t>Sec. 702. Practice-based preclearance for covered changes.</w:t>
      </w:r>
    </w:p>
    <w:p>
      <w:pPr>
        <w:pStyle w:val="TOCEntry"/>
      </w:pPr>
      <w:r>
        <w:rPr>
          <w:rFonts w:ascii="Times New Roman" w:hAnsi="Times New Roman"/>
          <w:color w:val="1F2937"/>
          <w:sz w:val="20"/>
        </w:rPr>
        <w:t>Sec. 703. Nationwide notice of election changes.</w:t>
      </w:r>
    </w:p>
    <w:p>
      <w:pPr>
        <w:pStyle w:val="TOCEntry"/>
      </w:pPr>
      <w:r>
        <w:rPr>
          <w:rFonts w:ascii="Times New Roman" w:hAnsi="Times New Roman"/>
          <w:color w:val="1F2937"/>
          <w:sz w:val="20"/>
        </w:rPr>
        <w:t>Sec. 704. Assistance rights.</w:t>
      </w:r>
    </w:p>
    <w:p>
      <w:pPr>
        <w:pStyle w:val="TOCEntry"/>
      </w:pPr>
      <w:r>
        <w:rPr>
          <w:rFonts w:ascii="Times New Roman" w:hAnsi="Times New Roman"/>
          <w:color w:val="1F2937"/>
          <w:sz w:val="20"/>
        </w:rPr>
        <w:t>Sec. 705. Anti-intimidation and anti-harassment protections.</w:t>
      </w:r>
    </w:p>
    <w:p>
      <w:pPr>
        <w:pStyle w:val="TOCEntry"/>
      </w:pPr>
      <w:r>
        <w:rPr>
          <w:rFonts w:ascii="Times New Roman" w:hAnsi="Times New Roman"/>
          <w:color w:val="1F2937"/>
          <w:sz w:val="20"/>
        </w:rPr>
        <w:t>Sec. 706. Standards for preliminary relief and expedited review.</w:t>
      </w:r>
    </w:p>
    <w:p>
      <w:pPr>
        <w:pStyle w:val="TOCEntry"/>
      </w:pPr>
      <w:r>
        <w:rPr>
          <w:rFonts w:ascii="Times New Roman" w:hAnsi="Times New Roman"/>
          <w:color w:val="1F2937"/>
          <w:sz w:val="20"/>
        </w:rPr>
        <w:t>Sec. 707. Private right of action and attorney’s fees.</w:t>
      </w:r>
    </w:p>
    <w:p>
      <w:pPr>
        <w:pStyle w:val="TOCEntry"/>
      </w:pPr>
      <w:r>
        <w:rPr>
          <w:rFonts w:ascii="Times New Roman" w:hAnsi="Times New Roman"/>
          <w:color w:val="1F2937"/>
          <w:sz w:val="20"/>
        </w:rPr>
        <w:t>Sec. 708. Data collection and public reporting.</w:t>
      </w:r>
    </w:p>
    <w:p>
      <w:pPr>
        <w:pStyle w:val="TitleHeading"/>
      </w:pPr>
      <w:r>
        <w:rPr>
          <w:rFonts w:ascii="Calibri" w:hAnsi="Calibri"/>
          <w:b/>
          <w:color w:val="0B2545"/>
          <w:sz w:val="20"/>
        </w:rPr>
        <w:t>TITLE VIII — ADMINISTRATION, FUNDING, ENFORCEMENT, AND SAFEGUARDS AGAINST PARTISAN ABUSE</w:t>
      </w:r>
    </w:p>
    <w:p>
      <w:pPr>
        <w:pStyle w:val="TOCEntry"/>
      </w:pPr>
      <w:r>
        <w:rPr>
          <w:rFonts w:ascii="Times New Roman" w:hAnsi="Times New Roman"/>
          <w:color w:val="1F2937"/>
          <w:sz w:val="20"/>
        </w:rPr>
        <w:t>Sec. 801. Election Assistance Commission modernization.</w:t>
      </w:r>
    </w:p>
    <w:p>
      <w:pPr>
        <w:pStyle w:val="TOCEntry"/>
      </w:pPr>
      <w:r>
        <w:rPr>
          <w:rFonts w:ascii="Times New Roman" w:hAnsi="Times New Roman"/>
          <w:color w:val="1F2937"/>
          <w:sz w:val="20"/>
        </w:rPr>
        <w:t>Sec. 802. Interagency Election Access and Security Council.</w:t>
      </w:r>
    </w:p>
    <w:p>
      <w:pPr>
        <w:pStyle w:val="TOCEntry"/>
      </w:pPr>
      <w:r>
        <w:rPr>
          <w:rFonts w:ascii="Times New Roman" w:hAnsi="Times New Roman"/>
          <w:color w:val="1F2937"/>
          <w:sz w:val="20"/>
        </w:rPr>
        <w:t>Sec. 803. Formula grants and authorized appropriations.</w:t>
      </w:r>
    </w:p>
    <w:p>
      <w:pPr>
        <w:pStyle w:val="TOCEntry"/>
      </w:pPr>
      <w:r>
        <w:rPr>
          <w:rFonts w:ascii="Times New Roman" w:hAnsi="Times New Roman"/>
          <w:color w:val="1F2937"/>
          <w:sz w:val="20"/>
        </w:rPr>
        <w:t>Sec. 804. Restrictions on use of funds.</w:t>
      </w:r>
    </w:p>
    <w:p>
      <w:pPr>
        <w:pStyle w:val="TOCEntry"/>
      </w:pPr>
      <w:r>
        <w:rPr>
          <w:rFonts w:ascii="Times New Roman" w:hAnsi="Times New Roman"/>
          <w:color w:val="1F2937"/>
          <w:sz w:val="20"/>
        </w:rPr>
        <w:t>Sec. 805. Data privacy, civil rights, and nondiscrimination.</w:t>
      </w:r>
    </w:p>
    <w:p>
      <w:pPr>
        <w:pStyle w:val="TOCEntry"/>
      </w:pPr>
      <w:r>
        <w:rPr>
          <w:rFonts w:ascii="Times New Roman" w:hAnsi="Times New Roman"/>
          <w:color w:val="1F2937"/>
          <w:sz w:val="20"/>
        </w:rPr>
        <w:t>Sec. 806. Whistleblower protections.</w:t>
      </w:r>
    </w:p>
    <w:p>
      <w:pPr>
        <w:pStyle w:val="TOCEntry"/>
      </w:pPr>
      <w:r>
        <w:rPr>
          <w:rFonts w:ascii="Times New Roman" w:hAnsi="Times New Roman"/>
          <w:color w:val="1F2937"/>
          <w:sz w:val="20"/>
        </w:rPr>
        <w:t>Sec. 807. Enforcement.</w:t>
      </w:r>
    </w:p>
    <w:p>
      <w:pPr>
        <w:pStyle w:val="TOCEntry"/>
      </w:pPr>
      <w:r>
        <w:rPr>
          <w:rFonts w:ascii="Times New Roman" w:hAnsi="Times New Roman"/>
          <w:color w:val="1F2937"/>
          <w:sz w:val="20"/>
        </w:rPr>
        <w:t>Sec. 808. Preemption; Federal floor, not ceiling.</w:t>
      </w:r>
    </w:p>
    <w:p>
      <w:pPr>
        <w:pStyle w:val="TOCEntry"/>
      </w:pPr>
      <w:r>
        <w:rPr>
          <w:rFonts w:ascii="Times New Roman" w:hAnsi="Times New Roman"/>
          <w:color w:val="1F2937"/>
          <w:sz w:val="20"/>
        </w:rPr>
        <w:t>Sec. 809. Severability.</w:t>
      </w:r>
    </w:p>
    <w:p>
      <w:pPr>
        <w:pStyle w:val="TOCEntry"/>
      </w:pPr>
      <w:r>
        <w:rPr>
          <w:rFonts w:ascii="Times New Roman" w:hAnsi="Times New Roman"/>
          <w:color w:val="1F2937"/>
          <w:sz w:val="20"/>
        </w:rPr>
        <w:t>Sec. 810. Effective dates.</w:t>
      </w:r>
    </w:p>
    <w:p>
      <w:pPr>
        <w:pStyle w:val="TitleHeading"/>
      </w:pPr>
      <w:r>
        <w:rPr>
          <w:rFonts w:ascii="Calibri" w:hAnsi="Calibri"/>
          <w:b/>
          <w:color w:val="0B2545"/>
          <w:sz w:val="20"/>
        </w:rPr>
        <w:t>TITLE IX — CONDITIONAL IMPLEMENTATION UPON RATIFICATION OF THE AMERICAN DEMOCRATIC RENEWAL AMENDMENT</w:t>
      </w:r>
    </w:p>
    <w:p>
      <w:pPr>
        <w:pStyle w:val="TOCEntry"/>
      </w:pPr>
      <w:r>
        <w:rPr>
          <w:rFonts w:ascii="Times New Roman" w:hAnsi="Times New Roman"/>
          <w:color w:val="1F2937"/>
          <w:sz w:val="20"/>
        </w:rPr>
        <w:t>Sec. 901. Condition precedent.</w:t>
      </w:r>
    </w:p>
    <w:p>
      <w:pPr>
        <w:pStyle w:val="TOCEntry"/>
      </w:pPr>
      <w:r>
        <w:rPr>
          <w:rFonts w:ascii="Times New Roman" w:hAnsi="Times New Roman"/>
          <w:color w:val="1F2937"/>
          <w:sz w:val="20"/>
        </w:rPr>
        <w:t>Sec. 911. Ranked-choice voting for appointment of Presidential electors.</w:t>
      </w:r>
    </w:p>
    <w:p>
      <w:pPr>
        <w:pStyle w:val="TOCEntry"/>
      </w:pPr>
      <w:r>
        <w:rPr>
          <w:rFonts w:ascii="Times New Roman" w:hAnsi="Times New Roman"/>
          <w:color w:val="1F2937"/>
          <w:sz w:val="20"/>
        </w:rPr>
        <w:t>Sec. 912. Ranked-choice voting for State executive, legislative, and judicial elections.</w:t>
      </w:r>
    </w:p>
    <w:p>
      <w:pPr>
        <w:pStyle w:val="TOCEntry"/>
      </w:pPr>
      <w:r>
        <w:rPr>
          <w:rFonts w:ascii="Times New Roman" w:hAnsi="Times New Roman"/>
          <w:color w:val="1F2937"/>
          <w:sz w:val="20"/>
        </w:rPr>
        <w:t>Sec. 913. Ballot-access and certification procedures for age qualifications.</w:t>
      </w:r>
    </w:p>
    <w:p>
      <w:pPr>
        <w:pStyle w:val="TOCEntry"/>
      </w:pPr>
      <w:r>
        <w:rPr>
          <w:rFonts w:ascii="Times New Roman" w:hAnsi="Times New Roman"/>
          <w:color w:val="1F2937"/>
          <w:sz w:val="20"/>
        </w:rPr>
        <w:t>Sec. 914. Judicial and executive transition rules.</w:t>
      </w:r>
    </w:p>
    <w:p>
      <w:pPr>
        <w:pStyle w:val="SectionHeading"/>
      </w:pPr>
      <w:r>
        <w:rPr>
          <w:rFonts w:ascii="Calibri" w:hAnsi="Calibri"/>
          <w:b/>
          <w:color w:val="0B2545"/>
          <w:sz w:val="19"/>
        </w:rPr>
        <w:t>SEC. 3. FINDINGS AND PURPOSES.</w:t>
      </w:r>
    </w:p>
    <w:p>
      <w:pPr>
        <w:pStyle w:val="LegalLevel1"/>
      </w:pPr>
      <w:r>
        <w:rPr>
          <w:rFonts w:ascii="Times New Roman" w:hAnsi="Times New Roman"/>
          <w:color w:val="1F2937"/>
          <w:sz w:val="20"/>
        </w:rPr>
        <w:t>(a) Findings.—Congress finds the following:</w:t>
      </w:r>
    </w:p>
    <w:p>
      <w:pPr>
        <w:pStyle w:val="LegalLevel2"/>
      </w:pPr>
      <w:r>
        <w:rPr>
          <w:rFonts w:ascii="Times New Roman" w:hAnsi="Times New Roman"/>
          <w:color w:val="1F2937"/>
          <w:sz w:val="20"/>
        </w:rPr>
        <w:t>(1) The legitimacy of representative government depends upon the ability of qualified citizens to register, vote, receive truthful information about the voting process, and have lawfully cast ballots counted accurately.</w:t>
      </w:r>
    </w:p>
    <w:p>
      <w:pPr>
        <w:pStyle w:val="LegalLevel2"/>
      </w:pPr>
      <w:r>
        <w:rPr>
          <w:rFonts w:ascii="Times New Roman" w:hAnsi="Times New Roman"/>
          <w:color w:val="1F2937"/>
          <w:sz w:val="20"/>
        </w:rPr>
        <w:t>(2) Elections for Federal office must be accessible, secure, auditable, transparent, neutral, and resistant to fraud, intimidation, cyber intrusion, foreign interference, and deceptive practices.</w:t>
      </w:r>
    </w:p>
    <w:p>
      <w:pPr>
        <w:pStyle w:val="LegalLevel2"/>
      </w:pPr>
      <w:r>
        <w:rPr>
          <w:rFonts w:ascii="Times New Roman" w:hAnsi="Times New Roman"/>
          <w:color w:val="1F2937"/>
          <w:sz w:val="20"/>
        </w:rPr>
        <w:t>(3) Citizenship verification in Federal elections shall be accurate and secure, but shall not be administered through unnecessary documentary burdens when authoritative government records, sworn attestations under penalty of perjury, and prompt cure procedures are available.</w:t>
      </w:r>
    </w:p>
    <w:p>
      <w:pPr>
        <w:pStyle w:val="LegalLevel2"/>
      </w:pPr>
      <w:r>
        <w:rPr>
          <w:rFonts w:ascii="Times New Roman" w:hAnsi="Times New Roman"/>
          <w:color w:val="1F2937"/>
          <w:sz w:val="20"/>
        </w:rPr>
        <w:t>(4) Modern election administration requires paper records, cyber resilience, transparent chain-of-custody rules, timely public notice of changes, disability access, language access, and remedies proportionate to proven risk.</w:t>
      </w:r>
    </w:p>
    <w:p>
      <w:pPr>
        <w:pStyle w:val="LegalLevel2"/>
      </w:pPr>
      <w:r>
        <w:rPr>
          <w:rFonts w:ascii="Times New Roman" w:hAnsi="Times New Roman"/>
          <w:color w:val="1F2937"/>
          <w:sz w:val="20"/>
        </w:rPr>
        <w:t>(5) Voting-rights protections must be enforced under objective, neutral standards that do not advantage or disadvantage any political party, ideology, candidate, or region for partisan gain.</w:t>
      </w:r>
    </w:p>
    <w:p>
      <w:pPr>
        <w:pStyle w:val="LegalLevel1"/>
      </w:pPr>
      <w:r>
        <w:rPr>
          <w:rFonts w:ascii="Times New Roman" w:hAnsi="Times New Roman"/>
          <w:color w:val="1F2937"/>
          <w:sz w:val="20"/>
        </w:rPr>
        <w:t>(b) Purposes.—The purposes of this Act are—</w:t>
      </w:r>
    </w:p>
    <w:p>
      <w:pPr>
        <w:pStyle w:val="LegalLevel2"/>
      </w:pPr>
      <w:r>
        <w:rPr>
          <w:rFonts w:ascii="Times New Roman" w:hAnsi="Times New Roman"/>
          <w:color w:val="1F2937"/>
          <w:sz w:val="20"/>
        </w:rPr>
        <w:t>(1) to establish a national Federal floor for access, integrity, and equal participation in elections for Federal office;</w:t>
      </w:r>
    </w:p>
    <w:p>
      <w:pPr>
        <w:pStyle w:val="LegalLevel2"/>
      </w:pPr>
      <w:r>
        <w:rPr>
          <w:rFonts w:ascii="Times New Roman" w:hAnsi="Times New Roman"/>
          <w:color w:val="1F2937"/>
          <w:sz w:val="20"/>
        </w:rPr>
        <w:t>(2) to modernize voter registration, automatic registration, same-day registration, and citizenship verification without undue burden;</w:t>
      </w:r>
    </w:p>
    <w:p>
      <w:pPr>
        <w:pStyle w:val="LegalLevel2"/>
      </w:pPr>
      <w:r>
        <w:rPr>
          <w:rFonts w:ascii="Times New Roman" w:hAnsi="Times New Roman"/>
          <w:color w:val="1F2937"/>
          <w:sz w:val="20"/>
        </w:rPr>
        <w:t>(3) to guarantee early voting, no-excuse mail voting, ballot tracking, ballot cure, disability access, language access, and meaningful time to vote;</w:t>
      </w:r>
    </w:p>
    <w:p>
      <w:pPr>
        <w:pStyle w:val="LegalLevel2"/>
      </w:pPr>
      <w:r>
        <w:rPr>
          <w:rFonts w:ascii="Times New Roman" w:hAnsi="Times New Roman"/>
          <w:color w:val="1F2937"/>
          <w:sz w:val="20"/>
        </w:rPr>
        <w:t>(4) to prevent deceptive election communications, materially deceptive synthetic media, undisclosed foreign digital influence, and coercive or manipulative voter-suppression tactics;</w:t>
      </w:r>
    </w:p>
    <w:p>
      <w:pPr>
        <w:pStyle w:val="LegalLevel2"/>
      </w:pPr>
      <w:r>
        <w:rPr>
          <w:rFonts w:ascii="Times New Roman" w:hAnsi="Times New Roman"/>
          <w:color w:val="1F2937"/>
          <w:sz w:val="20"/>
        </w:rPr>
        <w:t>(5) to require auditable paper ballots, cyber hygiene, vendor accountability, mandatory incident reporting, and risk-limiting audits;</w:t>
      </w:r>
    </w:p>
    <w:p>
      <w:pPr>
        <w:pStyle w:val="LegalLevel2"/>
      </w:pPr>
      <w:r>
        <w:rPr>
          <w:rFonts w:ascii="Times New Roman" w:hAnsi="Times New Roman"/>
          <w:color w:val="1F2937"/>
          <w:sz w:val="20"/>
        </w:rPr>
        <w:t>(6) to require ranked-choice voting in congressional general and special elections;</w:t>
      </w:r>
    </w:p>
    <w:p>
      <w:pPr>
        <w:pStyle w:val="LegalLevel2"/>
      </w:pPr>
      <w:r>
        <w:rPr>
          <w:rFonts w:ascii="Times New Roman" w:hAnsi="Times New Roman"/>
          <w:color w:val="1F2937"/>
          <w:sz w:val="20"/>
        </w:rPr>
        <w:t>(7) to modernize voting-rights protections, including preclearance for demonstrated contemporary risks; and</w:t>
      </w:r>
    </w:p>
    <w:p>
      <w:pPr>
        <w:pStyle w:val="LegalLevel2"/>
      </w:pPr>
      <w:r>
        <w:rPr>
          <w:rFonts w:ascii="Times New Roman" w:hAnsi="Times New Roman"/>
          <w:color w:val="1F2937"/>
          <w:sz w:val="20"/>
        </w:rPr>
        <w:t>(8) to provide adequate funding, independent administration, and enforceable safeguards against partisan abuse.</w:t>
      </w:r>
    </w:p>
    <w:p>
      <w:pPr>
        <w:pStyle w:val="SectionHeading"/>
      </w:pPr>
      <w:r>
        <w:rPr>
          <w:rFonts w:ascii="Calibri" w:hAnsi="Calibri"/>
          <w:b/>
          <w:color w:val="0B2545"/>
          <w:sz w:val="19"/>
        </w:rPr>
        <w:t>SEC. 4. CONSTITUTIONAL AUTHORITY.</w:t>
      </w:r>
    </w:p>
    <w:p>
      <w:pPr>
        <w:pStyle w:val="LegalBody"/>
      </w:pPr>
      <w:r>
        <w:rPr>
          <w:rFonts w:ascii="Times New Roman" w:hAnsi="Times New Roman"/>
          <w:color w:val="1F2937"/>
          <w:sz w:val="20"/>
        </w:rPr>
        <w:t>This Act is enacted pursuant to the powers granted to Congress by article I, section 4, article I, section 8, and the Necessary and Proper Clause of the Constitution of the United States; the Enforcement Clauses of the Fourteenth, Fifteenth, Nineteenth, Twenty-Fourth, and Twenty-Sixth Amendments; the power to regulate interstate commerce; the spending power; and all other powers vested in Congress to protect the right to vote, to secure elections for Federal office, and to prevent discrimination, intimidation, corruption, and foreign influence in such elections.</w:t>
      </w:r>
    </w:p>
    <w:p>
      <w:pPr>
        <w:pStyle w:val="SectionHeading"/>
      </w:pPr>
      <w:r>
        <w:rPr>
          <w:rFonts w:ascii="Calibri" w:hAnsi="Calibri"/>
          <w:b/>
          <w:color w:val="0B2545"/>
          <w:sz w:val="19"/>
        </w:rPr>
        <w:t>SEC. 5. DEFINITIONS.</w:t>
      </w:r>
    </w:p>
    <w:p>
      <w:pPr>
        <w:pStyle w:val="LegalBody"/>
      </w:pPr>
      <w:r>
        <w:rPr>
          <w:rFonts w:ascii="Times New Roman" w:hAnsi="Times New Roman"/>
          <w:color w:val="1F2937"/>
          <w:sz w:val="20"/>
        </w:rPr>
        <w:t>In this Act:</w:t>
      </w:r>
    </w:p>
    <w:p>
      <w:pPr>
        <w:pStyle w:val="LegalLevel2"/>
      </w:pPr>
      <w:r>
        <w:rPr>
          <w:rFonts w:ascii="Times New Roman" w:hAnsi="Times New Roman"/>
          <w:color w:val="1F2937"/>
          <w:sz w:val="20"/>
        </w:rPr>
        <w:t>(1) Authoritative government record means a record maintained by a Federal, State, Tribal, territorial, or local governmental entity that is ordinarily relied upon to establish identity, residence, citizenship, age, death, or eligibility.</w:t>
      </w:r>
    </w:p>
    <w:p>
      <w:pPr>
        <w:pStyle w:val="LegalLevel2"/>
      </w:pPr>
      <w:r>
        <w:rPr>
          <w:rFonts w:ascii="Times New Roman" w:hAnsi="Times New Roman"/>
          <w:color w:val="1F2937"/>
          <w:sz w:val="20"/>
        </w:rPr>
        <w:t>(2) Appropriate State election official means the chief State election official designated under section 10 of the Help America Vote Act of 2002, or another State or local official designated by State law to perform the relevant function.</w:t>
      </w:r>
    </w:p>
    <w:p>
      <w:pPr>
        <w:pStyle w:val="LegalLevel2"/>
      </w:pPr>
      <w:r>
        <w:rPr>
          <w:rFonts w:ascii="Times New Roman" w:hAnsi="Times New Roman"/>
          <w:color w:val="1F2937"/>
          <w:sz w:val="20"/>
        </w:rPr>
        <w:t>(3) Covered digital platform means an internet website, application, social network, search engine, ad exchange, video-sharing service, streaming platform, or comparable digital service that, during the preceding 12 months, had not fewer than 25,000,000 unique monthly users in the United States and sells, places, or displays paid public communications relating to elections.</w:t>
      </w:r>
    </w:p>
    <w:p>
      <w:pPr>
        <w:pStyle w:val="LegalLevel2"/>
      </w:pPr>
      <w:r>
        <w:rPr>
          <w:rFonts w:ascii="Times New Roman" w:hAnsi="Times New Roman"/>
          <w:color w:val="1F2937"/>
          <w:sz w:val="20"/>
        </w:rPr>
        <w:t>(4) Covered public election communication means a public communication disseminated by broadcast, cable, satellite, radio, print, mail, text, robocall, internet platform, or other mass-distribution channel for a fee and relating to a candidate for Federal office, voting procedures, voter registration, ballot return, ballot cure, polling locations, vote counting, certification, or the administration of an election for Federal office.</w:t>
      </w:r>
    </w:p>
    <w:p>
      <w:pPr>
        <w:pStyle w:val="LegalLevel2"/>
      </w:pPr>
      <w:r>
        <w:rPr>
          <w:rFonts w:ascii="Times New Roman" w:hAnsi="Times New Roman"/>
          <w:color w:val="1F2937"/>
          <w:sz w:val="20"/>
        </w:rPr>
        <w:t>(5) Election for Federal office means any primary, runoff, general, or special election for President, Vice President, Presidential electors, Senator, Representative in, Delegate to, or Resident Commissioner to the Congress, except that title V applies only as expressly provided.</w:t>
      </w:r>
    </w:p>
    <w:p>
      <w:pPr>
        <w:pStyle w:val="LegalLevel2"/>
      </w:pPr>
      <w:r>
        <w:rPr>
          <w:rFonts w:ascii="Times New Roman" w:hAnsi="Times New Roman"/>
          <w:color w:val="1F2937"/>
          <w:sz w:val="20"/>
        </w:rPr>
        <w:t>(6) Election worker means any election administrator, poll worker, election judge, canvasser, ballot-board member, tabulator, observer lawfully present, contractor, or volunteer performing duties in connection with an election.</w:t>
      </w:r>
    </w:p>
    <w:p>
      <w:pPr>
        <w:pStyle w:val="LegalLevel2"/>
      </w:pPr>
      <w:r>
        <w:rPr>
          <w:rFonts w:ascii="Times New Roman" w:hAnsi="Times New Roman"/>
          <w:color w:val="1F2937"/>
          <w:sz w:val="20"/>
        </w:rPr>
        <w:t>(7) Federal Citizenship Verification Interface means the secure interagency verification interface established by section 109.</w:t>
      </w:r>
    </w:p>
    <w:p>
      <w:pPr>
        <w:pStyle w:val="LegalLevel2"/>
      </w:pPr>
      <w:r>
        <w:rPr>
          <w:rFonts w:ascii="Times New Roman" w:hAnsi="Times New Roman"/>
          <w:color w:val="1F2937"/>
          <w:sz w:val="20"/>
        </w:rPr>
        <w:t>(8) Mail ballot means any absentee, vote-by-mail, or mailed ballot issued to a voter.</w:t>
      </w:r>
    </w:p>
    <w:p>
      <w:pPr>
        <w:pStyle w:val="LegalLevel2"/>
      </w:pPr>
      <w:r>
        <w:rPr>
          <w:rFonts w:ascii="Times New Roman" w:hAnsi="Times New Roman"/>
          <w:color w:val="1F2937"/>
          <w:sz w:val="20"/>
        </w:rPr>
        <w:t>(9) Ranked-choice voting means a voting method in which voters may rank candidates in order of preference and votes are tabulated in rounds under title V or title IX.</w:t>
      </w:r>
    </w:p>
    <w:p>
      <w:pPr>
        <w:pStyle w:val="LegalLevel2"/>
      </w:pPr>
      <w:r>
        <w:rPr>
          <w:rFonts w:ascii="Times New Roman" w:hAnsi="Times New Roman"/>
          <w:color w:val="1F2937"/>
          <w:sz w:val="20"/>
        </w:rPr>
        <w:t>(10) Secure drop box means a ballot-receipt receptacle meeting the security standards of section 203.</w:t>
      </w:r>
    </w:p>
    <w:p>
      <w:pPr>
        <w:pStyle w:val="LegalLevel2"/>
      </w:pPr>
      <w:r>
        <w:rPr>
          <w:rFonts w:ascii="Times New Roman" w:hAnsi="Times New Roman"/>
          <w:color w:val="1F2937"/>
          <w:sz w:val="20"/>
        </w:rPr>
        <w:t>(11) State includes the District of Columbia, Puerto Rico, Guam, the Virgin Islands, American Samoa, and the Commonwealth of the Northern Mariana Islands to the extent such jurisdiction conducts a covered election.</w:t>
      </w:r>
    </w:p>
    <w:p>
      <w:pPr>
        <w:pStyle w:val="LegalLevel2"/>
      </w:pPr>
      <w:r>
        <w:rPr>
          <w:rFonts w:ascii="Times New Roman" w:hAnsi="Times New Roman"/>
          <w:color w:val="1F2937"/>
          <w:sz w:val="20"/>
        </w:rPr>
        <w:t>(12) Synthetic media means audio, image, video, or multimedia content generated or materially altered by artificial intelligence, machine learning, or similar means so as to depict a real or apparently real person, event, or statement in a manner that would cause a reasonable person to believe the content to be authentic.</w:t>
      </w:r>
    </w:p>
    <w:p>
      <w:pPr>
        <w:pStyle w:val="LegalLevel2"/>
      </w:pPr>
      <w:r>
        <w:rPr>
          <w:rFonts w:ascii="Times New Roman" w:hAnsi="Times New Roman"/>
          <w:color w:val="1F2937"/>
          <w:sz w:val="20"/>
        </w:rPr>
        <w:t>(13) Unitary voter registration system means a single voter-registration record used by a State for Federal and non-Federal elections.</w:t>
      </w:r>
    </w:p>
    <w:p>
      <w:pPr>
        <w:pStyle w:val="LegalLevel2"/>
      </w:pPr>
      <w:r>
        <w:rPr>
          <w:rFonts w:ascii="Times New Roman" w:hAnsi="Times New Roman"/>
          <w:color w:val="1F2937"/>
          <w:sz w:val="20"/>
        </w:rPr>
        <w:t>(14) Voter-verifiable paper record means a durable paper ballot or paper record that the voter can inspect before casting and that constitutes the official ballot of record for recounts and audits.</w:t>
      </w:r>
    </w:p>
    <w:p>
      <w:pPr>
        <w:pStyle w:val="TitleHeading"/>
      </w:pPr>
      <w:r>
        <w:rPr>
          <w:rFonts w:ascii="Calibri" w:hAnsi="Calibri"/>
          <w:b/>
          <w:color w:val="0B2545"/>
          <w:sz w:val="20"/>
        </w:rPr>
        <w:t>TITLE I — NATIONAL VOTING DAY, REGISTRATION, AND CITIZENSHIP MODERNIZATION</w:t>
      </w:r>
    </w:p>
    <w:p>
      <w:pPr>
        <w:pStyle w:val="SectionHeading"/>
      </w:pPr>
      <w:r>
        <w:rPr>
          <w:rFonts w:ascii="Calibri" w:hAnsi="Calibri"/>
          <w:b/>
          <w:color w:val="0B2545"/>
          <w:sz w:val="19"/>
        </w:rPr>
        <w:t>SEC. 101. ELECTION DAY AS LEGAL PUBLIC HOLIDAY.</w:t>
      </w:r>
    </w:p>
    <w:p>
      <w:pPr>
        <w:pStyle w:val="LegalLevel1"/>
      </w:pPr>
      <w:r>
        <w:rPr>
          <w:rFonts w:ascii="Times New Roman" w:hAnsi="Times New Roman"/>
          <w:color w:val="1F2937"/>
          <w:sz w:val="20"/>
        </w:rPr>
        <w:t>(a) In General.—Section 6103(a) of title 5, United States Code, is amended by inserting after “Columbus Day, the second Monday in October;” the following: “Election Day, the Tuesday next after the first Monday in November in each even-numbered year;”.</w:t>
      </w:r>
    </w:p>
    <w:p>
      <w:pPr>
        <w:pStyle w:val="LegalLevel1"/>
      </w:pPr>
      <w:r>
        <w:rPr>
          <w:rFonts w:ascii="Times New Roman" w:hAnsi="Times New Roman"/>
          <w:color w:val="1F2937"/>
          <w:sz w:val="20"/>
        </w:rPr>
        <w:t>(b) Construction.—Nothing in this section shall be construed to preclude a State or employer from providing broader paid leave or a broader holiday observance.</w:t>
      </w:r>
    </w:p>
    <w:p>
      <w:pPr>
        <w:pStyle w:val="SectionHeading"/>
      </w:pPr>
      <w:r>
        <w:rPr>
          <w:rFonts w:ascii="Calibri" w:hAnsi="Calibri"/>
          <w:b/>
          <w:color w:val="0B2545"/>
          <w:sz w:val="19"/>
        </w:rPr>
        <w:t>SEC. 102. PAID VOTING LEAVE FOR PRIVATE-SECTOR EMPLOYEES.</w:t>
      </w:r>
    </w:p>
    <w:p>
      <w:pPr>
        <w:pStyle w:val="LegalLevel1"/>
      </w:pPr>
      <w:r>
        <w:rPr>
          <w:rFonts w:ascii="Times New Roman" w:hAnsi="Times New Roman"/>
          <w:color w:val="1F2937"/>
          <w:sz w:val="20"/>
        </w:rPr>
        <w:t>(a) Each employer subject to the Fair Labor Standards Act of 1938 shall provide each employee, with respect to each Election Day designated under section 101, either—</w:t>
      </w:r>
    </w:p>
    <w:p>
      <w:pPr>
        <w:pStyle w:val="LegalLevel2"/>
      </w:pPr>
      <w:r>
        <w:rPr>
          <w:rFonts w:ascii="Times New Roman" w:hAnsi="Times New Roman"/>
          <w:color w:val="1F2937"/>
          <w:sz w:val="20"/>
        </w:rPr>
        <w:t>(1) the entire Election Day as paid leave; or</w:t>
      </w:r>
    </w:p>
    <w:p>
      <w:pPr>
        <w:pStyle w:val="LegalLevel2"/>
      </w:pPr>
      <w:r>
        <w:rPr>
          <w:rFonts w:ascii="Times New Roman" w:hAnsi="Times New Roman"/>
          <w:color w:val="1F2937"/>
          <w:sz w:val="20"/>
        </w:rPr>
        <w:t>(2) at the election of the employee, not fewer than 4 consecutive hours of paid leave during the time polls are open on Election Day or during the early-voting period established under section 201.</w:t>
      </w:r>
    </w:p>
    <w:p>
      <w:pPr>
        <w:pStyle w:val="LegalLevel1"/>
      </w:pPr>
      <w:r>
        <w:rPr>
          <w:rFonts w:ascii="Times New Roman" w:hAnsi="Times New Roman"/>
          <w:color w:val="1F2937"/>
          <w:sz w:val="20"/>
        </w:rPr>
        <w:t>(b) An employer may not require the use of vacation, sick leave, personal leave, or unpaid leave to satisfy subsection (a).</w:t>
      </w:r>
    </w:p>
    <w:p>
      <w:pPr>
        <w:pStyle w:val="LegalLevel1"/>
      </w:pPr>
      <w:r>
        <w:rPr>
          <w:rFonts w:ascii="Times New Roman" w:hAnsi="Times New Roman"/>
          <w:color w:val="1F2937"/>
          <w:sz w:val="20"/>
        </w:rPr>
        <w:t>(c) An employee may elect whether to use leave under subsection (a) on Election Day or during the early-voting period, except that an employer engaged in essential operations under section 103 may designate a reasonable alternative time that does not materially burden the employee’s ability to vote.</w:t>
      </w:r>
    </w:p>
    <w:p>
      <w:pPr>
        <w:pStyle w:val="LegalLevel1"/>
      </w:pPr>
      <w:r>
        <w:rPr>
          <w:rFonts w:ascii="Times New Roman" w:hAnsi="Times New Roman"/>
          <w:color w:val="1F2937"/>
          <w:sz w:val="20"/>
        </w:rPr>
        <w:t>(d) An employer may require reasonable advance notice, not to exceed 7 calendar days, unless the need for leave could not reasonably have been foreseen.</w:t>
      </w:r>
    </w:p>
    <w:p>
      <w:pPr>
        <w:pStyle w:val="LegalLevel1"/>
      </w:pPr>
      <w:r>
        <w:rPr>
          <w:rFonts w:ascii="Times New Roman" w:hAnsi="Times New Roman"/>
          <w:color w:val="1F2937"/>
          <w:sz w:val="20"/>
        </w:rPr>
        <w:t>(e) An employer may not discharge, discipline, intimidate, threaten, reduce hours, change shifts punitively, or otherwise retaliate against an employee for requesting or using leave under this section.</w:t>
      </w:r>
    </w:p>
    <w:p>
      <w:pPr>
        <w:pStyle w:val="LegalLevel1"/>
      </w:pPr>
      <w:r>
        <w:rPr>
          <w:rFonts w:ascii="Times New Roman" w:hAnsi="Times New Roman"/>
          <w:color w:val="1F2937"/>
          <w:sz w:val="20"/>
        </w:rPr>
        <w:t>(f) The Secretary of Labor shall enforce this section in the same manner as sections 6, 7, 15, 16, and 17 of the Fair Labor Standards Act of 1938.</w:t>
      </w:r>
    </w:p>
    <w:p>
      <w:pPr>
        <w:pStyle w:val="SectionHeading"/>
      </w:pPr>
      <w:r>
        <w:rPr>
          <w:rFonts w:ascii="Calibri" w:hAnsi="Calibri"/>
          <w:b/>
          <w:color w:val="0B2545"/>
          <w:sz w:val="19"/>
        </w:rPr>
        <w:t>SEC. 103. ESSENTIAL OPERATIONS; FEDERAL CONTRACTOR COMPLIANCE.</w:t>
      </w:r>
    </w:p>
    <w:p>
      <w:pPr>
        <w:pStyle w:val="LegalLevel1"/>
      </w:pPr>
      <w:r>
        <w:rPr>
          <w:rFonts w:ascii="Times New Roman" w:hAnsi="Times New Roman"/>
          <w:color w:val="1F2937"/>
          <w:sz w:val="20"/>
        </w:rPr>
        <w:t>(a) Not later than 180 days after enactment, the Secretary of Labor shall define essential operations for purposes of section 102 and shall require that employees in such operations receive a meaningful and non-burdensome opportunity for paid voting leave.</w:t>
      </w:r>
    </w:p>
    <w:p>
      <w:pPr>
        <w:pStyle w:val="LegalLevel1"/>
      </w:pPr>
      <w:r>
        <w:rPr>
          <w:rFonts w:ascii="Times New Roman" w:hAnsi="Times New Roman"/>
          <w:color w:val="1F2937"/>
          <w:sz w:val="20"/>
        </w:rPr>
        <w:t>(b) Every contract entered into by an executive agency after the effective date of this title shall require the contractor to comply with section 102.</w:t>
      </w:r>
    </w:p>
    <w:p>
      <w:pPr>
        <w:pStyle w:val="LegalLevel1"/>
      </w:pPr>
      <w:r>
        <w:rPr>
          <w:rFonts w:ascii="Times New Roman" w:hAnsi="Times New Roman"/>
          <w:color w:val="1F2937"/>
          <w:sz w:val="20"/>
        </w:rPr>
        <w:t>(c) Nothing in this title shall be construed to limit rights under a collective bargaining agreement or State law that provide equal or greater leave.</w:t>
      </w:r>
    </w:p>
    <w:p>
      <w:pPr>
        <w:pStyle w:val="SectionHeading"/>
      </w:pPr>
      <w:r>
        <w:rPr>
          <w:rFonts w:ascii="Calibri" w:hAnsi="Calibri"/>
          <w:b/>
          <w:color w:val="0B2545"/>
          <w:sz w:val="19"/>
        </w:rPr>
        <w:t>SEC. 104. AUTOMATIC VOTER REGISTRATION.</w:t>
      </w:r>
    </w:p>
    <w:p>
      <w:pPr>
        <w:pStyle w:val="LegalLevel1"/>
      </w:pPr>
      <w:r>
        <w:rPr>
          <w:rFonts w:ascii="Times New Roman" w:hAnsi="Times New Roman"/>
          <w:color w:val="1F2937"/>
          <w:sz w:val="20"/>
        </w:rPr>
        <w:t>(a) Not later than 18 months after enactment, each State shall establish an automatic voter registration system for elections for Federal office under which each eligible individual interacting with a motor vehicle authority or designated voter registration agency shall be registered to vote or have registration updated unless the individual affirmatively declines.</w:t>
      </w:r>
    </w:p>
    <w:p>
      <w:pPr>
        <w:pStyle w:val="LegalLevel1"/>
      </w:pPr>
      <w:r>
        <w:rPr>
          <w:rFonts w:ascii="Times New Roman" w:hAnsi="Times New Roman"/>
          <w:color w:val="1F2937"/>
          <w:sz w:val="20"/>
        </w:rPr>
        <w:t>(b) Designated voter registration agencies shall include—</w:t>
      </w:r>
    </w:p>
    <w:p>
      <w:pPr>
        <w:pStyle w:val="LegalLevel2"/>
      </w:pPr>
      <w:r>
        <w:rPr>
          <w:rFonts w:ascii="Times New Roman" w:hAnsi="Times New Roman"/>
          <w:color w:val="1F2937"/>
          <w:sz w:val="20"/>
        </w:rPr>
        <w:t>(1) motor vehicle authorities;</w:t>
      </w:r>
    </w:p>
    <w:p>
      <w:pPr>
        <w:pStyle w:val="LegalLevel2"/>
      </w:pPr>
      <w:r>
        <w:rPr>
          <w:rFonts w:ascii="Times New Roman" w:hAnsi="Times New Roman"/>
          <w:color w:val="1F2937"/>
          <w:sz w:val="20"/>
        </w:rPr>
        <w:t>(2) public assistance agencies;</w:t>
      </w:r>
    </w:p>
    <w:p>
      <w:pPr>
        <w:pStyle w:val="LegalLevel2"/>
      </w:pPr>
      <w:r>
        <w:rPr>
          <w:rFonts w:ascii="Times New Roman" w:hAnsi="Times New Roman"/>
          <w:color w:val="1F2937"/>
          <w:sz w:val="20"/>
        </w:rPr>
        <w:t>(3) agencies administering disability services, Medicaid, or unemployment compensation;</w:t>
      </w:r>
    </w:p>
    <w:p>
      <w:pPr>
        <w:pStyle w:val="LegalLevel2"/>
      </w:pPr>
      <w:r>
        <w:rPr>
          <w:rFonts w:ascii="Times New Roman" w:hAnsi="Times New Roman"/>
          <w:color w:val="1F2937"/>
          <w:sz w:val="20"/>
        </w:rPr>
        <w:t>(4) State institutions of higher education that enroll students in person;</w:t>
      </w:r>
    </w:p>
    <w:p>
      <w:pPr>
        <w:pStyle w:val="LegalLevel2"/>
      </w:pPr>
      <w:r>
        <w:rPr>
          <w:rFonts w:ascii="Times New Roman" w:hAnsi="Times New Roman"/>
          <w:color w:val="1F2937"/>
          <w:sz w:val="20"/>
        </w:rPr>
        <w:t>(5) State veterans’ service offices; and</w:t>
      </w:r>
    </w:p>
    <w:p>
      <w:pPr>
        <w:pStyle w:val="LegalLevel2"/>
      </w:pPr>
      <w:r>
        <w:rPr>
          <w:rFonts w:ascii="Times New Roman" w:hAnsi="Times New Roman"/>
          <w:color w:val="1F2937"/>
          <w:sz w:val="20"/>
        </w:rPr>
        <w:t>(6) naturalization ceremonies and offices participating under section 108.</w:t>
      </w:r>
    </w:p>
    <w:p>
      <w:pPr>
        <w:pStyle w:val="LegalLevel1"/>
      </w:pPr>
      <w:r>
        <w:rPr>
          <w:rFonts w:ascii="Times New Roman" w:hAnsi="Times New Roman"/>
          <w:color w:val="1F2937"/>
          <w:sz w:val="20"/>
        </w:rPr>
        <w:t>(c) A State may designate additional agencies.</w:t>
      </w:r>
    </w:p>
    <w:p>
      <w:pPr>
        <w:pStyle w:val="LegalLevel1"/>
      </w:pPr>
      <w:r>
        <w:rPr>
          <w:rFonts w:ascii="Times New Roman" w:hAnsi="Times New Roman"/>
          <w:color w:val="1F2937"/>
          <w:sz w:val="20"/>
        </w:rPr>
        <w:t>(d) Automatic voter registration shall—</w:t>
      </w:r>
    </w:p>
    <w:p>
      <w:pPr>
        <w:pStyle w:val="LegalLevel2"/>
      </w:pPr>
      <w:r>
        <w:rPr>
          <w:rFonts w:ascii="Times New Roman" w:hAnsi="Times New Roman"/>
          <w:color w:val="1F2937"/>
          <w:sz w:val="20"/>
        </w:rPr>
        <w:t>(1) operate on an opt-out basis;</w:t>
      </w:r>
    </w:p>
    <w:p>
      <w:pPr>
        <w:pStyle w:val="LegalLevel2"/>
      </w:pPr>
      <w:r>
        <w:rPr>
          <w:rFonts w:ascii="Times New Roman" w:hAnsi="Times New Roman"/>
          <w:color w:val="1F2937"/>
          <w:sz w:val="20"/>
        </w:rPr>
        <w:t>(2) be offered in accessible formats and in the languages required by title II and title VII;</w:t>
      </w:r>
    </w:p>
    <w:p>
      <w:pPr>
        <w:pStyle w:val="LegalLevel2"/>
      </w:pPr>
      <w:r>
        <w:rPr>
          <w:rFonts w:ascii="Times New Roman" w:hAnsi="Times New Roman"/>
          <w:color w:val="1F2937"/>
          <w:sz w:val="20"/>
        </w:rPr>
        <w:t>(3) transmit data securely and promptly to the appropriate State election official;</w:t>
      </w:r>
    </w:p>
    <w:p>
      <w:pPr>
        <w:pStyle w:val="LegalLevel2"/>
      </w:pPr>
      <w:r>
        <w:rPr>
          <w:rFonts w:ascii="Times New Roman" w:hAnsi="Times New Roman"/>
          <w:color w:val="1F2937"/>
          <w:sz w:val="20"/>
        </w:rPr>
        <w:t>(4) not register a person as affiliated with a political party unless the person affirmatively elects such affiliation; and</w:t>
      </w:r>
    </w:p>
    <w:p>
      <w:pPr>
        <w:pStyle w:val="LegalLevel2"/>
      </w:pPr>
      <w:r>
        <w:rPr>
          <w:rFonts w:ascii="Times New Roman" w:hAnsi="Times New Roman"/>
          <w:color w:val="1F2937"/>
          <w:sz w:val="20"/>
        </w:rPr>
        <w:t>(5) provide a receipt confirming registration, update, or declination.</w:t>
      </w:r>
    </w:p>
    <w:p>
      <w:pPr>
        <w:pStyle w:val="LegalLevel1"/>
      </w:pPr>
      <w:r>
        <w:rPr>
          <w:rFonts w:ascii="Times New Roman" w:hAnsi="Times New Roman"/>
          <w:color w:val="1F2937"/>
          <w:sz w:val="20"/>
        </w:rPr>
        <w:t>(e) Where citizenship or other eligibility cannot be conclusively verified at the point of agency transaction, the State shall create a pending Federal registration record and complete verification through section 109 or through the procedures under section 110 without imposing a documentary burden not required by this Act.</w:t>
      </w:r>
    </w:p>
    <w:p>
      <w:pPr>
        <w:pStyle w:val="SectionHeading"/>
      </w:pPr>
      <w:r>
        <w:rPr>
          <w:rFonts w:ascii="Calibri" w:hAnsi="Calibri"/>
          <w:b/>
          <w:color w:val="0B2545"/>
          <w:sz w:val="19"/>
        </w:rPr>
        <w:t>SEC. 105. ONLINE VOTER REGISTRATION.</w:t>
      </w:r>
    </w:p>
    <w:p>
      <w:pPr>
        <w:pStyle w:val="LegalLevel1"/>
      </w:pPr>
      <w:r>
        <w:rPr>
          <w:rFonts w:ascii="Times New Roman" w:hAnsi="Times New Roman"/>
          <w:color w:val="1F2937"/>
          <w:sz w:val="20"/>
        </w:rPr>
        <w:t>(a) Each State shall maintain a secure public online voter registration and voter-update portal for elections for Federal office.</w:t>
      </w:r>
    </w:p>
    <w:p>
      <w:pPr>
        <w:pStyle w:val="LegalLevel1"/>
      </w:pPr>
      <w:r>
        <w:rPr>
          <w:rFonts w:ascii="Times New Roman" w:hAnsi="Times New Roman"/>
          <w:color w:val="1F2937"/>
          <w:sz w:val="20"/>
        </w:rPr>
        <w:t>(b) Such portal shall permit an eligible applicant to—</w:t>
      </w:r>
    </w:p>
    <w:p>
      <w:pPr>
        <w:pStyle w:val="LegalLevel2"/>
      </w:pPr>
      <w:r>
        <w:rPr>
          <w:rFonts w:ascii="Times New Roman" w:hAnsi="Times New Roman"/>
          <w:color w:val="1F2937"/>
          <w:sz w:val="20"/>
        </w:rPr>
        <w:t>(1) register to vote;</w:t>
      </w:r>
    </w:p>
    <w:p>
      <w:pPr>
        <w:pStyle w:val="LegalLevel2"/>
      </w:pPr>
      <w:r>
        <w:rPr>
          <w:rFonts w:ascii="Times New Roman" w:hAnsi="Times New Roman"/>
          <w:color w:val="1F2937"/>
          <w:sz w:val="20"/>
        </w:rPr>
        <w:t>(2) update name, address, email, telephone number, party affiliation where relevant, language preference, and accessibility needs; and</w:t>
      </w:r>
    </w:p>
    <w:p>
      <w:pPr>
        <w:pStyle w:val="LegalLevel2"/>
      </w:pPr>
      <w:r>
        <w:rPr>
          <w:rFonts w:ascii="Times New Roman" w:hAnsi="Times New Roman"/>
          <w:color w:val="1F2937"/>
          <w:sz w:val="20"/>
        </w:rPr>
        <w:t>(3) track the status of the application.</w:t>
      </w:r>
    </w:p>
    <w:p>
      <w:pPr>
        <w:pStyle w:val="LegalLevel1"/>
      </w:pPr>
      <w:r>
        <w:rPr>
          <w:rFonts w:ascii="Times New Roman" w:hAnsi="Times New Roman"/>
          <w:color w:val="1F2937"/>
          <w:sz w:val="20"/>
        </w:rPr>
        <w:t>(c) Online registration shall accept electronic signatures from motor vehicle records, other authoritative government records, or an electronic signature executed under penalty of perjury.</w:t>
      </w:r>
    </w:p>
    <w:p>
      <w:pPr>
        <w:pStyle w:val="LegalLevel1"/>
      </w:pPr>
      <w:r>
        <w:rPr>
          <w:rFonts w:ascii="Times New Roman" w:hAnsi="Times New Roman"/>
          <w:color w:val="1F2937"/>
          <w:sz w:val="20"/>
        </w:rPr>
        <w:t>(d) No State shall reject an online registration solely because an applicant lacks a State motor vehicle record if the applicant otherwise provides sufficient information for verification.</w:t>
      </w:r>
    </w:p>
    <w:p>
      <w:pPr>
        <w:pStyle w:val="SectionHeading"/>
      </w:pPr>
      <w:r>
        <w:rPr>
          <w:rFonts w:ascii="Calibri" w:hAnsi="Calibri"/>
          <w:b/>
          <w:color w:val="0B2545"/>
          <w:sz w:val="19"/>
        </w:rPr>
        <w:t>SEC. 106. SAME-DAY REGISTRATION AND CORRECTION.</w:t>
      </w:r>
    </w:p>
    <w:p>
      <w:pPr>
        <w:pStyle w:val="LegalLevel1"/>
      </w:pPr>
      <w:r>
        <w:rPr>
          <w:rFonts w:ascii="Times New Roman" w:hAnsi="Times New Roman"/>
          <w:color w:val="1F2937"/>
          <w:sz w:val="20"/>
        </w:rPr>
        <w:t>(a) Each State shall permit any eligible individual to register to vote or correct an existing voter record on Election Day and throughout the early-voting period for elections for Federal office.</w:t>
      </w:r>
    </w:p>
    <w:p>
      <w:pPr>
        <w:pStyle w:val="LegalLevel1"/>
      </w:pPr>
      <w:r>
        <w:rPr>
          <w:rFonts w:ascii="Times New Roman" w:hAnsi="Times New Roman"/>
          <w:color w:val="1F2937"/>
          <w:sz w:val="20"/>
        </w:rPr>
        <w:t>(b) A voter who registers or corrects a record under this section shall be permitted to cast a regular ballot if eligibility can be verified through authoritative records or sworn attestation under penalty of perjury. If immediate verification is not available, the voter shall be permitted to cast a provisional ballot subject to the cure procedures of sections 110 and 205.</w:t>
      </w:r>
    </w:p>
    <w:p>
      <w:pPr>
        <w:pStyle w:val="LegalLevel1"/>
      </w:pPr>
      <w:r>
        <w:rPr>
          <w:rFonts w:ascii="Times New Roman" w:hAnsi="Times New Roman"/>
          <w:color w:val="1F2937"/>
          <w:sz w:val="20"/>
        </w:rPr>
        <w:t>(c) A voter who appears at the wrong precinct within the correct county or unit of election administration shall be permitted to update the voter’s address and cast a ballot counting for all Federal races for which the voter is eligible.</w:t>
      </w:r>
    </w:p>
    <w:p>
      <w:pPr>
        <w:pStyle w:val="SectionHeading"/>
      </w:pPr>
      <w:r>
        <w:rPr>
          <w:rFonts w:ascii="Calibri" w:hAnsi="Calibri"/>
          <w:b/>
          <w:color w:val="0B2545"/>
          <w:sz w:val="19"/>
        </w:rPr>
        <w:t>SEC. 107. PORTABLE REGISTRATION AND INTERSTATE UPDATES.</w:t>
      </w:r>
    </w:p>
    <w:p>
      <w:pPr>
        <w:pStyle w:val="LegalLevel1"/>
      </w:pPr>
      <w:r>
        <w:rPr>
          <w:rFonts w:ascii="Times New Roman" w:hAnsi="Times New Roman"/>
          <w:color w:val="1F2937"/>
          <w:sz w:val="20"/>
        </w:rPr>
        <w:t>(a) Each State shall treat a change of address submitted to a motor vehicle authority or designated registration agency as an update to the voter’s Federal registration unless the individual declines.</w:t>
      </w:r>
    </w:p>
    <w:p>
      <w:pPr>
        <w:pStyle w:val="LegalLevel1"/>
      </w:pPr>
      <w:r>
        <w:rPr>
          <w:rFonts w:ascii="Times New Roman" w:hAnsi="Times New Roman"/>
          <w:color w:val="1F2937"/>
          <w:sz w:val="20"/>
        </w:rPr>
        <w:t>(b) The Election Assistance Commission shall establish a secure interstate voter update exchange for the limited purposes of—</w:t>
      </w:r>
    </w:p>
    <w:p>
      <w:pPr>
        <w:pStyle w:val="LegalLevel2"/>
      </w:pPr>
      <w:r>
        <w:rPr>
          <w:rFonts w:ascii="Times New Roman" w:hAnsi="Times New Roman"/>
          <w:color w:val="1F2937"/>
          <w:sz w:val="20"/>
        </w:rPr>
        <w:t>(1) updating addresses;</w:t>
      </w:r>
    </w:p>
    <w:p>
      <w:pPr>
        <w:pStyle w:val="LegalLevel2"/>
      </w:pPr>
      <w:r>
        <w:rPr>
          <w:rFonts w:ascii="Times New Roman" w:hAnsi="Times New Roman"/>
          <w:color w:val="1F2937"/>
          <w:sz w:val="20"/>
        </w:rPr>
        <w:t>(2) identifying duplicate active registrations;</w:t>
      </w:r>
    </w:p>
    <w:p>
      <w:pPr>
        <w:pStyle w:val="LegalLevel2"/>
      </w:pPr>
      <w:r>
        <w:rPr>
          <w:rFonts w:ascii="Times New Roman" w:hAnsi="Times New Roman"/>
          <w:color w:val="1F2937"/>
          <w:sz w:val="20"/>
        </w:rPr>
        <w:t>(3) identifying reliable death information; and</w:t>
      </w:r>
    </w:p>
    <w:p>
      <w:pPr>
        <w:pStyle w:val="LegalLevel2"/>
      </w:pPr>
      <w:r>
        <w:rPr>
          <w:rFonts w:ascii="Times New Roman" w:hAnsi="Times New Roman"/>
          <w:color w:val="1F2937"/>
          <w:sz w:val="20"/>
        </w:rPr>
        <w:t>(4) improving list accuracy in a uniform and nondiscriminatory manner.</w:t>
      </w:r>
    </w:p>
    <w:p>
      <w:pPr>
        <w:pStyle w:val="LegalLevel1"/>
      </w:pPr>
      <w:r>
        <w:rPr>
          <w:rFonts w:ascii="Times New Roman" w:hAnsi="Times New Roman"/>
          <w:color w:val="1F2937"/>
          <w:sz w:val="20"/>
        </w:rPr>
        <w:t>(c) No person shall be removed from the rolls solely because of an interstate match unless the match is supported by multiple reliable data points and the notice-and-cure procedures of section 111 are satisfied.</w:t>
      </w:r>
    </w:p>
    <w:p>
      <w:pPr>
        <w:pStyle w:val="SectionHeading"/>
      </w:pPr>
      <w:r>
        <w:rPr>
          <w:rFonts w:ascii="Calibri" w:hAnsi="Calibri"/>
          <w:b/>
          <w:color w:val="0B2545"/>
          <w:sz w:val="19"/>
        </w:rPr>
        <w:t>SEC. 108. VOTER REGISTRATION AT NATURALIZATION CEREMONIES.</w:t>
      </w:r>
    </w:p>
    <w:p>
      <w:pPr>
        <w:pStyle w:val="LegalLevel1"/>
      </w:pPr>
      <w:r>
        <w:rPr>
          <w:rFonts w:ascii="Times New Roman" w:hAnsi="Times New Roman"/>
          <w:color w:val="1F2937"/>
          <w:sz w:val="20"/>
        </w:rPr>
        <w:t>(a) At each administrative or judicial naturalization ceremony conducted within the United States, USCIS and any participating State election official shall provide an opportunity for newly naturalized citizens to register to vote for elections for Federal office.</w:t>
      </w:r>
    </w:p>
    <w:p>
      <w:pPr>
        <w:pStyle w:val="LegalLevel1"/>
      </w:pPr>
      <w:r>
        <w:rPr>
          <w:rFonts w:ascii="Times New Roman" w:hAnsi="Times New Roman"/>
          <w:color w:val="1F2937"/>
          <w:sz w:val="20"/>
        </w:rPr>
        <w:t>(b) Except where the new citizen declines, USCIS shall transmit to the appropriate State election official, within 24 hours after administration of the oath of allegiance, the individual’s name, address, date of birth, digital signature where available, and confirmation of naturalization.</w:t>
      </w:r>
    </w:p>
    <w:p>
      <w:pPr>
        <w:pStyle w:val="LegalLevel1"/>
      </w:pPr>
      <w:r>
        <w:rPr>
          <w:rFonts w:ascii="Times New Roman" w:hAnsi="Times New Roman"/>
          <w:color w:val="1F2937"/>
          <w:sz w:val="20"/>
        </w:rPr>
        <w:t>(c) Registration under this section shall take effect upon receipt by the State, subject only to ordinary residence-based assignment and any other eligibility requirement applicable under Federal law.</w:t>
      </w:r>
    </w:p>
    <w:p>
      <w:pPr>
        <w:pStyle w:val="LegalLevel1"/>
      </w:pPr>
      <w:r>
        <w:rPr>
          <w:rFonts w:ascii="Times New Roman" w:hAnsi="Times New Roman"/>
          <w:color w:val="1F2937"/>
          <w:sz w:val="20"/>
        </w:rPr>
        <w:t>(d) No fee may be charged for registration under this section.</w:t>
      </w:r>
    </w:p>
    <w:p>
      <w:pPr>
        <w:pStyle w:val="SectionHeading"/>
      </w:pPr>
      <w:r>
        <w:rPr>
          <w:rFonts w:ascii="Calibri" w:hAnsi="Calibri"/>
          <w:b/>
          <w:color w:val="0B2545"/>
          <w:sz w:val="19"/>
        </w:rPr>
        <w:t>SEC. 109. FEDERAL CITIZENSHIP VERIFICATION INTERFACE.</w:t>
      </w:r>
    </w:p>
    <w:p>
      <w:pPr>
        <w:pStyle w:val="LegalLevel1"/>
      </w:pPr>
      <w:r>
        <w:rPr>
          <w:rFonts w:ascii="Times New Roman" w:hAnsi="Times New Roman"/>
          <w:color w:val="1F2937"/>
          <w:sz w:val="20"/>
        </w:rPr>
        <w:t>(a) The Secretary of Homeland Security, acting through USCIS, in coordination with the Commissioner of Social Security, the Secretary of State, and the Election Assistance Commission, shall establish a secure Federal Citizenship Verification Interface to permit States to verify, for elections for Federal office, whether an applicant is—</w:t>
      </w:r>
    </w:p>
    <w:p>
      <w:pPr>
        <w:pStyle w:val="LegalLevel2"/>
      </w:pPr>
      <w:r>
        <w:rPr>
          <w:rFonts w:ascii="Times New Roman" w:hAnsi="Times New Roman"/>
          <w:color w:val="1F2937"/>
          <w:sz w:val="20"/>
        </w:rPr>
        <w:t>(1) a citizen by birth;</w:t>
      </w:r>
    </w:p>
    <w:p>
      <w:pPr>
        <w:pStyle w:val="LegalLevel2"/>
      </w:pPr>
      <w:r>
        <w:rPr>
          <w:rFonts w:ascii="Times New Roman" w:hAnsi="Times New Roman"/>
          <w:color w:val="1F2937"/>
          <w:sz w:val="20"/>
        </w:rPr>
        <w:t>(2) a naturalized citizen;</w:t>
      </w:r>
    </w:p>
    <w:p>
      <w:pPr>
        <w:pStyle w:val="LegalLevel2"/>
      </w:pPr>
      <w:r>
        <w:rPr>
          <w:rFonts w:ascii="Times New Roman" w:hAnsi="Times New Roman"/>
          <w:color w:val="1F2937"/>
          <w:sz w:val="20"/>
        </w:rPr>
        <w:t>(3) a citizen by acquisition or derivation; or</w:t>
      </w:r>
    </w:p>
    <w:p>
      <w:pPr>
        <w:pStyle w:val="LegalLevel2"/>
      </w:pPr>
      <w:r>
        <w:rPr>
          <w:rFonts w:ascii="Times New Roman" w:hAnsi="Times New Roman"/>
          <w:color w:val="1F2937"/>
          <w:sz w:val="20"/>
        </w:rPr>
        <w:t>(4) not verifiable on the basis of presently available authoritative records.</w:t>
      </w:r>
    </w:p>
    <w:p>
      <w:pPr>
        <w:pStyle w:val="LegalLevel1"/>
      </w:pPr>
      <w:r>
        <w:rPr>
          <w:rFonts w:ascii="Times New Roman" w:hAnsi="Times New Roman"/>
          <w:color w:val="1F2937"/>
          <w:sz w:val="20"/>
        </w:rPr>
        <w:t>(b) The Interface shall, to the maximum extent practicable, allow verification through existing authoritative datasets, including naturalization records, passport records, vital records available through participating jurisdictions, and other government records lawfully available for citizenship verification.</w:t>
      </w:r>
    </w:p>
    <w:p>
      <w:pPr>
        <w:pStyle w:val="LegalLevel1"/>
      </w:pPr>
      <w:r>
        <w:rPr>
          <w:rFonts w:ascii="Times New Roman" w:hAnsi="Times New Roman"/>
          <w:color w:val="1F2937"/>
          <w:sz w:val="20"/>
        </w:rPr>
        <w:t>(c) Queries under this section shall be limited to voter registration, list maintenance, provisional-ballot resolution, election-administration auditing, or investigations authorized by court order relating to election crimes.</w:t>
      </w:r>
    </w:p>
    <w:p>
      <w:pPr>
        <w:pStyle w:val="LegalLevel1"/>
      </w:pPr>
      <w:r>
        <w:rPr>
          <w:rFonts w:ascii="Times New Roman" w:hAnsi="Times New Roman"/>
          <w:color w:val="1F2937"/>
          <w:sz w:val="20"/>
        </w:rPr>
        <w:t>(d) Information obtained through this section may not be disclosed or used for civil immigration enforcement unrelated to election administration or election crimes.</w:t>
      </w:r>
    </w:p>
    <w:p>
      <w:pPr>
        <w:pStyle w:val="LegalLevel1"/>
      </w:pPr>
      <w:r>
        <w:rPr>
          <w:rFonts w:ascii="Times New Roman" w:hAnsi="Times New Roman"/>
          <w:color w:val="1F2937"/>
          <w:sz w:val="20"/>
        </w:rPr>
        <w:t>(e) States shall receive technical assistance and reimbursement for reasonable implementation costs.</w:t>
      </w:r>
    </w:p>
    <w:p>
      <w:pPr>
        <w:pStyle w:val="SectionHeading"/>
      </w:pPr>
      <w:r>
        <w:rPr>
          <w:rFonts w:ascii="Calibri" w:hAnsi="Calibri"/>
          <w:b/>
          <w:color w:val="0B2545"/>
          <w:sz w:val="19"/>
        </w:rPr>
        <w:t>SEC. 110. NON-BURDENSOME PROOF OF CITIZENSHIP FOR FEDERAL ELECTIONS.</w:t>
      </w:r>
    </w:p>
    <w:p>
      <w:pPr>
        <w:pStyle w:val="LegalLevel1"/>
      </w:pPr>
      <w:r>
        <w:rPr>
          <w:rFonts w:ascii="Times New Roman" w:hAnsi="Times New Roman"/>
          <w:color w:val="1F2937"/>
          <w:sz w:val="20"/>
        </w:rPr>
        <w:t>(a) No State shall require documentary proof of citizenship as a condition of registration or voting in an election for Federal office where citizenship can be verified through section 109 or other authoritative government records.</w:t>
      </w:r>
    </w:p>
    <w:p>
      <w:pPr>
        <w:pStyle w:val="LegalLevel1"/>
      </w:pPr>
      <w:r>
        <w:rPr>
          <w:rFonts w:ascii="Times New Roman" w:hAnsi="Times New Roman"/>
          <w:color w:val="1F2937"/>
          <w:sz w:val="20"/>
        </w:rPr>
        <w:t>(b) Where such verification is unavailable or inconclusive, a State shall accept any of the following, singly or in combination, as sufficient evidence of citizenship:</w:t>
      </w:r>
    </w:p>
    <w:p>
      <w:pPr>
        <w:pStyle w:val="LegalLevel2"/>
      </w:pPr>
      <w:r>
        <w:rPr>
          <w:rFonts w:ascii="Times New Roman" w:hAnsi="Times New Roman"/>
          <w:color w:val="1F2937"/>
          <w:sz w:val="20"/>
        </w:rPr>
        <w:t>(1) a United States passport;</w:t>
      </w:r>
    </w:p>
    <w:p>
      <w:pPr>
        <w:pStyle w:val="LegalLevel2"/>
      </w:pPr>
      <w:r>
        <w:rPr>
          <w:rFonts w:ascii="Times New Roman" w:hAnsi="Times New Roman"/>
          <w:color w:val="1F2937"/>
          <w:sz w:val="20"/>
        </w:rPr>
        <w:t>(2) a State-certified birth certificate;</w:t>
      </w:r>
    </w:p>
    <w:p>
      <w:pPr>
        <w:pStyle w:val="LegalLevel2"/>
      </w:pPr>
      <w:r>
        <w:rPr>
          <w:rFonts w:ascii="Times New Roman" w:hAnsi="Times New Roman"/>
          <w:color w:val="1F2937"/>
          <w:sz w:val="20"/>
        </w:rPr>
        <w:t>(3) a certificate of naturalization or certificate of citizenship;</w:t>
      </w:r>
    </w:p>
    <w:p>
      <w:pPr>
        <w:pStyle w:val="LegalLevel2"/>
      </w:pPr>
      <w:r>
        <w:rPr>
          <w:rFonts w:ascii="Times New Roman" w:hAnsi="Times New Roman"/>
          <w:color w:val="1F2937"/>
          <w:sz w:val="20"/>
        </w:rPr>
        <w:t>(4) documentation of birth abroad establishing acquisition or derivation of citizenship;</w:t>
      </w:r>
    </w:p>
    <w:p>
      <w:pPr>
        <w:pStyle w:val="LegalLevel2"/>
      </w:pPr>
      <w:r>
        <w:rPr>
          <w:rFonts w:ascii="Times New Roman" w:hAnsi="Times New Roman"/>
          <w:color w:val="1F2937"/>
          <w:sz w:val="20"/>
        </w:rPr>
        <w:t>(5) a Tribal citizenship or membership document recognized by Federal law; or</w:t>
      </w:r>
    </w:p>
    <w:p>
      <w:pPr>
        <w:pStyle w:val="LegalLevel2"/>
      </w:pPr>
      <w:r>
        <w:rPr>
          <w:rFonts w:ascii="Times New Roman" w:hAnsi="Times New Roman"/>
          <w:color w:val="1F2937"/>
          <w:sz w:val="20"/>
        </w:rPr>
        <w:t>(6) a sworn attestation, executed under penalty of perjury, together with any corroborating information reasonably available to the applicant.</w:t>
      </w:r>
    </w:p>
    <w:p>
      <w:pPr>
        <w:pStyle w:val="LegalLevel1"/>
      </w:pPr>
      <w:r>
        <w:rPr>
          <w:rFonts w:ascii="Times New Roman" w:hAnsi="Times New Roman"/>
          <w:color w:val="1F2937"/>
          <w:sz w:val="20"/>
        </w:rPr>
        <w:t>(c) No person shall be denied registration or a regular ballot solely because of a database mismatch, missing hyphen, clerical error, or incomplete government record without—</w:t>
      </w:r>
    </w:p>
    <w:p>
      <w:pPr>
        <w:pStyle w:val="LegalLevel2"/>
      </w:pPr>
      <w:r>
        <w:rPr>
          <w:rFonts w:ascii="Times New Roman" w:hAnsi="Times New Roman"/>
          <w:color w:val="1F2937"/>
          <w:sz w:val="20"/>
        </w:rPr>
        <w:t>(1) prompt written and electronic notice where available;</w:t>
      </w:r>
    </w:p>
    <w:p>
      <w:pPr>
        <w:pStyle w:val="LegalLevel2"/>
      </w:pPr>
      <w:r>
        <w:rPr>
          <w:rFonts w:ascii="Times New Roman" w:hAnsi="Times New Roman"/>
          <w:color w:val="1F2937"/>
          <w:sz w:val="20"/>
        </w:rPr>
        <w:t>(2) an explanation of the reason for the discrepancy;</w:t>
      </w:r>
    </w:p>
    <w:p>
      <w:pPr>
        <w:pStyle w:val="LegalLevel2"/>
      </w:pPr>
      <w:r>
        <w:rPr>
          <w:rFonts w:ascii="Times New Roman" w:hAnsi="Times New Roman"/>
          <w:color w:val="1F2937"/>
          <w:sz w:val="20"/>
        </w:rPr>
        <w:t>(3) a meaningful opportunity to cure the discrepancy; and</w:t>
      </w:r>
    </w:p>
    <w:p>
      <w:pPr>
        <w:pStyle w:val="LegalLevel2"/>
      </w:pPr>
      <w:r>
        <w:rPr>
          <w:rFonts w:ascii="Times New Roman" w:hAnsi="Times New Roman"/>
          <w:color w:val="1F2937"/>
          <w:sz w:val="20"/>
        </w:rPr>
        <w:t>(4) human review by a trained election official.</w:t>
      </w:r>
    </w:p>
    <w:p>
      <w:pPr>
        <w:pStyle w:val="LegalLevel1"/>
      </w:pPr>
      <w:r>
        <w:rPr>
          <w:rFonts w:ascii="Times New Roman" w:hAnsi="Times New Roman"/>
          <w:color w:val="1F2937"/>
          <w:sz w:val="20"/>
        </w:rPr>
        <w:t>(d) A voter whose citizenship cannot be fully verified before the close of polls shall be permitted to cast a provisional ballot, which shall be counted if the voter cures the issue not later than the tenth day after the election.</w:t>
      </w:r>
    </w:p>
    <w:p>
      <w:pPr>
        <w:pStyle w:val="LegalLevel1"/>
      </w:pPr>
      <w:r>
        <w:rPr>
          <w:rFonts w:ascii="Times New Roman" w:hAnsi="Times New Roman"/>
          <w:color w:val="1F2937"/>
          <w:sz w:val="20"/>
        </w:rPr>
        <w:t>(e) A knowing false attestation under this section shall be punishable under applicable Federal and State law.</w:t>
      </w:r>
    </w:p>
    <w:p>
      <w:pPr>
        <w:pStyle w:val="LegalLevel1"/>
      </w:pPr>
      <w:r>
        <w:rPr>
          <w:rFonts w:ascii="Times New Roman" w:hAnsi="Times New Roman"/>
          <w:color w:val="1F2937"/>
          <w:sz w:val="20"/>
        </w:rPr>
        <w:t>(f) No fee shall be imposed on an applicant to cure or prove citizenship for purposes of this Act.</w:t>
      </w:r>
    </w:p>
    <w:p>
      <w:pPr>
        <w:pStyle w:val="SectionHeading"/>
      </w:pPr>
      <w:r>
        <w:rPr>
          <w:rFonts w:ascii="Calibri" w:hAnsi="Calibri"/>
          <w:b/>
          <w:color w:val="0B2545"/>
          <w:sz w:val="19"/>
        </w:rPr>
        <w:t>SEC. 111. LIST MAINTENANCE, QUIET PERIOD, AND ANTI-PURGE PROTECTIONS.</w:t>
      </w:r>
    </w:p>
    <w:p>
      <w:pPr>
        <w:pStyle w:val="LegalLevel1"/>
      </w:pPr>
      <w:r>
        <w:rPr>
          <w:rFonts w:ascii="Times New Roman" w:hAnsi="Times New Roman"/>
          <w:color w:val="1F2937"/>
          <w:sz w:val="20"/>
        </w:rPr>
        <w:t>(a) Any program of voter list maintenance used in connection with elections for Federal office shall be uniform, nondiscriminatory, transparent, and based on reliable evidence.</w:t>
      </w:r>
    </w:p>
    <w:p>
      <w:pPr>
        <w:pStyle w:val="LegalLevel1"/>
      </w:pPr>
      <w:r>
        <w:rPr>
          <w:rFonts w:ascii="Times New Roman" w:hAnsi="Times New Roman"/>
          <w:color w:val="1F2937"/>
          <w:sz w:val="20"/>
        </w:rPr>
        <w:t>(b) No State shall conduct a systematic removal program during the 90-day period before an election for Federal office, except removals—</w:t>
      </w:r>
    </w:p>
    <w:p>
      <w:pPr>
        <w:pStyle w:val="LegalLevel2"/>
      </w:pPr>
      <w:r>
        <w:rPr>
          <w:rFonts w:ascii="Times New Roman" w:hAnsi="Times New Roman"/>
          <w:color w:val="1F2937"/>
          <w:sz w:val="20"/>
        </w:rPr>
        <w:t>(1) at the voter’s written request;</w:t>
      </w:r>
    </w:p>
    <w:p>
      <w:pPr>
        <w:pStyle w:val="LegalLevel2"/>
      </w:pPr>
      <w:r>
        <w:rPr>
          <w:rFonts w:ascii="Times New Roman" w:hAnsi="Times New Roman"/>
          <w:color w:val="1F2937"/>
          <w:sz w:val="20"/>
        </w:rPr>
        <w:t>(2) based on reliable death records;</w:t>
      </w:r>
    </w:p>
    <w:p>
      <w:pPr>
        <w:pStyle w:val="LegalLevel2"/>
      </w:pPr>
      <w:r>
        <w:rPr>
          <w:rFonts w:ascii="Times New Roman" w:hAnsi="Times New Roman"/>
          <w:color w:val="1F2937"/>
          <w:sz w:val="20"/>
        </w:rPr>
        <w:t>(3) based on a final adjudication of ineligibility;</w:t>
      </w:r>
    </w:p>
    <w:p>
      <w:pPr>
        <w:pStyle w:val="LegalLevel2"/>
      </w:pPr>
      <w:r>
        <w:rPr>
          <w:rFonts w:ascii="Times New Roman" w:hAnsi="Times New Roman"/>
          <w:color w:val="1F2937"/>
          <w:sz w:val="20"/>
        </w:rPr>
        <w:t>(4) because the voter has registered in another State and the match is supported by multiple reliable data points; or</w:t>
      </w:r>
    </w:p>
    <w:p>
      <w:pPr>
        <w:pStyle w:val="LegalLevel2"/>
      </w:pPr>
      <w:r>
        <w:rPr>
          <w:rFonts w:ascii="Times New Roman" w:hAnsi="Times New Roman"/>
          <w:color w:val="1F2937"/>
          <w:sz w:val="20"/>
        </w:rPr>
        <w:t>(5) because the voter has moved out of jurisdiction and has confirmed the move in writing.</w:t>
      </w:r>
    </w:p>
    <w:p>
      <w:pPr>
        <w:pStyle w:val="LegalLevel1"/>
      </w:pPr>
      <w:r>
        <w:rPr>
          <w:rFonts w:ascii="Times New Roman" w:hAnsi="Times New Roman"/>
          <w:color w:val="1F2937"/>
          <w:sz w:val="20"/>
        </w:rPr>
        <w:t>(c) No voter shall be removed solely for failure to vote.</w:t>
      </w:r>
    </w:p>
    <w:p>
      <w:pPr>
        <w:pStyle w:val="LegalLevel1"/>
      </w:pPr>
      <w:r>
        <w:rPr>
          <w:rFonts w:ascii="Times New Roman" w:hAnsi="Times New Roman"/>
          <w:color w:val="1F2937"/>
          <w:sz w:val="20"/>
        </w:rPr>
        <w:t>(d) Before any removal based on change of residence, citizenship dispute, or duplicate registration, the State shall provide notice and a meaningful opportunity to contest or cure.</w:t>
      </w:r>
    </w:p>
    <w:p>
      <w:pPr>
        <w:pStyle w:val="LegalLevel1"/>
      </w:pPr>
      <w:r>
        <w:rPr>
          <w:rFonts w:ascii="Times New Roman" w:hAnsi="Times New Roman"/>
          <w:color w:val="1F2937"/>
          <w:sz w:val="20"/>
        </w:rPr>
        <w:t>(e) Each State shall publish, on a quarterly basis, aggregate data concerning removals, pending removals, and the reasons therefor.</w:t>
      </w:r>
    </w:p>
    <w:p>
      <w:pPr>
        <w:pStyle w:val="SectionHeading"/>
      </w:pPr>
      <w:r>
        <w:rPr>
          <w:rFonts w:ascii="Calibri" w:hAnsi="Calibri"/>
          <w:b/>
          <w:color w:val="0B2545"/>
          <w:sz w:val="19"/>
        </w:rPr>
        <w:t>SEC. 112. PREREGISTRATION OF 16- AND 17-YEAR-OLDS.</w:t>
      </w:r>
    </w:p>
    <w:p>
      <w:pPr>
        <w:pStyle w:val="LegalBody"/>
      </w:pPr>
      <w:r>
        <w:rPr>
          <w:rFonts w:ascii="Times New Roman" w:hAnsi="Times New Roman"/>
          <w:color w:val="1F2937"/>
          <w:sz w:val="20"/>
        </w:rPr>
        <w:t>Each State shall permit an individual who is at least 16 years of age and otherwise qualified upon attaining the age of 18 to preregister for elections for Federal office. Such preregistration shall automatically convert to active status upon the individual attaining 18 years of age if the individual remains otherwise eligible.</w:t>
      </w:r>
    </w:p>
    <w:p>
      <w:pPr>
        <w:pStyle w:val="SectionHeading"/>
      </w:pPr>
      <w:r>
        <w:rPr>
          <w:rFonts w:ascii="Calibri" w:hAnsi="Calibri"/>
          <w:b/>
          <w:color w:val="0B2545"/>
          <w:sz w:val="19"/>
        </w:rPr>
        <w:t>SEC. 113. PRIVACY AND DATA MINIMIZATION.</w:t>
      </w:r>
    </w:p>
    <w:p>
      <w:pPr>
        <w:pStyle w:val="LegalLevel1"/>
      </w:pPr>
      <w:r>
        <w:rPr>
          <w:rFonts w:ascii="Times New Roman" w:hAnsi="Times New Roman"/>
          <w:color w:val="1F2937"/>
          <w:sz w:val="20"/>
        </w:rPr>
        <w:t>(a) Personal information collected pursuant to this title shall be limited to information reasonably necessary to determine eligibility, assign precincts, provide ballot access, protect election integrity, and communicate with voters.</w:t>
      </w:r>
    </w:p>
    <w:p>
      <w:pPr>
        <w:pStyle w:val="LegalLevel1"/>
      </w:pPr>
      <w:r>
        <w:rPr>
          <w:rFonts w:ascii="Times New Roman" w:hAnsi="Times New Roman"/>
          <w:color w:val="1F2937"/>
          <w:sz w:val="20"/>
        </w:rPr>
        <w:t>(b) No information collected under this title may be sold, licensed, transferred for commercial marketing, or used to build unrelated consumer profiles.</w:t>
      </w:r>
    </w:p>
    <w:p>
      <w:pPr>
        <w:pStyle w:val="LegalLevel1"/>
      </w:pPr>
      <w:r>
        <w:rPr>
          <w:rFonts w:ascii="Times New Roman" w:hAnsi="Times New Roman"/>
          <w:color w:val="1F2937"/>
          <w:sz w:val="20"/>
        </w:rPr>
        <w:t>(c) Citizenship verification data shall be retained only as long as reasonably necessary for election administration, audit, or authorized investigation.</w:t>
      </w:r>
    </w:p>
    <w:p>
      <w:pPr>
        <w:pStyle w:val="LegalLevel1"/>
      </w:pPr>
      <w:r>
        <w:rPr>
          <w:rFonts w:ascii="Times New Roman" w:hAnsi="Times New Roman"/>
          <w:color w:val="1F2937"/>
          <w:sz w:val="20"/>
        </w:rPr>
        <w:t>(d) Each State and Federal agency handling data under this title shall implement reasonable administrative, technical, and physical safeguards, including access controls, logging, and encryption.</w:t>
      </w:r>
    </w:p>
    <w:p>
      <w:pPr>
        <w:pStyle w:val="TitleHeading"/>
      </w:pPr>
      <w:r>
        <w:rPr>
          <w:rFonts w:ascii="Calibri" w:hAnsi="Calibri"/>
          <w:b/>
          <w:color w:val="0B2545"/>
          <w:sz w:val="20"/>
        </w:rPr>
        <w:t>TITLE II — BALLOT ACCESS, METHODS, AND EQUAL PARTICIPATION</w:t>
      </w:r>
    </w:p>
    <w:p>
      <w:pPr>
        <w:pStyle w:val="SectionHeading"/>
      </w:pPr>
      <w:r>
        <w:rPr>
          <w:rFonts w:ascii="Calibri" w:hAnsi="Calibri"/>
          <w:b/>
          <w:color w:val="0B2545"/>
          <w:sz w:val="19"/>
        </w:rPr>
        <w:t>SEC. 201. EARLY VOTING.</w:t>
      </w:r>
    </w:p>
    <w:p>
      <w:pPr>
        <w:pStyle w:val="LegalLevel1"/>
      </w:pPr>
      <w:r>
        <w:rPr>
          <w:rFonts w:ascii="Times New Roman" w:hAnsi="Times New Roman"/>
          <w:color w:val="1F2937"/>
          <w:sz w:val="20"/>
        </w:rPr>
        <w:t>(a) Each State shall provide in-person early voting for elections for Federal office during a period of not fewer than 14 consecutive days ending on the day immediately preceding Election Day.</w:t>
      </w:r>
    </w:p>
    <w:p>
      <w:pPr>
        <w:pStyle w:val="LegalLevel1"/>
      </w:pPr>
      <w:r>
        <w:rPr>
          <w:rFonts w:ascii="Times New Roman" w:hAnsi="Times New Roman"/>
          <w:color w:val="1F2937"/>
          <w:sz w:val="20"/>
        </w:rPr>
        <w:t>(b) The early-voting period shall include at least 2 Saturdays and 2 Sundays.</w:t>
      </w:r>
    </w:p>
    <w:p>
      <w:pPr>
        <w:pStyle w:val="LegalLevel1"/>
      </w:pPr>
      <w:r>
        <w:rPr>
          <w:rFonts w:ascii="Times New Roman" w:hAnsi="Times New Roman"/>
          <w:color w:val="1F2937"/>
          <w:sz w:val="20"/>
        </w:rPr>
        <w:t>(c) Each early-voting site shall be open—</w:t>
      </w:r>
    </w:p>
    <w:p>
      <w:pPr>
        <w:pStyle w:val="LegalLevel2"/>
      </w:pPr>
      <w:r>
        <w:rPr>
          <w:rFonts w:ascii="Times New Roman" w:hAnsi="Times New Roman"/>
          <w:color w:val="1F2937"/>
          <w:sz w:val="20"/>
        </w:rPr>
        <w:t>(1) not fewer than 10 hours on each weekday; and</w:t>
      </w:r>
    </w:p>
    <w:p>
      <w:pPr>
        <w:pStyle w:val="LegalLevel2"/>
      </w:pPr>
      <w:r>
        <w:rPr>
          <w:rFonts w:ascii="Times New Roman" w:hAnsi="Times New Roman"/>
          <w:color w:val="1F2937"/>
          <w:sz w:val="20"/>
        </w:rPr>
        <w:t>(2) not fewer than 8 hours on each Saturday or Sunday.</w:t>
      </w:r>
    </w:p>
    <w:p>
      <w:pPr>
        <w:pStyle w:val="LegalLevel1"/>
      </w:pPr>
      <w:r>
        <w:rPr>
          <w:rFonts w:ascii="Times New Roman" w:hAnsi="Times New Roman"/>
          <w:color w:val="1F2937"/>
          <w:sz w:val="20"/>
        </w:rPr>
        <w:t>(d) Early-voting sites shall be located and distributed so as to provide equitable access, including for urban, suburban, rural, Tribal, campus, and disability communities.</w:t>
      </w:r>
    </w:p>
    <w:p>
      <w:pPr>
        <w:pStyle w:val="LegalLevel1"/>
      </w:pPr>
      <w:r>
        <w:rPr>
          <w:rFonts w:ascii="Times New Roman" w:hAnsi="Times New Roman"/>
          <w:color w:val="1F2937"/>
          <w:sz w:val="20"/>
        </w:rPr>
        <w:t>(e) States may provide greater access than the minimum required by this section.</w:t>
      </w:r>
    </w:p>
    <w:p>
      <w:pPr>
        <w:pStyle w:val="SectionHeading"/>
      </w:pPr>
      <w:r>
        <w:rPr>
          <w:rFonts w:ascii="Calibri" w:hAnsi="Calibri"/>
          <w:b/>
          <w:color w:val="0B2545"/>
          <w:sz w:val="19"/>
        </w:rPr>
        <w:t>SEC. 202. NO-EXCUSE MAIL VOTING.</w:t>
      </w:r>
    </w:p>
    <w:p>
      <w:pPr>
        <w:pStyle w:val="LegalLevel1"/>
      </w:pPr>
      <w:r>
        <w:rPr>
          <w:rFonts w:ascii="Times New Roman" w:hAnsi="Times New Roman"/>
          <w:color w:val="1F2937"/>
          <w:sz w:val="20"/>
        </w:rPr>
        <w:t>(a) Each State shall permit any eligible voter in an election for Federal office to request and cast a mail ballot without excuse.</w:t>
      </w:r>
    </w:p>
    <w:p>
      <w:pPr>
        <w:pStyle w:val="LegalLevel1"/>
      </w:pPr>
      <w:r>
        <w:rPr>
          <w:rFonts w:ascii="Times New Roman" w:hAnsi="Times New Roman"/>
          <w:color w:val="1F2937"/>
          <w:sz w:val="20"/>
        </w:rPr>
        <w:t>(b) Each State shall also offer a permanent absentee or vote-by-mail list for voters who opt into recurring mail-ballot delivery for Federal elections.</w:t>
      </w:r>
    </w:p>
    <w:p>
      <w:pPr>
        <w:pStyle w:val="LegalLevel1"/>
      </w:pPr>
      <w:r>
        <w:rPr>
          <w:rFonts w:ascii="Times New Roman" w:hAnsi="Times New Roman"/>
          <w:color w:val="1F2937"/>
          <w:sz w:val="20"/>
        </w:rPr>
        <w:t>(c) Mail-ballot applications shall be available online, by mail, in person, and in accessible formats.</w:t>
      </w:r>
    </w:p>
    <w:p>
      <w:pPr>
        <w:pStyle w:val="LegalLevel1"/>
      </w:pPr>
      <w:r>
        <w:rPr>
          <w:rFonts w:ascii="Times New Roman" w:hAnsi="Times New Roman"/>
          <w:color w:val="1F2937"/>
          <w:sz w:val="20"/>
        </w:rPr>
        <w:t>(d) Except in special elections held on shorter timelines, States shall begin transmitting mail ballots not later than 31 days before Election Day for domestic voters and consistent with applicable Federal law for absent uniformed services and overseas voters.</w:t>
      </w:r>
    </w:p>
    <w:p>
      <w:pPr>
        <w:pStyle w:val="SectionHeading"/>
      </w:pPr>
      <w:r>
        <w:rPr>
          <w:rFonts w:ascii="Calibri" w:hAnsi="Calibri"/>
          <w:b/>
          <w:color w:val="0B2545"/>
          <w:sz w:val="19"/>
        </w:rPr>
        <w:t>SEC. 203. BALLOT TRACKING, PREPAID POSTAGE, SECURE DROP BOXES, AND BALLOT-RETURN ASSISTANCE.</w:t>
      </w:r>
    </w:p>
    <w:p>
      <w:pPr>
        <w:pStyle w:val="LegalLevel1"/>
      </w:pPr>
      <w:r>
        <w:rPr>
          <w:rFonts w:ascii="Times New Roman" w:hAnsi="Times New Roman"/>
          <w:color w:val="1F2937"/>
          <w:sz w:val="20"/>
        </w:rPr>
        <w:t>(a) Each State shall provide prepaid postage for return of each mail ballot in an election for Federal office.</w:t>
      </w:r>
    </w:p>
    <w:p>
      <w:pPr>
        <w:pStyle w:val="LegalLevel1"/>
      </w:pPr>
      <w:r>
        <w:rPr>
          <w:rFonts w:ascii="Times New Roman" w:hAnsi="Times New Roman"/>
          <w:color w:val="1F2937"/>
          <w:sz w:val="20"/>
        </w:rPr>
        <w:t>(b) Each State shall provide a ballot-tracking system enabling the voter to determine when the ballot was mailed, received, accepted, or rejected and the reason for any rejection.</w:t>
      </w:r>
    </w:p>
    <w:p>
      <w:pPr>
        <w:pStyle w:val="LegalLevel1"/>
      </w:pPr>
      <w:r>
        <w:rPr>
          <w:rFonts w:ascii="Times New Roman" w:hAnsi="Times New Roman"/>
          <w:color w:val="1F2937"/>
          <w:sz w:val="20"/>
        </w:rPr>
        <w:t>(c) Each State shall provide secure drop boxes for returned mail ballots in an election for Federal office at a minimum ratio of—</w:t>
      </w:r>
    </w:p>
    <w:p>
      <w:pPr>
        <w:pStyle w:val="LegalLevel2"/>
      </w:pPr>
      <w:r>
        <w:rPr>
          <w:rFonts w:ascii="Times New Roman" w:hAnsi="Times New Roman"/>
          <w:color w:val="1F2937"/>
          <w:sz w:val="20"/>
        </w:rPr>
        <w:t>(1) one drop box for every 25,000 active registered voters, or fraction thereof;</w:t>
      </w:r>
    </w:p>
    <w:p>
      <w:pPr>
        <w:pStyle w:val="LegalLevel2"/>
      </w:pPr>
      <w:r>
        <w:rPr>
          <w:rFonts w:ascii="Times New Roman" w:hAnsi="Times New Roman"/>
          <w:color w:val="1F2937"/>
          <w:sz w:val="20"/>
        </w:rPr>
        <w:t>(2) not fewer than one drop box in each county or county-equivalent; and</w:t>
      </w:r>
    </w:p>
    <w:p>
      <w:pPr>
        <w:pStyle w:val="LegalLevel2"/>
      </w:pPr>
      <w:r>
        <w:rPr>
          <w:rFonts w:ascii="Times New Roman" w:hAnsi="Times New Roman"/>
          <w:color w:val="1F2937"/>
          <w:sz w:val="20"/>
        </w:rPr>
        <w:t>(3) additional drop boxes, mobile or fixed, as reasonably necessary to serve Tribal reservations, islands, campuses, rural communities, and disability-access needs.</w:t>
      </w:r>
    </w:p>
    <w:p>
      <w:pPr>
        <w:pStyle w:val="LegalLevel1"/>
      </w:pPr>
      <w:r>
        <w:rPr>
          <w:rFonts w:ascii="Times New Roman" w:hAnsi="Times New Roman"/>
          <w:color w:val="1F2937"/>
          <w:sz w:val="20"/>
        </w:rPr>
        <w:t>(d) Each secure drop box shall—</w:t>
      </w:r>
    </w:p>
    <w:p>
      <w:pPr>
        <w:pStyle w:val="LegalLevel2"/>
      </w:pPr>
      <w:r>
        <w:rPr>
          <w:rFonts w:ascii="Times New Roman" w:hAnsi="Times New Roman"/>
          <w:color w:val="1F2937"/>
          <w:sz w:val="20"/>
        </w:rPr>
        <w:t>(1) be physically secured against tampering;</w:t>
      </w:r>
    </w:p>
    <w:p>
      <w:pPr>
        <w:pStyle w:val="LegalLevel2"/>
      </w:pPr>
      <w:r>
        <w:rPr>
          <w:rFonts w:ascii="Times New Roman" w:hAnsi="Times New Roman"/>
          <w:color w:val="1F2937"/>
          <w:sz w:val="20"/>
        </w:rPr>
        <w:t>(2) be under continuous video surveillance or equivalent documented security measures;</w:t>
      </w:r>
    </w:p>
    <w:p>
      <w:pPr>
        <w:pStyle w:val="LegalLevel2"/>
      </w:pPr>
      <w:r>
        <w:rPr>
          <w:rFonts w:ascii="Times New Roman" w:hAnsi="Times New Roman"/>
          <w:color w:val="1F2937"/>
          <w:sz w:val="20"/>
        </w:rPr>
        <w:t>(3) have a public chain-of-custody log;</w:t>
      </w:r>
    </w:p>
    <w:p>
      <w:pPr>
        <w:pStyle w:val="LegalLevel2"/>
      </w:pPr>
      <w:r>
        <w:rPr>
          <w:rFonts w:ascii="Times New Roman" w:hAnsi="Times New Roman"/>
          <w:color w:val="1F2937"/>
          <w:sz w:val="20"/>
        </w:rPr>
        <w:t>(4) be emptied at regular intervals by bipartisan teams or comparably neutral procedures; and</w:t>
      </w:r>
    </w:p>
    <w:p>
      <w:pPr>
        <w:pStyle w:val="LegalLevel2"/>
      </w:pPr>
      <w:r>
        <w:rPr>
          <w:rFonts w:ascii="Times New Roman" w:hAnsi="Times New Roman"/>
          <w:color w:val="1F2937"/>
          <w:sz w:val="20"/>
        </w:rPr>
        <w:t>(5) be accessible to voters with disabilities.</w:t>
      </w:r>
    </w:p>
    <w:p>
      <w:pPr>
        <w:pStyle w:val="LegalLevel1"/>
      </w:pPr>
      <w:r>
        <w:rPr>
          <w:rFonts w:ascii="Times New Roman" w:hAnsi="Times New Roman"/>
          <w:color w:val="1F2937"/>
          <w:sz w:val="20"/>
        </w:rPr>
        <w:t>(e) A voter may designate another person to return the voter’s mail ballot, provided that such person—</w:t>
      </w:r>
    </w:p>
    <w:p>
      <w:pPr>
        <w:pStyle w:val="LegalLevel2"/>
      </w:pPr>
      <w:r>
        <w:rPr>
          <w:rFonts w:ascii="Times New Roman" w:hAnsi="Times New Roman"/>
          <w:color w:val="1F2937"/>
          <w:sz w:val="20"/>
        </w:rPr>
        <w:t>(1) is not compensated on a per-ballot basis;</w:t>
      </w:r>
    </w:p>
    <w:p>
      <w:pPr>
        <w:pStyle w:val="LegalLevel2"/>
      </w:pPr>
      <w:r>
        <w:rPr>
          <w:rFonts w:ascii="Times New Roman" w:hAnsi="Times New Roman"/>
          <w:color w:val="1F2937"/>
          <w:sz w:val="20"/>
        </w:rPr>
        <w:t>(2) does not coerce, alter, or inspect the ballot except as lawfully authorized to assist the voter;</w:t>
      </w:r>
    </w:p>
    <w:p>
      <w:pPr>
        <w:pStyle w:val="LegalLevel2"/>
      </w:pPr>
      <w:r>
        <w:rPr>
          <w:rFonts w:ascii="Times New Roman" w:hAnsi="Times New Roman"/>
          <w:color w:val="1F2937"/>
          <w:sz w:val="20"/>
        </w:rPr>
        <w:t>(3) provides identifying information if required by uniform State procedures; and</w:t>
      </w:r>
    </w:p>
    <w:p>
      <w:pPr>
        <w:pStyle w:val="LegalLevel2"/>
      </w:pPr>
      <w:r>
        <w:rPr>
          <w:rFonts w:ascii="Times New Roman" w:hAnsi="Times New Roman"/>
          <w:color w:val="1F2937"/>
          <w:sz w:val="20"/>
        </w:rPr>
        <w:t>(4) complies with chain-of-custody and receipt procedures established by the State.</w:t>
      </w:r>
    </w:p>
    <w:p>
      <w:pPr>
        <w:pStyle w:val="LegalLevel1"/>
      </w:pPr>
      <w:r>
        <w:rPr>
          <w:rFonts w:ascii="Times New Roman" w:hAnsi="Times New Roman"/>
          <w:color w:val="1F2937"/>
          <w:sz w:val="20"/>
        </w:rPr>
        <w:t>(f) Nothing in this section shall be construed to prohibit volunteer, family, household, caregiver, Tribal, faith-based, campus, disability-rights, labor, or community assistance so long as subsection (e) is satisfied.</w:t>
      </w:r>
    </w:p>
    <w:p>
      <w:pPr>
        <w:pStyle w:val="SectionHeading"/>
      </w:pPr>
      <w:r>
        <w:rPr>
          <w:rFonts w:ascii="Calibri" w:hAnsi="Calibri"/>
          <w:b/>
          <w:color w:val="0B2545"/>
          <w:sz w:val="19"/>
        </w:rPr>
        <w:t>SEC. 204. TIMELY RECEIPT, PREPROCESSING, SIGNATURE REVIEW, AND CURE.</w:t>
      </w:r>
    </w:p>
    <w:p>
      <w:pPr>
        <w:pStyle w:val="LegalLevel1"/>
      </w:pPr>
      <w:r>
        <w:rPr>
          <w:rFonts w:ascii="Times New Roman" w:hAnsi="Times New Roman"/>
          <w:color w:val="1F2937"/>
          <w:sz w:val="20"/>
        </w:rPr>
        <w:t>(a) A mail ballot for an election for Federal office shall be timely if—</w:t>
      </w:r>
    </w:p>
    <w:p>
      <w:pPr>
        <w:pStyle w:val="LegalLevel2"/>
      </w:pPr>
      <w:r>
        <w:rPr>
          <w:rFonts w:ascii="Times New Roman" w:hAnsi="Times New Roman"/>
          <w:color w:val="1F2937"/>
          <w:sz w:val="20"/>
        </w:rPr>
        <w:t>(1) it is received by the close of polls on Election Day;</w:t>
      </w:r>
    </w:p>
    <w:p>
      <w:pPr>
        <w:pStyle w:val="LegalLevel2"/>
      </w:pPr>
      <w:r>
        <w:rPr>
          <w:rFonts w:ascii="Times New Roman" w:hAnsi="Times New Roman"/>
          <w:color w:val="1F2937"/>
          <w:sz w:val="20"/>
        </w:rPr>
        <w:t>(2) it is deposited in a secure drop box, election office, or polling place by the close of polls on Election Day; or</w:t>
      </w:r>
    </w:p>
    <w:p>
      <w:pPr>
        <w:pStyle w:val="LegalLevel2"/>
      </w:pPr>
      <w:r>
        <w:rPr>
          <w:rFonts w:ascii="Times New Roman" w:hAnsi="Times New Roman"/>
          <w:color w:val="1F2937"/>
          <w:sz w:val="20"/>
        </w:rPr>
        <w:t>(3) it is postmarked on or before Election Day and received not later than 7 calendar days after Election Day.</w:t>
      </w:r>
    </w:p>
    <w:p>
      <w:pPr>
        <w:pStyle w:val="LegalLevel1"/>
      </w:pPr>
      <w:r>
        <w:rPr>
          <w:rFonts w:ascii="Times New Roman" w:hAnsi="Times New Roman"/>
          <w:color w:val="1F2937"/>
          <w:sz w:val="20"/>
        </w:rPr>
        <w:t>(b) If a ballot lacks a legible postmark but is received not later than 3 calendar days after Election Day and there is no affirmative evidence that it was mailed late, it shall be presumed timely.</w:t>
      </w:r>
    </w:p>
    <w:p>
      <w:pPr>
        <w:pStyle w:val="LegalLevel1"/>
      </w:pPr>
      <w:r>
        <w:rPr>
          <w:rFonts w:ascii="Times New Roman" w:hAnsi="Times New Roman"/>
          <w:color w:val="1F2937"/>
          <w:sz w:val="20"/>
        </w:rPr>
        <w:t>(c) States shall begin preprocessing mail ballots not later than 14 days before Election Day, but no results may be publicly disclosed before the close of polls.</w:t>
      </w:r>
    </w:p>
    <w:p>
      <w:pPr>
        <w:pStyle w:val="LegalLevel1"/>
      </w:pPr>
      <w:r>
        <w:rPr>
          <w:rFonts w:ascii="Times New Roman" w:hAnsi="Times New Roman"/>
          <w:color w:val="1F2937"/>
          <w:sz w:val="20"/>
        </w:rPr>
        <w:t>(d) No mail ballot may be rejected for signature issues unless the determination is made pursuant to uniform statewide standards by at least 2 trained reviewers or an automated process subject to human review and audit.</w:t>
      </w:r>
    </w:p>
    <w:p>
      <w:pPr>
        <w:pStyle w:val="LegalLevel1"/>
      </w:pPr>
      <w:r>
        <w:rPr>
          <w:rFonts w:ascii="Times New Roman" w:hAnsi="Times New Roman"/>
          <w:color w:val="1F2937"/>
          <w:sz w:val="20"/>
        </w:rPr>
        <w:t>(e) If a ballot is deficient or at risk of rejection, the voter shall be notified as soon as practicable, and in no event later than 24 hours after the deficiency is identified, by mail and by electronic means where available.</w:t>
      </w:r>
    </w:p>
    <w:p>
      <w:pPr>
        <w:pStyle w:val="LegalLevel1"/>
      </w:pPr>
      <w:r>
        <w:rPr>
          <w:rFonts w:ascii="Times New Roman" w:hAnsi="Times New Roman"/>
          <w:color w:val="1F2937"/>
          <w:sz w:val="20"/>
        </w:rPr>
        <w:t>(f) A voter shall have until 5:00 p.m. local time on the fifth calendar day after Election Day to cure a rejected or deficient ballot.</w:t>
      </w:r>
    </w:p>
    <w:p>
      <w:pPr>
        <w:pStyle w:val="SectionHeading"/>
      </w:pPr>
      <w:r>
        <w:rPr>
          <w:rFonts w:ascii="Calibri" w:hAnsi="Calibri"/>
          <w:b/>
          <w:color w:val="0B2545"/>
          <w:sz w:val="19"/>
        </w:rPr>
        <w:t>SEC. 205. PROVISIONAL AND FAIL-SAFE BALLOTS.</w:t>
      </w:r>
    </w:p>
    <w:p>
      <w:pPr>
        <w:pStyle w:val="LegalLevel1"/>
      </w:pPr>
      <w:r>
        <w:rPr>
          <w:rFonts w:ascii="Times New Roman" w:hAnsi="Times New Roman"/>
          <w:color w:val="1F2937"/>
          <w:sz w:val="20"/>
        </w:rPr>
        <w:t>(a) Any individual claiming to be duly registered and eligible to vote in an election for Federal office whose name does not appear on the rolls, or whose eligibility is otherwise questioned, shall be permitted to cast a provisional ballot.</w:t>
      </w:r>
    </w:p>
    <w:p>
      <w:pPr>
        <w:pStyle w:val="LegalLevel1"/>
      </w:pPr>
      <w:r>
        <w:rPr>
          <w:rFonts w:ascii="Times New Roman" w:hAnsi="Times New Roman"/>
          <w:color w:val="1F2937"/>
          <w:sz w:val="20"/>
        </w:rPr>
        <w:t>(b) A voter who appears at an incorrect precinct within the correct county or unit of election administration shall be permitted to cast a ballot counting for all Federal offices for which the voter is eligible.</w:t>
      </w:r>
    </w:p>
    <w:p>
      <w:pPr>
        <w:pStyle w:val="LegalLevel1"/>
      </w:pPr>
      <w:r>
        <w:rPr>
          <w:rFonts w:ascii="Times New Roman" w:hAnsi="Times New Roman"/>
          <w:color w:val="1F2937"/>
          <w:sz w:val="20"/>
        </w:rPr>
        <w:t>(c) Provisional ballots shall not be rejected for immaterial administrative errors.</w:t>
      </w:r>
    </w:p>
    <w:p>
      <w:pPr>
        <w:pStyle w:val="LegalLevel1"/>
      </w:pPr>
      <w:r>
        <w:rPr>
          <w:rFonts w:ascii="Times New Roman" w:hAnsi="Times New Roman"/>
          <w:color w:val="1F2937"/>
          <w:sz w:val="20"/>
        </w:rPr>
        <w:t>(d) States shall provide free public tracking of provisional-ballot status and reasons for rejection, together with cure instructions.</w:t>
      </w:r>
    </w:p>
    <w:p>
      <w:pPr>
        <w:pStyle w:val="SectionHeading"/>
      </w:pPr>
      <w:r>
        <w:rPr>
          <w:rFonts w:ascii="Calibri" w:hAnsi="Calibri"/>
          <w:b/>
          <w:color w:val="0B2545"/>
          <w:sz w:val="19"/>
        </w:rPr>
        <w:t>SEC. 206. ACCESSIBILITY FOR VOTERS WITH DISABILITIES.</w:t>
      </w:r>
    </w:p>
    <w:p>
      <w:pPr>
        <w:pStyle w:val="LegalLevel1"/>
      </w:pPr>
      <w:r>
        <w:rPr>
          <w:rFonts w:ascii="Times New Roman" w:hAnsi="Times New Roman"/>
          <w:color w:val="1F2937"/>
          <w:sz w:val="20"/>
        </w:rPr>
        <w:t>(a) Each polling place used in an election for Federal office shall provide at least one accessible voting system that affords the same opportunity for privacy and independence as for other voters.</w:t>
      </w:r>
    </w:p>
    <w:p>
      <w:pPr>
        <w:pStyle w:val="LegalLevel1"/>
      </w:pPr>
      <w:r>
        <w:rPr>
          <w:rFonts w:ascii="Times New Roman" w:hAnsi="Times New Roman"/>
          <w:color w:val="1F2937"/>
          <w:sz w:val="20"/>
        </w:rPr>
        <w:t>(b) Each State shall provide accessible absentee-ballot application, ballot-marking, and ballot-return options for voters with disabilities, including remote accessible ballot-marking technology where appropriate.</w:t>
      </w:r>
    </w:p>
    <w:p>
      <w:pPr>
        <w:pStyle w:val="LegalLevel1"/>
      </w:pPr>
      <w:r>
        <w:rPr>
          <w:rFonts w:ascii="Times New Roman" w:hAnsi="Times New Roman"/>
          <w:color w:val="1F2937"/>
          <w:sz w:val="20"/>
        </w:rPr>
        <w:t>(c) If an accessible route is unexpectedly unavailable at a polling location, the jurisdiction shall provide curbside voting or an equally effective alternative that does not burden ballot secrecy.</w:t>
      </w:r>
    </w:p>
    <w:p>
      <w:pPr>
        <w:pStyle w:val="LegalLevel1"/>
      </w:pPr>
      <w:r>
        <w:rPr>
          <w:rFonts w:ascii="Times New Roman" w:hAnsi="Times New Roman"/>
          <w:color w:val="1F2937"/>
          <w:sz w:val="20"/>
        </w:rPr>
        <w:t>(d) A voter with a disability may receive assistance from a person of the voter’s choice, other than the voter’s employer or agent of such employer or an officer or agent of the voter’s union.</w:t>
      </w:r>
    </w:p>
    <w:p>
      <w:pPr>
        <w:pStyle w:val="LegalLevel1"/>
      </w:pPr>
      <w:r>
        <w:rPr>
          <w:rFonts w:ascii="Times New Roman" w:hAnsi="Times New Roman"/>
          <w:color w:val="1F2937"/>
          <w:sz w:val="20"/>
        </w:rPr>
        <w:t>(e) States shall conduct periodic accessibility audits of polling locations and publish corrective action plans.</w:t>
      </w:r>
    </w:p>
    <w:p>
      <w:pPr>
        <w:pStyle w:val="SectionHeading"/>
      </w:pPr>
      <w:r>
        <w:rPr>
          <w:rFonts w:ascii="Calibri" w:hAnsi="Calibri"/>
          <w:b/>
          <w:color w:val="0B2545"/>
          <w:sz w:val="19"/>
        </w:rPr>
        <w:t>SEC. 207. LANGUAGE ACCESS AND PLAIN-LANGUAGE ELECTION MATERIALS.</w:t>
      </w:r>
    </w:p>
    <w:p>
      <w:pPr>
        <w:pStyle w:val="LegalLevel1"/>
      </w:pPr>
      <w:r>
        <w:rPr>
          <w:rFonts w:ascii="Times New Roman" w:hAnsi="Times New Roman"/>
          <w:color w:val="1F2937"/>
          <w:sz w:val="20"/>
        </w:rPr>
        <w:t>(a) Each jurisdiction covered by section 203 of the Voting Rights Act of 1965 shall provide all assistance required by that Act.</w:t>
      </w:r>
    </w:p>
    <w:p>
      <w:pPr>
        <w:pStyle w:val="LegalLevel1"/>
      </w:pPr>
      <w:r>
        <w:rPr>
          <w:rFonts w:ascii="Times New Roman" w:hAnsi="Times New Roman"/>
          <w:color w:val="1F2937"/>
          <w:sz w:val="20"/>
        </w:rPr>
        <w:t>(b) In addition, each State receiving funds under this Act shall provide translated plain-language registration instructions, voting instructions, cure notices, and public election information in any language spoken by—</w:t>
      </w:r>
    </w:p>
    <w:p>
      <w:pPr>
        <w:pStyle w:val="LegalLevel2"/>
      </w:pPr>
      <w:r>
        <w:rPr>
          <w:rFonts w:ascii="Times New Roman" w:hAnsi="Times New Roman"/>
          <w:color w:val="1F2937"/>
          <w:sz w:val="20"/>
        </w:rPr>
        <w:t>(1) at least 2 percent of voting-age citizens in the relevant jurisdiction; or</w:t>
      </w:r>
    </w:p>
    <w:p>
      <w:pPr>
        <w:pStyle w:val="LegalLevel2"/>
      </w:pPr>
      <w:r>
        <w:rPr>
          <w:rFonts w:ascii="Times New Roman" w:hAnsi="Times New Roman"/>
          <w:color w:val="1F2937"/>
          <w:sz w:val="20"/>
        </w:rPr>
        <w:t>(2) at least 5,000 voting-age citizens in the relevant jurisdiction,</w:t>
      </w:r>
    </w:p>
    <w:p>
      <w:pPr>
        <w:pStyle w:val="LegalBody"/>
      </w:pPr>
      <w:r>
        <w:rPr>
          <w:rFonts w:ascii="Times New Roman" w:hAnsi="Times New Roman"/>
          <w:color w:val="1F2937"/>
          <w:sz w:val="20"/>
        </w:rPr>
        <w:t>where the Commission determines that such assistance is feasible and necessary for meaningful access.</w:t>
      </w:r>
    </w:p>
    <w:p>
      <w:pPr>
        <w:pStyle w:val="LegalLevel1"/>
      </w:pPr>
      <w:r>
        <w:rPr>
          <w:rFonts w:ascii="Times New Roman" w:hAnsi="Times New Roman"/>
          <w:color w:val="1F2937"/>
          <w:sz w:val="20"/>
        </w:rPr>
        <w:t>(c) All official election materials under this Act shall be written, to the maximum extent practicable, in plain language.</w:t>
      </w:r>
    </w:p>
    <w:p>
      <w:pPr>
        <w:pStyle w:val="SectionHeading"/>
      </w:pPr>
      <w:r>
        <w:rPr>
          <w:rFonts w:ascii="Calibri" w:hAnsi="Calibri"/>
          <w:b/>
          <w:color w:val="0B2545"/>
          <w:sz w:val="19"/>
        </w:rPr>
        <w:t>SEC. 208. TRIBAL, RURAL, CAMPUS, AND UNHOUSED VOTER ACCESS.</w:t>
      </w:r>
    </w:p>
    <w:p>
      <w:pPr>
        <w:pStyle w:val="LegalLevel1"/>
      </w:pPr>
      <w:r>
        <w:rPr>
          <w:rFonts w:ascii="Times New Roman" w:hAnsi="Times New Roman"/>
          <w:color w:val="1F2937"/>
          <w:sz w:val="20"/>
        </w:rPr>
        <w:t>(a) Each State shall consult with federally recognized Tribal governments within the State regarding placement of polling sites, early-voting locations, mail-ballot pickup and drop-off options, language access, and the acceptance of Tribal identification documents.</w:t>
      </w:r>
    </w:p>
    <w:p>
      <w:pPr>
        <w:pStyle w:val="LegalLevel1"/>
      </w:pPr>
      <w:r>
        <w:rPr>
          <w:rFonts w:ascii="Times New Roman" w:hAnsi="Times New Roman"/>
          <w:color w:val="1F2937"/>
          <w:sz w:val="20"/>
        </w:rPr>
        <w:t>(b) Each State shall accept valid Tribal identification documents for purposes of voting in an election for Federal office.</w:t>
      </w:r>
    </w:p>
    <w:p>
      <w:pPr>
        <w:pStyle w:val="LegalLevel1"/>
      </w:pPr>
      <w:r>
        <w:rPr>
          <w:rFonts w:ascii="Times New Roman" w:hAnsi="Times New Roman"/>
          <w:color w:val="1F2937"/>
          <w:sz w:val="20"/>
        </w:rPr>
        <w:t>(c) Each State shall provide reasonable access measures for rural voters, including mobile election offices, satellite sites, or equivalent service where travel burdens would otherwise be substantial.</w:t>
      </w:r>
    </w:p>
    <w:p>
      <w:pPr>
        <w:pStyle w:val="LegalLevel1"/>
      </w:pPr>
      <w:r>
        <w:rPr>
          <w:rFonts w:ascii="Times New Roman" w:hAnsi="Times New Roman"/>
          <w:color w:val="1F2937"/>
          <w:sz w:val="20"/>
        </w:rPr>
        <w:t>(d) Each public institution of higher education with residential enrollment exceeding 5,000 students and lacking a polling site within 2 miles shall have a polling site, vote center, or regularly scheduled mobile voting location reasonably accessible to students.</w:t>
      </w:r>
    </w:p>
    <w:p>
      <w:pPr>
        <w:pStyle w:val="LegalLevel1"/>
      </w:pPr>
      <w:r>
        <w:rPr>
          <w:rFonts w:ascii="Times New Roman" w:hAnsi="Times New Roman"/>
          <w:color w:val="1F2937"/>
          <w:sz w:val="20"/>
        </w:rPr>
        <w:t>(e) A voter lacking a traditional residential address may register using a descriptive residence location together with a mailing address, shelter address, campus address, or other contact address.</w:t>
      </w:r>
    </w:p>
    <w:p>
      <w:pPr>
        <w:pStyle w:val="SectionHeading"/>
      </w:pPr>
      <w:r>
        <w:rPr>
          <w:rFonts w:ascii="Calibri" w:hAnsi="Calibri"/>
          <w:b/>
          <w:color w:val="0B2545"/>
          <w:sz w:val="19"/>
        </w:rPr>
        <w:t>SEC. 209. POLLING-PLACE ALLOCATION AND LINE-MANAGEMENT STANDARDS.</w:t>
      </w:r>
    </w:p>
    <w:p>
      <w:pPr>
        <w:pStyle w:val="LegalLevel1"/>
      </w:pPr>
      <w:r>
        <w:rPr>
          <w:rFonts w:ascii="Times New Roman" w:hAnsi="Times New Roman"/>
          <w:color w:val="1F2937"/>
          <w:sz w:val="20"/>
        </w:rPr>
        <w:t>(a) Each State shall maintain a sufficient number of polling places or vote centers so that, under ordinary conditions, voters are not required to wait more than 30 minutes to vote.</w:t>
      </w:r>
    </w:p>
    <w:p>
      <w:pPr>
        <w:pStyle w:val="LegalLevel1"/>
      </w:pPr>
      <w:r>
        <w:rPr>
          <w:rFonts w:ascii="Times New Roman" w:hAnsi="Times New Roman"/>
          <w:color w:val="1F2937"/>
          <w:sz w:val="20"/>
        </w:rPr>
        <w:t>(b) In meeting subsection (a), a jurisdiction shall consider population, transit access, disability access, language needs, student populations, prior wait times, and historic disparities.</w:t>
      </w:r>
    </w:p>
    <w:p>
      <w:pPr>
        <w:pStyle w:val="LegalLevel1"/>
      </w:pPr>
      <w:r>
        <w:rPr>
          <w:rFonts w:ascii="Times New Roman" w:hAnsi="Times New Roman"/>
          <w:color w:val="1F2937"/>
          <w:sz w:val="20"/>
        </w:rPr>
        <w:t>(c) Except in emergencies, a jurisdiction may not reduce the number of polling places serving a political subdivision by more than 10 percent from the number used in the most recent equivalent Federal election unless it publishes an equity analysis and mitigation plan at least 90 days before the election.</w:t>
      </w:r>
    </w:p>
    <w:p>
      <w:pPr>
        <w:pStyle w:val="LegalLevel1"/>
      </w:pPr>
      <w:r>
        <w:rPr>
          <w:rFonts w:ascii="Times New Roman" w:hAnsi="Times New Roman"/>
          <w:color w:val="1F2937"/>
          <w:sz w:val="20"/>
        </w:rPr>
        <w:t>(d) Each jurisdiction shall maintain an emergency stock of paper ballots, provisional ballots, backup pollbooks, and standby equipment.</w:t>
      </w:r>
    </w:p>
    <w:p>
      <w:pPr>
        <w:pStyle w:val="LegalLevel1"/>
      </w:pPr>
      <w:r>
        <w:rPr>
          <w:rFonts w:ascii="Times New Roman" w:hAnsi="Times New Roman"/>
          <w:color w:val="1F2937"/>
          <w:sz w:val="20"/>
        </w:rPr>
        <w:t>(e) Jurisdictions shall record and publish wait-time data for each polling place used in a Federal election.</w:t>
      </w:r>
    </w:p>
    <w:p>
      <w:pPr>
        <w:pStyle w:val="SectionHeading"/>
      </w:pPr>
      <w:r>
        <w:rPr>
          <w:rFonts w:ascii="Calibri" w:hAnsi="Calibri"/>
          <w:b/>
          <w:color w:val="0B2545"/>
          <w:sz w:val="19"/>
        </w:rPr>
        <w:t>SEC. 210. TRAINING OF ELECTION WORKERS.</w:t>
      </w:r>
    </w:p>
    <w:p>
      <w:pPr>
        <w:pStyle w:val="LegalLevel1"/>
      </w:pPr>
      <w:r>
        <w:rPr>
          <w:rFonts w:ascii="Times New Roman" w:hAnsi="Times New Roman"/>
          <w:color w:val="1F2937"/>
          <w:sz w:val="20"/>
        </w:rPr>
        <w:t>(a) Each State shall provide standardized training for election workers in—</w:t>
      </w:r>
    </w:p>
    <w:p>
      <w:pPr>
        <w:pStyle w:val="LegalLevel2"/>
      </w:pPr>
      <w:r>
        <w:rPr>
          <w:rFonts w:ascii="Times New Roman" w:hAnsi="Times New Roman"/>
          <w:color w:val="1F2937"/>
          <w:sz w:val="20"/>
        </w:rPr>
        <w:t>(1) disability access and assistance rights;</w:t>
      </w:r>
    </w:p>
    <w:p>
      <w:pPr>
        <w:pStyle w:val="LegalLevel2"/>
      </w:pPr>
      <w:r>
        <w:rPr>
          <w:rFonts w:ascii="Times New Roman" w:hAnsi="Times New Roman"/>
          <w:color w:val="1F2937"/>
          <w:sz w:val="20"/>
        </w:rPr>
        <w:t>(2) language access;</w:t>
      </w:r>
    </w:p>
    <w:p>
      <w:pPr>
        <w:pStyle w:val="LegalLevel2"/>
      </w:pPr>
      <w:r>
        <w:rPr>
          <w:rFonts w:ascii="Times New Roman" w:hAnsi="Times New Roman"/>
          <w:color w:val="1F2937"/>
          <w:sz w:val="20"/>
        </w:rPr>
        <w:t>(3) provisional-ballot administration;</w:t>
      </w:r>
    </w:p>
    <w:p>
      <w:pPr>
        <w:pStyle w:val="LegalLevel2"/>
      </w:pPr>
      <w:r>
        <w:rPr>
          <w:rFonts w:ascii="Times New Roman" w:hAnsi="Times New Roman"/>
          <w:color w:val="1F2937"/>
          <w:sz w:val="20"/>
        </w:rPr>
        <w:t>(4) de-escalation and voter intimidation prevention;</w:t>
      </w:r>
    </w:p>
    <w:p>
      <w:pPr>
        <w:pStyle w:val="LegalLevel2"/>
      </w:pPr>
      <w:r>
        <w:rPr>
          <w:rFonts w:ascii="Times New Roman" w:hAnsi="Times New Roman"/>
          <w:color w:val="1F2937"/>
          <w:sz w:val="20"/>
        </w:rPr>
        <w:t>(5) chain of custody;</w:t>
      </w:r>
    </w:p>
    <w:p>
      <w:pPr>
        <w:pStyle w:val="LegalLevel2"/>
      </w:pPr>
      <w:r>
        <w:rPr>
          <w:rFonts w:ascii="Times New Roman" w:hAnsi="Times New Roman"/>
          <w:color w:val="1F2937"/>
          <w:sz w:val="20"/>
        </w:rPr>
        <w:t>(6) signature review and cure standards;</w:t>
      </w:r>
    </w:p>
    <w:p>
      <w:pPr>
        <w:pStyle w:val="LegalLevel2"/>
      </w:pPr>
      <w:r>
        <w:rPr>
          <w:rFonts w:ascii="Times New Roman" w:hAnsi="Times New Roman"/>
          <w:color w:val="1F2937"/>
          <w:sz w:val="20"/>
        </w:rPr>
        <w:t>(7) cybersecurity hygiene and incident escalation; and</w:t>
      </w:r>
    </w:p>
    <w:p>
      <w:pPr>
        <w:pStyle w:val="LegalLevel2"/>
      </w:pPr>
      <w:r>
        <w:rPr>
          <w:rFonts w:ascii="Times New Roman" w:hAnsi="Times New Roman"/>
          <w:color w:val="1F2937"/>
          <w:sz w:val="20"/>
        </w:rPr>
        <w:t>(8) ranked-choice voting, where applicable.</w:t>
      </w:r>
    </w:p>
    <w:p>
      <w:pPr>
        <w:pStyle w:val="LegalLevel1"/>
      </w:pPr>
      <w:r>
        <w:rPr>
          <w:rFonts w:ascii="Times New Roman" w:hAnsi="Times New Roman"/>
          <w:color w:val="1F2937"/>
          <w:sz w:val="20"/>
        </w:rPr>
        <w:t>(b) Completion of such training shall be documented.</w:t>
      </w:r>
    </w:p>
    <w:p>
      <w:pPr>
        <w:pStyle w:val="TitleHeading"/>
      </w:pPr>
      <w:r>
        <w:rPr>
          <w:rFonts w:ascii="Calibri" w:hAnsi="Calibri"/>
          <w:b/>
          <w:color w:val="0B2545"/>
          <w:sz w:val="20"/>
        </w:rPr>
        <w:t>TITLE III — TRUTHFUL CIVIC PARTICIPATION AND ELECTION INFORMATION INTEGRITY</w:t>
      </w:r>
    </w:p>
    <w:p>
      <w:pPr>
        <w:pStyle w:val="SectionHeading"/>
      </w:pPr>
      <w:r>
        <w:rPr>
          <w:rFonts w:ascii="Calibri" w:hAnsi="Calibri"/>
          <w:b/>
          <w:color w:val="0B2545"/>
          <w:sz w:val="19"/>
        </w:rPr>
        <w:t>SEC. 301. NONPARTISAN CIVIC PARTICIPATION PROGRAM.</w:t>
      </w:r>
    </w:p>
    <w:p>
      <w:pPr>
        <w:pStyle w:val="LegalLevel1"/>
      </w:pPr>
      <w:r>
        <w:rPr>
          <w:rFonts w:ascii="Times New Roman" w:hAnsi="Times New Roman"/>
          <w:color w:val="1F2937"/>
          <w:sz w:val="20"/>
        </w:rPr>
        <w:t>(a) The Election Assistance Commission shall establish a grant program to support nonpartisan, factual, and accessible voter-education and participation efforts.</w:t>
      </w:r>
    </w:p>
    <w:p>
      <w:pPr>
        <w:pStyle w:val="LegalLevel1"/>
      </w:pPr>
      <w:r>
        <w:rPr>
          <w:rFonts w:ascii="Times New Roman" w:hAnsi="Times New Roman"/>
          <w:color w:val="1F2937"/>
          <w:sz w:val="20"/>
        </w:rPr>
        <w:t>(b) Eligible recipients may include States, local election offices, Tribal governments, public libraries, public educational institutions, and nonprofit organizations that certify they will not engage in partisan campaign activity using grant funds.</w:t>
      </w:r>
    </w:p>
    <w:p>
      <w:pPr>
        <w:pStyle w:val="LegalLevel1"/>
      </w:pPr>
      <w:r>
        <w:rPr>
          <w:rFonts w:ascii="Times New Roman" w:hAnsi="Times New Roman"/>
          <w:color w:val="1F2937"/>
          <w:sz w:val="20"/>
        </w:rPr>
        <w:t>(c) Funds under this section may be used for voter-registration reminders, deadlines, polling-place information, ballot-tracking education, cure instructions, accessibility outreach, language assistance, and public-service announcements.</w:t>
      </w:r>
    </w:p>
    <w:p>
      <w:pPr>
        <w:pStyle w:val="SectionHeading"/>
      </w:pPr>
      <w:r>
        <w:rPr>
          <w:rFonts w:ascii="Calibri" w:hAnsi="Calibri"/>
          <w:b/>
          <w:color w:val="0B2545"/>
          <w:sz w:val="19"/>
        </w:rPr>
        <w:t>SEC. 302. DECEPTIVE PRACTICES AND VOTER-SUPPRESSION COMMUNICATIONS.</w:t>
      </w:r>
    </w:p>
    <w:p>
      <w:pPr>
        <w:pStyle w:val="LegalLevel1"/>
      </w:pPr>
      <w:r>
        <w:rPr>
          <w:rFonts w:ascii="Times New Roman" w:hAnsi="Times New Roman"/>
          <w:color w:val="1F2937"/>
          <w:sz w:val="20"/>
        </w:rPr>
        <w:t>(a) It shall be unlawful for any person knowingly, or with reckless disregard for the truth, to communicate materially false information about—</w:t>
      </w:r>
    </w:p>
    <w:p>
      <w:pPr>
        <w:pStyle w:val="LegalLevel2"/>
      </w:pPr>
      <w:r>
        <w:rPr>
          <w:rFonts w:ascii="Times New Roman" w:hAnsi="Times New Roman"/>
          <w:color w:val="1F2937"/>
          <w:sz w:val="20"/>
        </w:rPr>
        <w:t>(1) the time, place, manner, or means of voting;</w:t>
      </w:r>
    </w:p>
    <w:p>
      <w:pPr>
        <w:pStyle w:val="LegalLevel2"/>
      </w:pPr>
      <w:r>
        <w:rPr>
          <w:rFonts w:ascii="Times New Roman" w:hAnsi="Times New Roman"/>
          <w:color w:val="1F2937"/>
          <w:sz w:val="20"/>
        </w:rPr>
        <w:t>(2) voter registration status or eligibility requirements, including citizenship requirements;</w:t>
      </w:r>
    </w:p>
    <w:p>
      <w:pPr>
        <w:pStyle w:val="LegalLevel2"/>
      </w:pPr>
      <w:r>
        <w:rPr>
          <w:rFonts w:ascii="Times New Roman" w:hAnsi="Times New Roman"/>
          <w:color w:val="1F2937"/>
          <w:sz w:val="20"/>
        </w:rPr>
        <w:t>(3) the ability to vote by text message, social media post, or other nonexistent method;</w:t>
      </w:r>
    </w:p>
    <w:p>
      <w:pPr>
        <w:pStyle w:val="LegalLevel2"/>
      </w:pPr>
      <w:r>
        <w:rPr>
          <w:rFonts w:ascii="Times New Roman" w:hAnsi="Times New Roman"/>
          <w:color w:val="1F2937"/>
          <w:sz w:val="20"/>
        </w:rPr>
        <w:t>(4) the legal consequences of voting or registering, including materially false claims of arrest, immigration action, debt collection, employment retaliation, or child-custody consequences; or</w:t>
      </w:r>
    </w:p>
    <w:p>
      <w:pPr>
        <w:pStyle w:val="LegalLevel2"/>
      </w:pPr>
      <w:r>
        <w:rPr>
          <w:rFonts w:ascii="Times New Roman" w:hAnsi="Times New Roman"/>
          <w:color w:val="1F2937"/>
          <w:sz w:val="20"/>
        </w:rPr>
        <w:t>(5) the availability of ballot cure, accessibility accommodations, early voting, or absentee voting,</w:t>
      </w:r>
    </w:p>
    <w:p>
      <w:pPr>
        <w:pStyle w:val="LegalBody"/>
      </w:pPr>
      <w:r>
        <w:rPr>
          <w:rFonts w:ascii="Times New Roman" w:hAnsi="Times New Roman"/>
          <w:color w:val="1F2937"/>
          <w:sz w:val="20"/>
        </w:rPr>
        <w:t>where such communication is reasonably foreseeable to prevent, deter, burden, or misdirect voting in an election for Federal office.</w:t>
      </w:r>
    </w:p>
    <w:p>
      <w:pPr>
        <w:pStyle w:val="LegalLevel1"/>
      </w:pPr>
      <w:r>
        <w:rPr>
          <w:rFonts w:ascii="Times New Roman" w:hAnsi="Times New Roman"/>
          <w:color w:val="1F2937"/>
          <w:sz w:val="20"/>
        </w:rPr>
        <w:t>(b) It shall also be unlawful knowingly to impersonate, or falsely claim to speak on behalf of, an election official, election office, court, candidate, or political party for the purpose described in subsection (a).</w:t>
      </w:r>
    </w:p>
    <w:p>
      <w:pPr>
        <w:pStyle w:val="LegalLevel1"/>
      </w:pPr>
      <w:r>
        <w:rPr>
          <w:rFonts w:ascii="Times New Roman" w:hAnsi="Times New Roman"/>
          <w:color w:val="1F2937"/>
          <w:sz w:val="20"/>
        </w:rPr>
        <w:t>(c) A violation of this section shall be punishable by—</w:t>
      </w:r>
    </w:p>
    <w:p>
      <w:pPr>
        <w:pStyle w:val="LegalLevel2"/>
      </w:pPr>
      <w:r>
        <w:rPr>
          <w:rFonts w:ascii="Times New Roman" w:hAnsi="Times New Roman"/>
          <w:color w:val="1F2937"/>
          <w:sz w:val="20"/>
        </w:rPr>
        <w:t>(1) civil penalties not exceeding $100,000 per violation, or 3 times the amount expended for the communication, whichever is greater;</w:t>
      </w:r>
    </w:p>
    <w:p>
      <w:pPr>
        <w:pStyle w:val="LegalLevel2"/>
      </w:pPr>
      <w:r>
        <w:rPr>
          <w:rFonts w:ascii="Times New Roman" w:hAnsi="Times New Roman"/>
          <w:color w:val="1F2937"/>
          <w:sz w:val="20"/>
        </w:rPr>
        <w:t>(2) injunctive relief; and</w:t>
      </w:r>
    </w:p>
    <w:p>
      <w:pPr>
        <w:pStyle w:val="LegalLevel2"/>
      </w:pPr>
      <w:r>
        <w:rPr>
          <w:rFonts w:ascii="Times New Roman" w:hAnsi="Times New Roman"/>
          <w:color w:val="1F2937"/>
          <w:sz w:val="20"/>
        </w:rPr>
        <w:t>(3) in the case of a knowing and willful pattern or practice involving mass distribution, a fine under title 18, United States Code, imprisonment for not more than 5 years, or both.</w:t>
      </w:r>
    </w:p>
    <w:p>
      <w:pPr>
        <w:pStyle w:val="SectionHeading"/>
      </w:pPr>
      <w:r>
        <w:rPr>
          <w:rFonts w:ascii="Calibri" w:hAnsi="Calibri"/>
          <w:b/>
          <w:color w:val="0B2545"/>
          <w:sz w:val="19"/>
        </w:rPr>
        <w:t>SEC. 303. CORRECTIVE NOTICE AND EMERGENCY RELIEF.</w:t>
      </w:r>
    </w:p>
    <w:p>
      <w:pPr>
        <w:pStyle w:val="LegalLevel1"/>
      </w:pPr>
      <w:r>
        <w:rPr>
          <w:rFonts w:ascii="Times New Roman" w:hAnsi="Times New Roman"/>
          <w:color w:val="1F2937"/>
          <w:sz w:val="20"/>
        </w:rPr>
        <w:t>(a) The Attorney General, an appropriate State election official, or an aggrieved voter may bring a civil action for immediate injunctive relief to halt conduct prohibited by section 302.</w:t>
      </w:r>
    </w:p>
    <w:p>
      <w:pPr>
        <w:pStyle w:val="LegalLevel1"/>
      </w:pPr>
      <w:r>
        <w:rPr>
          <w:rFonts w:ascii="Times New Roman" w:hAnsi="Times New Roman"/>
          <w:color w:val="1F2937"/>
          <w:sz w:val="20"/>
        </w:rPr>
        <w:t>(b) Upon finding a likely violation, a court may order such relief as is necessary and narrowly tailored, including—</w:t>
      </w:r>
    </w:p>
    <w:p>
      <w:pPr>
        <w:pStyle w:val="LegalLevel2"/>
      </w:pPr>
      <w:r>
        <w:rPr>
          <w:rFonts w:ascii="Times New Roman" w:hAnsi="Times New Roman"/>
          <w:color w:val="1F2937"/>
          <w:sz w:val="20"/>
        </w:rPr>
        <w:t>(1) retraction or correction notices;</w:t>
      </w:r>
    </w:p>
    <w:p>
      <w:pPr>
        <w:pStyle w:val="LegalLevel2"/>
      </w:pPr>
      <w:r>
        <w:rPr>
          <w:rFonts w:ascii="Times New Roman" w:hAnsi="Times New Roman"/>
          <w:color w:val="1F2937"/>
          <w:sz w:val="20"/>
        </w:rPr>
        <w:t>(2) platform-delivered corrective notices to persons reached by a paid communication;</w:t>
      </w:r>
    </w:p>
    <w:p>
      <w:pPr>
        <w:pStyle w:val="LegalLevel2"/>
      </w:pPr>
      <w:r>
        <w:rPr>
          <w:rFonts w:ascii="Times New Roman" w:hAnsi="Times New Roman"/>
          <w:color w:val="1F2937"/>
          <w:sz w:val="20"/>
        </w:rPr>
        <w:t>(3) extensions of registration deadlines or cure deadlines;</w:t>
      </w:r>
    </w:p>
    <w:p>
      <w:pPr>
        <w:pStyle w:val="LegalLevel2"/>
      </w:pPr>
      <w:r>
        <w:rPr>
          <w:rFonts w:ascii="Times New Roman" w:hAnsi="Times New Roman"/>
          <w:color w:val="1F2937"/>
          <w:sz w:val="20"/>
        </w:rPr>
        <w:t>(4) extensions of polling hours;</w:t>
      </w:r>
    </w:p>
    <w:p>
      <w:pPr>
        <w:pStyle w:val="LegalLevel2"/>
      </w:pPr>
      <w:r>
        <w:rPr>
          <w:rFonts w:ascii="Times New Roman" w:hAnsi="Times New Roman"/>
          <w:color w:val="1F2937"/>
          <w:sz w:val="20"/>
        </w:rPr>
        <w:t>(5) emergency relocation or reopening of polling sites; or</w:t>
      </w:r>
    </w:p>
    <w:p>
      <w:pPr>
        <w:pStyle w:val="LegalLevel2"/>
      </w:pPr>
      <w:r>
        <w:rPr>
          <w:rFonts w:ascii="Times New Roman" w:hAnsi="Times New Roman"/>
          <w:color w:val="1F2937"/>
          <w:sz w:val="20"/>
        </w:rPr>
        <w:t>(6) any other equitable relief necessary to protect voters from disenfranchisement.</w:t>
      </w:r>
    </w:p>
    <w:p>
      <w:pPr>
        <w:pStyle w:val="LegalLevel1"/>
      </w:pPr>
      <w:r>
        <w:rPr>
          <w:rFonts w:ascii="Times New Roman" w:hAnsi="Times New Roman"/>
          <w:color w:val="1F2937"/>
          <w:sz w:val="20"/>
        </w:rPr>
        <w:t>(c) Proceedings under this section shall be expedited.</w:t>
      </w:r>
    </w:p>
    <w:p>
      <w:pPr>
        <w:pStyle w:val="SectionHeading"/>
      </w:pPr>
      <w:r>
        <w:rPr>
          <w:rFonts w:ascii="Calibri" w:hAnsi="Calibri"/>
          <w:b/>
          <w:color w:val="0B2545"/>
          <w:sz w:val="19"/>
        </w:rPr>
        <w:t>SEC. 304. SYNTHETIC-MEDIA DISCLOSURE AND MATERIALLY DECEPTIVE SYNTHETIC MEDIA.</w:t>
      </w:r>
    </w:p>
    <w:p>
      <w:pPr>
        <w:pStyle w:val="LegalLevel1"/>
      </w:pPr>
      <w:r>
        <w:rPr>
          <w:rFonts w:ascii="Times New Roman" w:hAnsi="Times New Roman"/>
          <w:color w:val="1F2937"/>
          <w:sz w:val="20"/>
        </w:rPr>
        <w:t>(a) Any covered public election communication distributed within 120 days before an election for Federal office that contains synthetic media depicting a candidate, election official, ballot, polling place, or voting procedure shall include a clear and conspicuous disclosure stating that the content has been generated or materially altered.</w:t>
      </w:r>
    </w:p>
    <w:p>
      <w:pPr>
        <w:pStyle w:val="LegalLevel1"/>
      </w:pPr>
      <w:r>
        <w:rPr>
          <w:rFonts w:ascii="Times New Roman" w:hAnsi="Times New Roman"/>
          <w:color w:val="1F2937"/>
          <w:sz w:val="20"/>
        </w:rPr>
        <w:t>(b) It shall be unlawful knowingly to distribute materially deceptive synthetic media, without the disclosure required by subsection (a), within 60 days before an election for Federal office, where such media is reasonably likely to deceive voters regarding—</w:t>
      </w:r>
    </w:p>
    <w:p>
      <w:pPr>
        <w:pStyle w:val="LegalLevel2"/>
      </w:pPr>
      <w:r>
        <w:rPr>
          <w:rFonts w:ascii="Times New Roman" w:hAnsi="Times New Roman"/>
          <w:color w:val="1F2937"/>
          <w:sz w:val="20"/>
        </w:rPr>
        <w:t>(1) a candidate’s conduct or statements; or</w:t>
      </w:r>
    </w:p>
    <w:p>
      <w:pPr>
        <w:pStyle w:val="LegalLevel2"/>
      </w:pPr>
      <w:r>
        <w:rPr>
          <w:rFonts w:ascii="Times New Roman" w:hAnsi="Times New Roman"/>
          <w:color w:val="1F2937"/>
          <w:sz w:val="20"/>
        </w:rPr>
        <w:t>(2) the time, place, manner, or legitimacy of voting.</w:t>
      </w:r>
    </w:p>
    <w:p>
      <w:pPr>
        <w:pStyle w:val="LegalLevel1"/>
      </w:pPr>
      <w:r>
        <w:rPr>
          <w:rFonts w:ascii="Times New Roman" w:hAnsi="Times New Roman"/>
          <w:color w:val="1F2937"/>
          <w:sz w:val="20"/>
        </w:rPr>
        <w:t>(c) This section shall not apply to parody, satire, or commentary that is obvious to a reasonable person or clearly labeled.</w:t>
      </w:r>
    </w:p>
    <w:p>
      <w:pPr>
        <w:pStyle w:val="SectionHeading"/>
      </w:pPr>
      <w:r>
        <w:rPr>
          <w:rFonts w:ascii="Calibri" w:hAnsi="Calibri"/>
          <w:b/>
          <w:color w:val="0B2545"/>
          <w:sz w:val="19"/>
        </w:rPr>
        <w:t>SEC. 305. PAID DIGITAL POLITICAL ADVERTISING DISCLAIMERS, PUBLIC FILES, AND SENSITIVE-TARGETING LIMITS.</w:t>
      </w:r>
    </w:p>
    <w:p>
      <w:pPr>
        <w:pStyle w:val="LegalLevel1"/>
      </w:pPr>
      <w:r>
        <w:rPr>
          <w:rFonts w:ascii="Times New Roman" w:hAnsi="Times New Roman"/>
          <w:color w:val="1F2937"/>
          <w:sz w:val="20"/>
        </w:rPr>
        <w:t>(a) A covered digital platform that displays a covered public election communication shall maintain a public, searchable, machine-readable archive for not fewer than 7 years containing—</w:t>
      </w:r>
    </w:p>
    <w:p>
      <w:pPr>
        <w:pStyle w:val="LegalLevel2"/>
      </w:pPr>
      <w:r>
        <w:rPr>
          <w:rFonts w:ascii="Times New Roman" w:hAnsi="Times New Roman"/>
          <w:color w:val="1F2937"/>
          <w:sz w:val="20"/>
        </w:rPr>
        <w:t>(1) the content of the communication;</w:t>
      </w:r>
    </w:p>
    <w:p>
      <w:pPr>
        <w:pStyle w:val="LegalLevel2"/>
      </w:pPr>
      <w:r>
        <w:rPr>
          <w:rFonts w:ascii="Times New Roman" w:hAnsi="Times New Roman"/>
          <w:color w:val="1F2937"/>
          <w:sz w:val="20"/>
        </w:rPr>
        <w:t>(2) the identity of the purchaser;</w:t>
      </w:r>
    </w:p>
    <w:p>
      <w:pPr>
        <w:pStyle w:val="LegalLevel2"/>
      </w:pPr>
      <w:r>
        <w:rPr>
          <w:rFonts w:ascii="Times New Roman" w:hAnsi="Times New Roman"/>
          <w:color w:val="1F2937"/>
          <w:sz w:val="20"/>
        </w:rPr>
        <w:t>(3) the amount paid;</w:t>
      </w:r>
    </w:p>
    <w:p>
      <w:pPr>
        <w:pStyle w:val="LegalLevel2"/>
      </w:pPr>
      <w:r>
        <w:rPr>
          <w:rFonts w:ascii="Times New Roman" w:hAnsi="Times New Roman"/>
          <w:color w:val="1F2937"/>
          <w:sz w:val="20"/>
        </w:rPr>
        <w:t>(4) the dates and times of dissemination;</w:t>
      </w:r>
    </w:p>
    <w:p>
      <w:pPr>
        <w:pStyle w:val="LegalLevel2"/>
      </w:pPr>
      <w:r>
        <w:rPr>
          <w:rFonts w:ascii="Times New Roman" w:hAnsi="Times New Roman"/>
          <w:color w:val="1F2937"/>
          <w:sz w:val="20"/>
        </w:rPr>
        <w:t>(5) targeting parameters used;</w:t>
      </w:r>
    </w:p>
    <w:p>
      <w:pPr>
        <w:pStyle w:val="LegalLevel2"/>
      </w:pPr>
      <w:r>
        <w:rPr>
          <w:rFonts w:ascii="Times New Roman" w:hAnsi="Times New Roman"/>
          <w:color w:val="1F2937"/>
          <w:sz w:val="20"/>
        </w:rPr>
        <w:t>(6) total impressions or estimated reach; and</w:t>
      </w:r>
    </w:p>
    <w:p>
      <w:pPr>
        <w:pStyle w:val="LegalLevel2"/>
      </w:pPr>
      <w:r>
        <w:rPr>
          <w:rFonts w:ascii="Times New Roman" w:hAnsi="Times New Roman"/>
          <w:color w:val="1F2937"/>
          <w:sz w:val="20"/>
        </w:rPr>
        <w:t>(7) any disclaimer required by law.</w:t>
      </w:r>
    </w:p>
    <w:p>
      <w:pPr>
        <w:pStyle w:val="LegalLevel1"/>
      </w:pPr>
      <w:r>
        <w:rPr>
          <w:rFonts w:ascii="Times New Roman" w:hAnsi="Times New Roman"/>
          <w:color w:val="1F2937"/>
          <w:sz w:val="20"/>
        </w:rPr>
        <w:t>(b) Every such communication shall include a clear and conspicuous disclaimer identifying the sponsor and, where applicable, the major donors or controlling persons required by title VI.</w:t>
      </w:r>
    </w:p>
    <w:p>
      <w:pPr>
        <w:pStyle w:val="LegalLevel1"/>
      </w:pPr>
      <w:r>
        <w:rPr>
          <w:rFonts w:ascii="Times New Roman" w:hAnsi="Times New Roman"/>
          <w:color w:val="1F2937"/>
          <w:sz w:val="20"/>
        </w:rPr>
        <w:t>(c) No covered digital platform shall accept payment to disseminate a communication concerning voting procedures, turnout logistics, registration, or ballot return that is targeted on the basis of race, ethnicity, religion, national origin, immigration status, disability status, health status, or precise geolocation around a polling place, drop box, election office, or campus residence hall.</w:t>
      </w:r>
    </w:p>
    <w:p>
      <w:pPr>
        <w:pStyle w:val="LegalLevel1"/>
      </w:pPr>
      <w:r>
        <w:rPr>
          <w:rFonts w:ascii="Times New Roman" w:hAnsi="Times New Roman"/>
          <w:color w:val="1F2937"/>
          <w:sz w:val="20"/>
        </w:rPr>
        <w:t>(d) The Commission may by regulation extend subsection (c) to additional categories of sensitive targeting where necessary to prevent manipulative voter suppression and where consistent with the First Amendment.</w:t>
      </w:r>
    </w:p>
    <w:p>
      <w:pPr>
        <w:pStyle w:val="SectionHeading"/>
      </w:pPr>
      <w:r>
        <w:rPr>
          <w:rFonts w:ascii="Calibri" w:hAnsi="Calibri"/>
          <w:b/>
          <w:color w:val="0B2545"/>
          <w:sz w:val="19"/>
        </w:rPr>
        <w:t>SEC. 306. FOREIGN-INFLUENCE SAFEGUARDS AND INAUTHENTIC AMPLIFICATION.</w:t>
      </w:r>
    </w:p>
    <w:p>
      <w:pPr>
        <w:pStyle w:val="LegalLevel1"/>
      </w:pPr>
      <w:r>
        <w:rPr>
          <w:rFonts w:ascii="Times New Roman" w:hAnsi="Times New Roman"/>
          <w:color w:val="1F2937"/>
          <w:sz w:val="20"/>
        </w:rPr>
        <w:t>(a) No foreign national, foreign principal, or foreign-influenced entity may purchase or finance a covered public election communication relating to an election for Federal office.</w:t>
      </w:r>
    </w:p>
    <w:p>
      <w:pPr>
        <w:pStyle w:val="LegalLevel1"/>
      </w:pPr>
      <w:r>
        <w:rPr>
          <w:rFonts w:ascii="Times New Roman" w:hAnsi="Times New Roman"/>
          <w:color w:val="1F2937"/>
          <w:sz w:val="20"/>
        </w:rPr>
        <w:t>(b) No person shall knowingly use coordinated inauthentic accounts, bot networks, fake personas, or undisclosed paid influencers to disseminate materially false information prohibited by section 302 or to evade the sponsor-disclosure rules of this Act.</w:t>
      </w:r>
    </w:p>
    <w:p>
      <w:pPr>
        <w:pStyle w:val="LegalLevel1"/>
      </w:pPr>
      <w:r>
        <w:rPr>
          <w:rFonts w:ascii="Times New Roman" w:hAnsi="Times New Roman"/>
          <w:color w:val="1F2937"/>
          <w:sz w:val="20"/>
        </w:rPr>
        <w:t>(c) Each covered digital platform shall maintain an expedited reporting channel for election officials to report communications that appear to violate sections 302 through 307.</w:t>
      </w:r>
    </w:p>
    <w:p>
      <w:pPr>
        <w:pStyle w:val="LegalLevel1"/>
      </w:pPr>
      <w:r>
        <w:rPr>
          <w:rFonts w:ascii="Times New Roman" w:hAnsi="Times New Roman"/>
          <w:color w:val="1F2937"/>
          <w:sz w:val="20"/>
        </w:rPr>
        <w:t>(d) Upon receipt of a facially valid notice identifying a paid communication that appears to violate this title, the platform shall promptly review the matter and, if a violation is confirmed, remove, disable, or label the communication and preserve records for enforcement purposes.</w:t>
      </w:r>
    </w:p>
    <w:p>
      <w:pPr>
        <w:pStyle w:val="SectionHeading"/>
      </w:pPr>
      <w:r>
        <w:rPr>
          <w:rFonts w:ascii="Calibri" w:hAnsi="Calibri"/>
          <w:b/>
          <w:color w:val="0B2545"/>
          <w:sz w:val="19"/>
        </w:rPr>
        <w:t>SEC. 307. AI-GENERATED ROBOCALLS, TEXTS, AND IMPERSONATION.</w:t>
      </w:r>
    </w:p>
    <w:p>
      <w:pPr>
        <w:pStyle w:val="LegalLevel1"/>
      </w:pPr>
      <w:r>
        <w:rPr>
          <w:rFonts w:ascii="Times New Roman" w:hAnsi="Times New Roman"/>
          <w:color w:val="1F2937"/>
          <w:sz w:val="20"/>
        </w:rPr>
        <w:t>(a) It shall be unlawful to originate or transmit a robocall, autodialed text, or comparable mass communication in connection with an election for Federal office that—</w:t>
      </w:r>
    </w:p>
    <w:p>
      <w:pPr>
        <w:pStyle w:val="LegalLevel2"/>
      </w:pPr>
      <w:r>
        <w:rPr>
          <w:rFonts w:ascii="Times New Roman" w:hAnsi="Times New Roman"/>
          <w:color w:val="1F2937"/>
          <w:sz w:val="20"/>
        </w:rPr>
        <w:t>(1) uses artificial or synthetic voice or text to impersonate a candidate, campaign, political party, or election official without clear disclosure; or</w:t>
      </w:r>
    </w:p>
    <w:p>
      <w:pPr>
        <w:pStyle w:val="LegalLevel2"/>
      </w:pPr>
      <w:r>
        <w:rPr>
          <w:rFonts w:ascii="Times New Roman" w:hAnsi="Times New Roman"/>
          <w:color w:val="1F2937"/>
          <w:sz w:val="20"/>
        </w:rPr>
        <w:t>(2) contains materially false information prohibited by section 302.</w:t>
      </w:r>
    </w:p>
    <w:p>
      <w:pPr>
        <w:pStyle w:val="LegalLevel1"/>
      </w:pPr>
      <w:r>
        <w:rPr>
          <w:rFonts w:ascii="Times New Roman" w:hAnsi="Times New Roman"/>
          <w:color w:val="1F2937"/>
          <w:sz w:val="20"/>
        </w:rPr>
        <w:t>(b) The Federal Communications Commission and the Federal Trade Commission shall jointly enforce this section, in addition to any other applicable law.</w:t>
      </w:r>
    </w:p>
    <w:p>
      <w:pPr>
        <w:pStyle w:val="SectionHeading"/>
      </w:pPr>
      <w:r>
        <w:rPr>
          <w:rFonts w:ascii="Calibri" w:hAnsi="Calibri"/>
          <w:b/>
          <w:color w:val="0B2545"/>
          <w:sz w:val="19"/>
        </w:rPr>
        <w:t>SEC. 308. ETHICAL VOTER-ENGAGEMENT STANDARDS FOR FEDERALLY SUPPORTED OUTREACH.</w:t>
      </w:r>
    </w:p>
    <w:p>
      <w:pPr>
        <w:pStyle w:val="LegalLevel1"/>
      </w:pPr>
      <w:r>
        <w:rPr>
          <w:rFonts w:ascii="Times New Roman" w:hAnsi="Times New Roman"/>
          <w:color w:val="1F2937"/>
          <w:sz w:val="20"/>
        </w:rPr>
        <w:t>(a) Any person receiving funds under section 301 or any other Federal program for voter outreach shall—</w:t>
      </w:r>
    </w:p>
    <w:p>
      <w:pPr>
        <w:pStyle w:val="LegalLevel2"/>
      </w:pPr>
      <w:r>
        <w:rPr>
          <w:rFonts w:ascii="Times New Roman" w:hAnsi="Times New Roman"/>
          <w:color w:val="1F2937"/>
          <w:sz w:val="20"/>
        </w:rPr>
        <w:t>(1) use factual and sourceable information;</w:t>
      </w:r>
    </w:p>
    <w:p>
      <w:pPr>
        <w:pStyle w:val="LegalLevel2"/>
      </w:pPr>
      <w:r>
        <w:rPr>
          <w:rFonts w:ascii="Times New Roman" w:hAnsi="Times New Roman"/>
          <w:color w:val="1F2937"/>
          <w:sz w:val="20"/>
        </w:rPr>
        <w:t>(2) disclose the sponsoring organization;</w:t>
      </w:r>
    </w:p>
    <w:p>
      <w:pPr>
        <w:pStyle w:val="LegalLevel2"/>
      </w:pPr>
      <w:r>
        <w:rPr>
          <w:rFonts w:ascii="Times New Roman" w:hAnsi="Times New Roman"/>
          <w:color w:val="1F2937"/>
          <w:sz w:val="20"/>
        </w:rPr>
        <w:t>(3) provide equal service without regard to party preference or political viewpoint;</w:t>
      </w:r>
    </w:p>
    <w:p>
      <w:pPr>
        <w:pStyle w:val="LegalLevel2"/>
      </w:pPr>
      <w:r>
        <w:rPr>
          <w:rFonts w:ascii="Times New Roman" w:hAnsi="Times New Roman"/>
          <w:color w:val="1F2937"/>
          <w:sz w:val="20"/>
        </w:rPr>
        <w:t>(4) refrain from coercion, threats, or conditioning benefits on voting behavior;</w:t>
      </w:r>
    </w:p>
    <w:p>
      <w:pPr>
        <w:pStyle w:val="LegalLevel2"/>
      </w:pPr>
      <w:r>
        <w:rPr>
          <w:rFonts w:ascii="Times New Roman" w:hAnsi="Times New Roman"/>
          <w:color w:val="1F2937"/>
          <w:sz w:val="20"/>
        </w:rPr>
        <w:t>(5) maintain accessibility and language access; and</w:t>
      </w:r>
    </w:p>
    <w:p>
      <w:pPr>
        <w:pStyle w:val="LegalLevel2"/>
      </w:pPr>
      <w:r>
        <w:rPr>
          <w:rFonts w:ascii="Times New Roman" w:hAnsi="Times New Roman"/>
          <w:color w:val="1F2937"/>
          <w:sz w:val="20"/>
        </w:rPr>
        <w:t>(6) refrain from using personal data collected for voter outreach for unrelated commercial purposes.</w:t>
      </w:r>
    </w:p>
    <w:p>
      <w:pPr>
        <w:pStyle w:val="LegalLevel1"/>
      </w:pPr>
      <w:r>
        <w:rPr>
          <w:rFonts w:ascii="Times New Roman" w:hAnsi="Times New Roman"/>
          <w:color w:val="1F2937"/>
          <w:sz w:val="20"/>
        </w:rPr>
        <w:t>(b) A material violation of this section shall be grounds for grant termination, repayment, and debarment from future grants under this Act.</w:t>
      </w:r>
    </w:p>
    <w:p>
      <w:pPr>
        <w:pStyle w:val="SectionHeading"/>
      </w:pPr>
      <w:r>
        <w:rPr>
          <w:rFonts w:ascii="Calibri" w:hAnsi="Calibri"/>
          <w:b/>
          <w:color w:val="0B2545"/>
          <w:sz w:val="19"/>
        </w:rPr>
        <w:t>SEC. 309. RULES OF CONSTRUCTION AND FIRST AMENDMENT PROTECTIONS.</w:t>
      </w:r>
    </w:p>
    <w:p>
      <w:pPr>
        <w:pStyle w:val="LegalLevel1"/>
      </w:pPr>
      <w:r>
        <w:rPr>
          <w:rFonts w:ascii="Times New Roman" w:hAnsi="Times New Roman"/>
          <w:color w:val="1F2937"/>
          <w:sz w:val="20"/>
        </w:rPr>
        <w:t>(a) Nothing in this title shall be construed to prohibit or penalize opinion, editorial commentary, satire, ordinary political advocacy, or debate concerning public issues, except to the extent such communication is otherwise prohibited as a knowing materially false statement of fact about voting mechanics or a deceptive impersonation covered by this title.</w:t>
      </w:r>
    </w:p>
    <w:p>
      <w:pPr>
        <w:pStyle w:val="LegalLevel1"/>
      </w:pPr>
      <w:r>
        <w:rPr>
          <w:rFonts w:ascii="Times New Roman" w:hAnsi="Times New Roman"/>
          <w:color w:val="1F2937"/>
          <w:sz w:val="20"/>
        </w:rPr>
        <w:t>(b) No liability shall attach to a covered digital platform solely for hosting unpaid third-party speech absent actual knowledge and a failure to take commercially reasonable action required by this title with respect to paid communications or impersonation notices.</w:t>
      </w:r>
    </w:p>
    <w:p>
      <w:pPr>
        <w:pStyle w:val="LegalLevel1"/>
      </w:pPr>
      <w:r>
        <w:rPr>
          <w:rFonts w:ascii="Times New Roman" w:hAnsi="Times New Roman"/>
          <w:color w:val="1F2937"/>
          <w:sz w:val="20"/>
        </w:rPr>
        <w:t>(c) Relief under this title shall be narrowly tailored.</w:t>
      </w:r>
    </w:p>
    <w:p>
      <w:pPr>
        <w:pStyle w:val="TitleHeading"/>
      </w:pPr>
      <w:r>
        <w:rPr>
          <w:rFonts w:ascii="Calibri" w:hAnsi="Calibri"/>
          <w:b/>
          <w:color w:val="0B2545"/>
          <w:sz w:val="20"/>
        </w:rPr>
        <w:t>TITLE IV — ELECTION SECURITY, CYBER RESILIENCE, AND AUDITABILITY</w:t>
      </w:r>
    </w:p>
    <w:p>
      <w:pPr>
        <w:pStyle w:val="SectionHeading"/>
      </w:pPr>
      <w:r>
        <w:rPr>
          <w:rFonts w:ascii="Calibri" w:hAnsi="Calibri"/>
          <w:b/>
          <w:color w:val="0B2545"/>
          <w:sz w:val="19"/>
        </w:rPr>
        <w:t>SEC. 401. PAPER BALLOTS AND VOTER-VERIFIABLE PAPER RECORDS.</w:t>
      </w:r>
    </w:p>
    <w:p>
      <w:pPr>
        <w:pStyle w:val="LegalLevel1"/>
      </w:pPr>
      <w:r>
        <w:rPr>
          <w:rFonts w:ascii="Times New Roman" w:hAnsi="Times New Roman"/>
          <w:color w:val="1F2937"/>
          <w:sz w:val="20"/>
        </w:rPr>
        <w:t>(a) Each vote cast in an election for Federal office shall be recorded on a paper ballot or voter-verifiable paper record that constitutes the official ballot of record for recounts and audits.</w:t>
      </w:r>
    </w:p>
    <w:p>
      <w:pPr>
        <w:pStyle w:val="LegalLevel1"/>
      </w:pPr>
      <w:r>
        <w:rPr>
          <w:rFonts w:ascii="Times New Roman" w:hAnsi="Times New Roman"/>
          <w:color w:val="1F2937"/>
          <w:sz w:val="20"/>
        </w:rPr>
        <w:t>(b) A voting system that does not produce such a record shall not be used in an election for Federal office.</w:t>
      </w:r>
    </w:p>
    <w:p>
      <w:pPr>
        <w:pStyle w:val="SectionHeading"/>
      </w:pPr>
      <w:r>
        <w:rPr>
          <w:rFonts w:ascii="Calibri" w:hAnsi="Calibri"/>
          <w:b/>
          <w:color w:val="0B2545"/>
          <w:sz w:val="19"/>
        </w:rPr>
        <w:t>SEC. 402. ISOLATION OF VOTING SYSTEMS FROM THE INTERNET.</w:t>
      </w:r>
    </w:p>
    <w:p>
      <w:pPr>
        <w:pStyle w:val="LegalLevel1"/>
      </w:pPr>
      <w:r>
        <w:rPr>
          <w:rFonts w:ascii="Times New Roman" w:hAnsi="Times New Roman"/>
          <w:color w:val="1F2937"/>
          <w:sz w:val="20"/>
        </w:rPr>
        <w:t>(a) No voting machine, ballot scanner, central tabulator, election-management system, or e-pollbook used to cast, scan, tally, or adjudicate ballots in an election for Federal office may be connected to the internet while such function is being performed.</w:t>
      </w:r>
    </w:p>
    <w:p>
      <w:pPr>
        <w:pStyle w:val="LegalLevel1"/>
      </w:pPr>
      <w:r>
        <w:rPr>
          <w:rFonts w:ascii="Times New Roman" w:hAnsi="Times New Roman"/>
          <w:color w:val="1F2937"/>
          <w:sz w:val="20"/>
        </w:rPr>
        <w:t>(b) Wireless modems and remote-access functionality shall be prohibited in such systems, except that the Commission may authorize narrowly tailored emergency exceptions for non-tabulation functions if equivalent security and auditable isolation are maintained.</w:t>
      </w:r>
    </w:p>
    <w:p>
      <w:pPr>
        <w:pStyle w:val="SectionHeading"/>
      </w:pPr>
      <w:r>
        <w:rPr>
          <w:rFonts w:ascii="Calibri" w:hAnsi="Calibri"/>
          <w:b/>
          <w:color w:val="0B2545"/>
          <w:sz w:val="19"/>
        </w:rPr>
        <w:t>SEC. 403. MANDATORY FEDERAL SECURITY BASELINE FOR VOTING SYSTEMS USED IN FEDERAL ELECTIONS.</w:t>
      </w:r>
    </w:p>
    <w:p>
      <w:pPr>
        <w:pStyle w:val="LegalLevel1"/>
      </w:pPr>
      <w:r>
        <w:rPr>
          <w:rFonts w:ascii="Times New Roman" w:hAnsi="Times New Roman"/>
          <w:color w:val="1F2937"/>
          <w:sz w:val="20"/>
        </w:rPr>
        <w:t>(a) Not later than 1 year after enactment, the Election Assistance Commission, in consultation with NIST and CISA, shall promulgate a mandatory minimum security baseline for any voting system used in an election for Federal office.</w:t>
      </w:r>
    </w:p>
    <w:p>
      <w:pPr>
        <w:pStyle w:val="LegalLevel1"/>
      </w:pPr>
      <w:r>
        <w:rPr>
          <w:rFonts w:ascii="Times New Roman" w:hAnsi="Times New Roman"/>
          <w:color w:val="1F2937"/>
          <w:sz w:val="20"/>
        </w:rPr>
        <w:t>(b) The baseline shall include requirements for—</w:t>
      </w:r>
    </w:p>
    <w:p>
      <w:pPr>
        <w:pStyle w:val="LegalLevel2"/>
      </w:pPr>
      <w:r>
        <w:rPr>
          <w:rFonts w:ascii="Times New Roman" w:hAnsi="Times New Roman"/>
          <w:color w:val="1F2937"/>
          <w:sz w:val="20"/>
        </w:rPr>
        <w:t>(1) multi-factor authentication;</w:t>
      </w:r>
    </w:p>
    <w:p>
      <w:pPr>
        <w:pStyle w:val="LegalLevel2"/>
      </w:pPr>
      <w:r>
        <w:rPr>
          <w:rFonts w:ascii="Times New Roman" w:hAnsi="Times New Roman"/>
          <w:color w:val="1F2937"/>
          <w:sz w:val="20"/>
        </w:rPr>
        <w:t>(2) access logging;</w:t>
      </w:r>
    </w:p>
    <w:p>
      <w:pPr>
        <w:pStyle w:val="LegalLevel2"/>
      </w:pPr>
      <w:r>
        <w:rPr>
          <w:rFonts w:ascii="Times New Roman" w:hAnsi="Times New Roman"/>
          <w:color w:val="1F2937"/>
          <w:sz w:val="20"/>
        </w:rPr>
        <w:t>(3) software integrity and code signing;</w:t>
      </w:r>
    </w:p>
    <w:p>
      <w:pPr>
        <w:pStyle w:val="LegalLevel2"/>
      </w:pPr>
      <w:r>
        <w:rPr>
          <w:rFonts w:ascii="Times New Roman" w:hAnsi="Times New Roman"/>
          <w:color w:val="1F2937"/>
          <w:sz w:val="20"/>
        </w:rPr>
        <w:t>(4) removable-media controls;</w:t>
      </w:r>
    </w:p>
    <w:p>
      <w:pPr>
        <w:pStyle w:val="LegalLevel2"/>
      </w:pPr>
      <w:r>
        <w:rPr>
          <w:rFonts w:ascii="Times New Roman" w:hAnsi="Times New Roman"/>
          <w:color w:val="1F2937"/>
          <w:sz w:val="20"/>
        </w:rPr>
        <w:t>(5) encryption of data at rest and in transit where applicable;</w:t>
      </w:r>
    </w:p>
    <w:p>
      <w:pPr>
        <w:pStyle w:val="LegalLevel2"/>
      </w:pPr>
      <w:r>
        <w:rPr>
          <w:rFonts w:ascii="Times New Roman" w:hAnsi="Times New Roman"/>
          <w:color w:val="1F2937"/>
          <w:sz w:val="20"/>
        </w:rPr>
        <w:t>(6) vulnerability disclosure and patch management;</w:t>
      </w:r>
    </w:p>
    <w:p>
      <w:pPr>
        <w:pStyle w:val="LegalLevel2"/>
      </w:pPr>
      <w:r>
        <w:rPr>
          <w:rFonts w:ascii="Times New Roman" w:hAnsi="Times New Roman"/>
          <w:color w:val="1F2937"/>
          <w:sz w:val="20"/>
        </w:rPr>
        <w:t>(7) logic and accuracy testing;</w:t>
      </w:r>
    </w:p>
    <w:p>
      <w:pPr>
        <w:pStyle w:val="LegalLevel2"/>
      </w:pPr>
      <w:r>
        <w:rPr>
          <w:rFonts w:ascii="Times New Roman" w:hAnsi="Times New Roman"/>
          <w:color w:val="1F2937"/>
          <w:sz w:val="20"/>
        </w:rPr>
        <w:t>(8) backup and recovery;</w:t>
      </w:r>
    </w:p>
    <w:p>
      <w:pPr>
        <w:pStyle w:val="LegalLevel2"/>
      </w:pPr>
      <w:r>
        <w:rPr>
          <w:rFonts w:ascii="Times New Roman" w:hAnsi="Times New Roman"/>
          <w:color w:val="1F2937"/>
          <w:sz w:val="20"/>
        </w:rPr>
        <w:t>(9) physical security; and</w:t>
      </w:r>
    </w:p>
    <w:p>
      <w:pPr>
        <w:pStyle w:val="LegalLevel2"/>
      </w:pPr>
      <w:r>
        <w:rPr>
          <w:rFonts w:ascii="Times New Roman" w:hAnsi="Times New Roman"/>
          <w:color w:val="1F2937"/>
          <w:sz w:val="20"/>
        </w:rPr>
        <w:t>(10) personnel background screening and separation of duties appropriate to election security.</w:t>
      </w:r>
    </w:p>
    <w:p>
      <w:pPr>
        <w:pStyle w:val="SectionHeading"/>
      </w:pPr>
      <w:r>
        <w:rPr>
          <w:rFonts w:ascii="Calibri" w:hAnsi="Calibri"/>
          <w:b/>
          <w:color w:val="0B2545"/>
          <w:sz w:val="19"/>
        </w:rPr>
        <w:t>SEC. 404. VENDOR, SOFTWARE, AND SUPPLY-CHAIN SECURITY OBLIGATIONS.</w:t>
      </w:r>
    </w:p>
    <w:p>
      <w:pPr>
        <w:pStyle w:val="LegalLevel1"/>
      </w:pPr>
      <w:r>
        <w:rPr>
          <w:rFonts w:ascii="Times New Roman" w:hAnsi="Times New Roman"/>
          <w:color w:val="1F2937"/>
          <w:sz w:val="20"/>
        </w:rPr>
        <w:t>(a) A vendor supplying hardware, software, cloud services, or support for voting systems used in an election for Federal office shall—</w:t>
      </w:r>
    </w:p>
    <w:p>
      <w:pPr>
        <w:pStyle w:val="LegalLevel2"/>
      </w:pPr>
      <w:r>
        <w:rPr>
          <w:rFonts w:ascii="Times New Roman" w:hAnsi="Times New Roman"/>
          <w:color w:val="1F2937"/>
          <w:sz w:val="20"/>
        </w:rPr>
        <w:t>(1) disclose beneficial ownership interests of 5 percent or more;</w:t>
      </w:r>
    </w:p>
    <w:p>
      <w:pPr>
        <w:pStyle w:val="LegalLevel2"/>
      </w:pPr>
      <w:r>
        <w:rPr>
          <w:rFonts w:ascii="Times New Roman" w:hAnsi="Times New Roman"/>
          <w:color w:val="1F2937"/>
          <w:sz w:val="20"/>
        </w:rPr>
        <w:t>(2) disclose any parent, subsidiary, or affiliate relationships;</w:t>
      </w:r>
    </w:p>
    <w:p>
      <w:pPr>
        <w:pStyle w:val="LegalLevel2"/>
      </w:pPr>
      <w:r>
        <w:rPr>
          <w:rFonts w:ascii="Times New Roman" w:hAnsi="Times New Roman"/>
          <w:color w:val="1F2937"/>
          <w:sz w:val="20"/>
        </w:rPr>
        <w:t>(3) maintain a software bill of materials;</w:t>
      </w:r>
    </w:p>
    <w:p>
      <w:pPr>
        <w:pStyle w:val="LegalLevel2"/>
      </w:pPr>
      <w:r>
        <w:rPr>
          <w:rFonts w:ascii="Times New Roman" w:hAnsi="Times New Roman"/>
          <w:color w:val="1F2937"/>
          <w:sz w:val="20"/>
        </w:rPr>
        <w:t>(4) use secure software development practices;</w:t>
      </w:r>
    </w:p>
    <w:p>
      <w:pPr>
        <w:pStyle w:val="LegalLevel2"/>
      </w:pPr>
      <w:r>
        <w:rPr>
          <w:rFonts w:ascii="Times New Roman" w:hAnsi="Times New Roman"/>
          <w:color w:val="1F2937"/>
          <w:sz w:val="20"/>
        </w:rPr>
        <w:t>(5) escrow source code and build artifacts as the Commission may require; and</w:t>
      </w:r>
    </w:p>
    <w:p>
      <w:pPr>
        <w:pStyle w:val="LegalLevel2"/>
      </w:pPr>
      <w:r>
        <w:rPr>
          <w:rFonts w:ascii="Times New Roman" w:hAnsi="Times New Roman"/>
          <w:color w:val="1F2937"/>
          <w:sz w:val="20"/>
        </w:rPr>
        <w:t>(6) report material cybersecurity vulnerabilities and incidents.</w:t>
      </w:r>
    </w:p>
    <w:p>
      <w:pPr>
        <w:pStyle w:val="LegalLevel1"/>
      </w:pPr>
      <w:r>
        <w:rPr>
          <w:rFonts w:ascii="Times New Roman" w:hAnsi="Times New Roman"/>
          <w:color w:val="1F2937"/>
          <w:sz w:val="20"/>
        </w:rPr>
        <w:t>(b) No vendor shall be eligible to provide a system used in a Federal election if the vendor is owned or controlled by a foreign adversary, is subject to sanctions relating to cyber or election interference, or fails to satisfy the security requirements of this title.</w:t>
      </w:r>
    </w:p>
    <w:p>
      <w:pPr>
        <w:pStyle w:val="SectionHeading"/>
      </w:pPr>
      <w:r>
        <w:rPr>
          <w:rFonts w:ascii="Calibri" w:hAnsi="Calibri"/>
          <w:b/>
          <w:color w:val="0B2545"/>
          <w:sz w:val="19"/>
        </w:rPr>
        <w:t>SEC. 405. CYBER INCIDENT REPORTING.</w:t>
      </w:r>
    </w:p>
    <w:p>
      <w:pPr>
        <w:pStyle w:val="LegalLevel1"/>
      </w:pPr>
      <w:r>
        <w:rPr>
          <w:rFonts w:ascii="Times New Roman" w:hAnsi="Times New Roman"/>
          <w:color w:val="1F2937"/>
          <w:sz w:val="20"/>
        </w:rPr>
        <w:t>(a) Each State election office and each covered vendor shall report any substantial cybersecurity incident affecting a system used in a Federal election to CISA, the FBI, the Election Assistance Commission, and the appropriate State election official within 24 hours after discovery.</w:t>
      </w:r>
    </w:p>
    <w:p>
      <w:pPr>
        <w:pStyle w:val="LegalLevel1"/>
      </w:pPr>
      <w:r>
        <w:rPr>
          <w:rFonts w:ascii="Times New Roman" w:hAnsi="Times New Roman"/>
          <w:color w:val="1F2937"/>
          <w:sz w:val="20"/>
        </w:rPr>
        <w:t>(b) A public incident summary shall be issued not later than 72 hours after confirmation, except that details whose disclosure would materially increase security risk may be temporarily withheld.</w:t>
      </w:r>
    </w:p>
    <w:p>
      <w:pPr>
        <w:pStyle w:val="LegalLevel1"/>
      </w:pPr>
      <w:r>
        <w:rPr>
          <w:rFonts w:ascii="Times New Roman" w:hAnsi="Times New Roman"/>
          <w:color w:val="1F2937"/>
          <w:sz w:val="20"/>
        </w:rPr>
        <w:t>(c) CISA shall provide incident-response assistance upon request.</w:t>
      </w:r>
    </w:p>
    <w:p>
      <w:pPr>
        <w:pStyle w:val="SectionHeading"/>
      </w:pPr>
      <w:r>
        <w:rPr>
          <w:rFonts w:ascii="Calibri" w:hAnsi="Calibri"/>
          <w:b/>
          <w:color w:val="0B2545"/>
          <w:sz w:val="19"/>
        </w:rPr>
        <w:t>SEC. 406. CONTINUITY OF OPERATIONS AND CONTINGENCY PLANNING.</w:t>
      </w:r>
    </w:p>
    <w:p>
      <w:pPr>
        <w:pStyle w:val="LegalLevel1"/>
      </w:pPr>
      <w:r>
        <w:rPr>
          <w:rFonts w:ascii="Times New Roman" w:hAnsi="Times New Roman"/>
          <w:color w:val="1F2937"/>
          <w:sz w:val="20"/>
        </w:rPr>
        <w:t>(a) Each State shall maintain a written continuity-of-operations plan for Federal elections, including—</w:t>
      </w:r>
    </w:p>
    <w:p>
      <w:pPr>
        <w:pStyle w:val="LegalLevel2"/>
      </w:pPr>
      <w:r>
        <w:rPr>
          <w:rFonts w:ascii="Times New Roman" w:hAnsi="Times New Roman"/>
          <w:color w:val="1F2937"/>
          <w:sz w:val="20"/>
        </w:rPr>
        <w:t>(1) emergency paper-ballot capacity;</w:t>
      </w:r>
    </w:p>
    <w:p>
      <w:pPr>
        <w:pStyle w:val="LegalLevel2"/>
      </w:pPr>
      <w:r>
        <w:rPr>
          <w:rFonts w:ascii="Times New Roman" w:hAnsi="Times New Roman"/>
          <w:color w:val="1F2937"/>
          <w:sz w:val="20"/>
        </w:rPr>
        <w:t>(2) backup pollbooks;</w:t>
      </w:r>
    </w:p>
    <w:p>
      <w:pPr>
        <w:pStyle w:val="LegalLevel2"/>
      </w:pPr>
      <w:r>
        <w:rPr>
          <w:rFonts w:ascii="Times New Roman" w:hAnsi="Times New Roman"/>
          <w:color w:val="1F2937"/>
          <w:sz w:val="20"/>
        </w:rPr>
        <w:t>(3) alternative polling locations;</w:t>
      </w:r>
    </w:p>
    <w:p>
      <w:pPr>
        <w:pStyle w:val="LegalLevel2"/>
      </w:pPr>
      <w:r>
        <w:rPr>
          <w:rFonts w:ascii="Times New Roman" w:hAnsi="Times New Roman"/>
          <w:color w:val="1F2937"/>
          <w:sz w:val="20"/>
        </w:rPr>
        <w:t>(4) restoration of voter files;</w:t>
      </w:r>
    </w:p>
    <w:p>
      <w:pPr>
        <w:pStyle w:val="LegalLevel2"/>
      </w:pPr>
      <w:r>
        <w:rPr>
          <w:rFonts w:ascii="Times New Roman" w:hAnsi="Times New Roman"/>
          <w:color w:val="1F2937"/>
          <w:sz w:val="20"/>
        </w:rPr>
        <w:t>(5) contingency procedures for power loss, cyberattack, natural disaster, civil disturbance, or equipment failure; and</w:t>
      </w:r>
    </w:p>
    <w:p>
      <w:pPr>
        <w:pStyle w:val="LegalLevel2"/>
      </w:pPr>
      <w:r>
        <w:rPr>
          <w:rFonts w:ascii="Times New Roman" w:hAnsi="Times New Roman"/>
          <w:color w:val="1F2937"/>
          <w:sz w:val="20"/>
        </w:rPr>
        <w:t>(6) public communication protocols.</w:t>
      </w:r>
    </w:p>
    <w:p>
      <w:pPr>
        <w:pStyle w:val="LegalLevel1"/>
      </w:pPr>
      <w:r>
        <w:rPr>
          <w:rFonts w:ascii="Times New Roman" w:hAnsi="Times New Roman"/>
          <w:color w:val="1F2937"/>
          <w:sz w:val="20"/>
        </w:rPr>
        <w:t>(b) Such plan shall be updated at least biennially and tested by tabletop exercise.</w:t>
      </w:r>
    </w:p>
    <w:p>
      <w:pPr>
        <w:pStyle w:val="SectionHeading"/>
      </w:pPr>
      <w:r>
        <w:rPr>
          <w:rFonts w:ascii="Calibri" w:hAnsi="Calibri"/>
          <w:b/>
          <w:color w:val="0B2545"/>
          <w:sz w:val="19"/>
        </w:rPr>
        <w:t>SEC. 407. RISK-LIMITING AUDITS.</w:t>
      </w:r>
    </w:p>
    <w:p>
      <w:pPr>
        <w:pStyle w:val="LegalLevel1"/>
      </w:pPr>
      <w:r>
        <w:rPr>
          <w:rFonts w:ascii="Times New Roman" w:hAnsi="Times New Roman"/>
          <w:color w:val="1F2937"/>
          <w:sz w:val="20"/>
        </w:rPr>
        <w:t>(a) Each State shall conduct a risk-limiting audit of every election for Federal office before certification.</w:t>
      </w:r>
    </w:p>
    <w:p>
      <w:pPr>
        <w:pStyle w:val="LegalLevel1"/>
      </w:pPr>
      <w:r>
        <w:rPr>
          <w:rFonts w:ascii="Times New Roman" w:hAnsi="Times New Roman"/>
          <w:color w:val="1F2937"/>
          <w:sz w:val="20"/>
        </w:rPr>
        <w:t>(b) The risk limit shall not exceed 5 percent, except that a lower risk limit may be used.</w:t>
      </w:r>
    </w:p>
    <w:p>
      <w:pPr>
        <w:pStyle w:val="LegalLevel1"/>
      </w:pPr>
      <w:r>
        <w:rPr>
          <w:rFonts w:ascii="Times New Roman" w:hAnsi="Times New Roman"/>
          <w:color w:val="1F2937"/>
          <w:sz w:val="20"/>
        </w:rPr>
        <w:t>(c) If discrepancies exceed thresholds established by the Commission, the audit shall escalate, up to and including a full hand count where necessary.</w:t>
      </w:r>
    </w:p>
    <w:p>
      <w:pPr>
        <w:pStyle w:val="LegalLevel1"/>
      </w:pPr>
      <w:r>
        <w:rPr>
          <w:rFonts w:ascii="Times New Roman" w:hAnsi="Times New Roman"/>
          <w:color w:val="1F2937"/>
          <w:sz w:val="20"/>
        </w:rPr>
        <w:t>(d) In ranked-choice contests, the audit shall be capable of validating the outcome across rounds of tabulation.</w:t>
      </w:r>
    </w:p>
    <w:p>
      <w:pPr>
        <w:pStyle w:val="SectionHeading"/>
      </w:pPr>
      <w:r>
        <w:rPr>
          <w:rFonts w:ascii="Calibri" w:hAnsi="Calibri"/>
          <w:b/>
          <w:color w:val="0B2545"/>
          <w:sz w:val="19"/>
        </w:rPr>
        <w:t>SEC. 408. RECOUNTS, PUBLIC REPORTING, AND CHAIN OF CUSTODY.</w:t>
      </w:r>
    </w:p>
    <w:p>
      <w:pPr>
        <w:pStyle w:val="LegalLevel1"/>
      </w:pPr>
      <w:r>
        <w:rPr>
          <w:rFonts w:ascii="Times New Roman" w:hAnsi="Times New Roman"/>
          <w:color w:val="1F2937"/>
          <w:sz w:val="20"/>
        </w:rPr>
        <w:t>(a) Each State shall maintain uniform chain-of-custody procedures for ballots, memory media, ballot boxes, scanners, tabulators, and audit materials.</w:t>
      </w:r>
    </w:p>
    <w:p>
      <w:pPr>
        <w:pStyle w:val="LegalLevel1"/>
      </w:pPr>
      <w:r>
        <w:rPr>
          <w:rFonts w:ascii="Times New Roman" w:hAnsi="Times New Roman"/>
          <w:color w:val="1F2937"/>
          <w:sz w:val="20"/>
        </w:rPr>
        <w:t>(b) Each State shall publish ballot manifests, chain-of-custody logs, cast-vote records in anonymized form where technically feasible, round-by-round results for ranked-choice contests, and audit reports.</w:t>
      </w:r>
    </w:p>
    <w:p>
      <w:pPr>
        <w:pStyle w:val="LegalLevel1"/>
      </w:pPr>
      <w:r>
        <w:rPr>
          <w:rFonts w:ascii="Times New Roman" w:hAnsi="Times New Roman"/>
          <w:color w:val="1F2937"/>
          <w:sz w:val="20"/>
        </w:rPr>
        <w:t>(c) An automatic recount shall be conducted in any Federal contest where the margin between the final 2 candidates or slates is not more than 0.25 percent of ballots counted or 500 votes, whichever is greater.</w:t>
      </w:r>
    </w:p>
    <w:p>
      <w:pPr>
        <w:pStyle w:val="SectionHeading"/>
      </w:pPr>
      <w:r>
        <w:rPr>
          <w:rFonts w:ascii="Calibri" w:hAnsi="Calibri"/>
          <w:b/>
          <w:color w:val="0B2545"/>
          <w:sz w:val="19"/>
        </w:rPr>
        <w:t>SEC. 409. PILOT PROGRAM FOR SECURE REMOTE BALLOT RETURN.</w:t>
      </w:r>
    </w:p>
    <w:p>
      <w:pPr>
        <w:pStyle w:val="LegalLevel1"/>
      </w:pPr>
      <w:r>
        <w:rPr>
          <w:rFonts w:ascii="Times New Roman" w:hAnsi="Times New Roman"/>
          <w:color w:val="1F2937"/>
          <w:sz w:val="20"/>
        </w:rPr>
        <w:t>(a) The Commission, in consultation with NIST, CISA, the Department of Defense, and disability-rights organizations, shall establish a pilot program for secure remote ballot return only for—</w:t>
      </w:r>
    </w:p>
    <w:p>
      <w:pPr>
        <w:pStyle w:val="LegalLevel2"/>
      </w:pPr>
      <w:r>
        <w:rPr>
          <w:rFonts w:ascii="Times New Roman" w:hAnsi="Times New Roman"/>
          <w:color w:val="1F2937"/>
          <w:sz w:val="20"/>
        </w:rPr>
        <w:t>(1) absent uniformed services voters and overseas voters covered by chapter 203 of title 52, United States Code; and</w:t>
      </w:r>
    </w:p>
    <w:p>
      <w:pPr>
        <w:pStyle w:val="LegalLevel2"/>
      </w:pPr>
      <w:r>
        <w:rPr>
          <w:rFonts w:ascii="Times New Roman" w:hAnsi="Times New Roman"/>
          <w:color w:val="1F2937"/>
          <w:sz w:val="20"/>
        </w:rPr>
        <w:t>(2) voters with disabilities for whom no equally effective accessible return option is available.</w:t>
      </w:r>
    </w:p>
    <w:p>
      <w:pPr>
        <w:pStyle w:val="LegalLevel1"/>
      </w:pPr>
      <w:r>
        <w:rPr>
          <w:rFonts w:ascii="Times New Roman" w:hAnsi="Times New Roman"/>
          <w:color w:val="1F2937"/>
          <w:sz w:val="20"/>
        </w:rPr>
        <w:t>(b) No technology may be approved under this section unless the Commission certifies that it provides end-to-end verifiability, secrecy protections, strong authentication, independent security testing, and a durable audit trail.</w:t>
      </w:r>
    </w:p>
    <w:p>
      <w:pPr>
        <w:pStyle w:val="LegalLevel1"/>
      </w:pPr>
      <w:r>
        <w:rPr>
          <w:rFonts w:ascii="Times New Roman" w:hAnsi="Times New Roman"/>
          <w:color w:val="1F2937"/>
          <w:sz w:val="20"/>
        </w:rPr>
        <w:t>(c) Nothing in this section shall authorize general internet voting for the public at large.</w:t>
      </w:r>
    </w:p>
    <w:p>
      <w:pPr>
        <w:pStyle w:val="SectionHeading"/>
      </w:pPr>
      <w:r>
        <w:rPr>
          <w:rFonts w:ascii="Calibri" w:hAnsi="Calibri"/>
          <w:b/>
          <w:color w:val="0B2545"/>
          <w:sz w:val="19"/>
        </w:rPr>
        <w:t>SEC. 410. PROTECTION OF ELECTION WORKERS AND FACILITIES.</w:t>
      </w:r>
    </w:p>
    <w:p>
      <w:pPr>
        <w:pStyle w:val="LegalLevel1"/>
      </w:pPr>
      <w:r>
        <w:rPr>
          <w:rFonts w:ascii="Times New Roman" w:hAnsi="Times New Roman"/>
          <w:color w:val="1F2937"/>
          <w:sz w:val="20"/>
        </w:rPr>
        <w:t>(a) It shall be unlawful knowingly to threaten, intimidate, dox, stalk, or harass an election worker with intent to impede the administration of an election for Federal office.</w:t>
      </w:r>
    </w:p>
    <w:p>
      <w:pPr>
        <w:pStyle w:val="LegalLevel1"/>
      </w:pPr>
      <w:r>
        <w:rPr>
          <w:rFonts w:ascii="Times New Roman" w:hAnsi="Times New Roman"/>
          <w:color w:val="1F2937"/>
          <w:sz w:val="20"/>
        </w:rPr>
        <w:t>(b) The Attorney General may bring civil actions, and knowing and willful violations shall be punishable by fine or imprisonment not exceeding 5 years.</w:t>
      </w:r>
    </w:p>
    <w:p>
      <w:pPr>
        <w:pStyle w:val="LegalLevel1"/>
      </w:pPr>
      <w:r>
        <w:rPr>
          <w:rFonts w:ascii="Times New Roman" w:hAnsi="Times New Roman"/>
          <w:color w:val="1F2937"/>
          <w:sz w:val="20"/>
        </w:rPr>
        <w:t>(c) Grants under this title may be used for physical security, de-escalation training, address confidentiality, and emergency support for election workers.</w:t>
      </w:r>
    </w:p>
    <w:p>
      <w:pPr>
        <w:pStyle w:val="SectionHeading"/>
      </w:pPr>
      <w:r>
        <w:rPr>
          <w:rFonts w:ascii="Calibri" w:hAnsi="Calibri"/>
          <w:b/>
          <w:color w:val="0B2545"/>
          <w:sz w:val="19"/>
        </w:rPr>
        <w:t>SEC. 411. OFFICIAL ELECTION INFORMATION PORTALS.</w:t>
      </w:r>
    </w:p>
    <w:p>
      <w:pPr>
        <w:pStyle w:val="LegalLevel1"/>
      </w:pPr>
      <w:r>
        <w:rPr>
          <w:rFonts w:ascii="Times New Roman" w:hAnsi="Times New Roman"/>
          <w:color w:val="1F2937"/>
          <w:sz w:val="20"/>
        </w:rPr>
        <w:t>(a) Each State shall maintain a single official public election information portal for Federal elections that provides—</w:t>
      </w:r>
    </w:p>
    <w:p>
      <w:pPr>
        <w:pStyle w:val="LegalLevel2"/>
      </w:pPr>
      <w:r>
        <w:rPr>
          <w:rFonts w:ascii="Times New Roman" w:hAnsi="Times New Roman"/>
          <w:color w:val="1F2937"/>
          <w:sz w:val="20"/>
        </w:rPr>
        <w:t>(1) registration and update access;</w:t>
      </w:r>
    </w:p>
    <w:p>
      <w:pPr>
        <w:pStyle w:val="LegalLevel2"/>
      </w:pPr>
      <w:r>
        <w:rPr>
          <w:rFonts w:ascii="Times New Roman" w:hAnsi="Times New Roman"/>
          <w:color w:val="1F2937"/>
          <w:sz w:val="20"/>
        </w:rPr>
        <w:t>(2) polling-place and early-voting location lookup;</w:t>
      </w:r>
    </w:p>
    <w:p>
      <w:pPr>
        <w:pStyle w:val="LegalLevel2"/>
      </w:pPr>
      <w:r>
        <w:rPr>
          <w:rFonts w:ascii="Times New Roman" w:hAnsi="Times New Roman"/>
          <w:color w:val="1F2937"/>
          <w:sz w:val="20"/>
        </w:rPr>
        <w:t>(3) drop-box locations;</w:t>
      </w:r>
    </w:p>
    <w:p>
      <w:pPr>
        <w:pStyle w:val="LegalLevel2"/>
      </w:pPr>
      <w:r>
        <w:rPr>
          <w:rFonts w:ascii="Times New Roman" w:hAnsi="Times New Roman"/>
          <w:color w:val="1F2937"/>
          <w:sz w:val="20"/>
        </w:rPr>
        <w:t>(4) ballot-tracking access;</w:t>
      </w:r>
    </w:p>
    <w:p>
      <w:pPr>
        <w:pStyle w:val="LegalLevel2"/>
      </w:pPr>
      <w:r>
        <w:rPr>
          <w:rFonts w:ascii="Times New Roman" w:hAnsi="Times New Roman"/>
          <w:color w:val="1F2937"/>
          <w:sz w:val="20"/>
        </w:rPr>
        <w:t>(5) accessibility information;</w:t>
      </w:r>
    </w:p>
    <w:p>
      <w:pPr>
        <w:pStyle w:val="LegalLevel2"/>
      </w:pPr>
      <w:r>
        <w:rPr>
          <w:rFonts w:ascii="Times New Roman" w:hAnsi="Times New Roman"/>
          <w:color w:val="1F2937"/>
          <w:sz w:val="20"/>
        </w:rPr>
        <w:t>(6) cure-status information; and</w:t>
      </w:r>
    </w:p>
    <w:p>
      <w:pPr>
        <w:pStyle w:val="LegalLevel2"/>
      </w:pPr>
      <w:r>
        <w:rPr>
          <w:rFonts w:ascii="Times New Roman" w:hAnsi="Times New Roman"/>
          <w:color w:val="1F2937"/>
          <w:sz w:val="20"/>
        </w:rPr>
        <w:t>(7) official notices of election changes.</w:t>
      </w:r>
    </w:p>
    <w:p>
      <w:pPr>
        <w:pStyle w:val="LegalLevel1"/>
      </w:pPr>
      <w:r>
        <w:rPr>
          <w:rFonts w:ascii="Times New Roman" w:hAnsi="Times New Roman"/>
          <w:color w:val="1F2937"/>
          <w:sz w:val="20"/>
        </w:rPr>
        <w:t>(b) Each State shall provide a machine-readable public data feed for the information described in subsection (a).</w:t>
      </w:r>
    </w:p>
    <w:p>
      <w:pPr>
        <w:pStyle w:val="SectionHeading"/>
      </w:pPr>
      <w:r>
        <w:rPr>
          <w:rFonts w:ascii="Calibri" w:hAnsi="Calibri"/>
          <w:b/>
          <w:color w:val="0B2545"/>
          <w:sz w:val="19"/>
        </w:rPr>
        <w:t>SEC. 412. NEUTRAL ADMINISTRATION OF PRIVATE SUPPORT.</w:t>
      </w:r>
    </w:p>
    <w:p>
      <w:pPr>
        <w:pStyle w:val="LegalLevel1"/>
      </w:pPr>
      <w:r>
        <w:rPr>
          <w:rFonts w:ascii="Times New Roman" w:hAnsi="Times New Roman"/>
          <w:color w:val="1F2937"/>
          <w:sz w:val="20"/>
        </w:rPr>
        <w:t>(a) No local election office may accept private funds, equipment, or in-kind support for the administration of a Federal election except through a State-administered or Commission-approved neutral distribution mechanism governed by public, objective criteria.</w:t>
      </w:r>
    </w:p>
    <w:p>
      <w:pPr>
        <w:pStyle w:val="LegalLevel1"/>
      </w:pPr>
      <w:r>
        <w:rPr>
          <w:rFonts w:ascii="Times New Roman" w:hAnsi="Times New Roman"/>
          <w:color w:val="1F2937"/>
          <w:sz w:val="20"/>
        </w:rPr>
        <w:t>(b) All such funds shall be publicly disclosed.</w:t>
      </w:r>
    </w:p>
    <w:p>
      <w:pPr>
        <w:pStyle w:val="SectionHeading"/>
      </w:pPr>
      <w:r>
        <w:rPr>
          <w:rFonts w:ascii="Calibri" w:hAnsi="Calibri"/>
          <w:b/>
          <w:color w:val="0B2545"/>
          <w:sz w:val="19"/>
        </w:rPr>
        <w:t>SEC. 413. SECURITY AND RESILIENCE GRANTS.</w:t>
      </w:r>
    </w:p>
    <w:p>
      <w:pPr>
        <w:pStyle w:val="LegalBody"/>
      </w:pPr>
      <w:r>
        <w:rPr>
          <w:rFonts w:ascii="Times New Roman" w:hAnsi="Times New Roman"/>
          <w:color w:val="1F2937"/>
          <w:sz w:val="20"/>
        </w:rPr>
        <w:t>The Commission shall make grants to States and units of local government for compliance with this title, including replacement of insecure equipment, cyber upgrades, audit implementation, accessibility improvements, and training.</w:t>
      </w:r>
    </w:p>
    <w:p>
      <w:pPr>
        <w:pStyle w:val="TitleHeading"/>
      </w:pPr>
      <w:r>
        <w:rPr>
          <w:rFonts w:ascii="Calibri" w:hAnsi="Calibri"/>
          <w:b/>
          <w:color w:val="0B2545"/>
          <w:sz w:val="20"/>
        </w:rPr>
        <w:t>TITLE V — RANKED-CHOICE VOTING FOR CONGRESSIONAL ELECTIONS AND STATE ADOPTION INCENTIVES</w:t>
      </w:r>
    </w:p>
    <w:p>
      <w:pPr>
        <w:pStyle w:val="SectionHeading"/>
      </w:pPr>
      <w:r>
        <w:rPr>
          <w:rFonts w:ascii="Calibri" w:hAnsi="Calibri"/>
          <w:b/>
          <w:color w:val="0B2545"/>
          <w:sz w:val="19"/>
        </w:rPr>
        <w:t>SEC. 501. REQUIREMENT OF RANKED-CHOICE VOTING IN CONGRESSIONAL GENERAL AND SPECIAL ELECTIONS.</w:t>
      </w:r>
    </w:p>
    <w:p>
      <w:pPr>
        <w:pStyle w:val="LegalLevel1"/>
      </w:pPr>
      <w:r>
        <w:rPr>
          <w:rFonts w:ascii="Times New Roman" w:hAnsi="Times New Roman"/>
          <w:color w:val="1F2937"/>
          <w:sz w:val="20"/>
        </w:rPr>
        <w:t>(a) Notwithstanding any other provision of law, each general election and special election for the office of Senator or Representative in Congress shall be conducted by ranked-choice voting.</w:t>
      </w:r>
    </w:p>
    <w:p>
      <w:pPr>
        <w:pStyle w:val="LegalLevel1"/>
      </w:pPr>
      <w:r>
        <w:rPr>
          <w:rFonts w:ascii="Times New Roman" w:hAnsi="Times New Roman"/>
          <w:color w:val="1F2937"/>
          <w:sz w:val="20"/>
        </w:rPr>
        <w:t>(b) Nothing in this title requires a State to use ranked-choice voting in party primaries, but a State may do so and may receive grants under section 507.</w:t>
      </w:r>
    </w:p>
    <w:p>
      <w:pPr>
        <w:pStyle w:val="LegalLevel1"/>
      </w:pPr>
      <w:r>
        <w:rPr>
          <w:rFonts w:ascii="Times New Roman" w:hAnsi="Times New Roman"/>
          <w:color w:val="1F2937"/>
          <w:sz w:val="20"/>
        </w:rPr>
        <w:t>(c) If only 2 candidates qualify for the ballot, the election may be conducted and certified as an ordinary majority or plurality contest, provided the ballot format remains compatible with this title where practicable.</w:t>
      </w:r>
    </w:p>
    <w:p>
      <w:pPr>
        <w:pStyle w:val="SectionHeading"/>
      </w:pPr>
      <w:r>
        <w:rPr>
          <w:rFonts w:ascii="Calibri" w:hAnsi="Calibri"/>
          <w:b/>
          <w:color w:val="0B2545"/>
          <w:sz w:val="19"/>
        </w:rPr>
        <w:t>SEC. 502. BALLOT FORMAT AND VOTER INSTRUCTIONS.</w:t>
      </w:r>
    </w:p>
    <w:p>
      <w:pPr>
        <w:pStyle w:val="LegalLevel1"/>
      </w:pPr>
      <w:r>
        <w:rPr>
          <w:rFonts w:ascii="Times New Roman" w:hAnsi="Times New Roman"/>
          <w:color w:val="1F2937"/>
          <w:sz w:val="20"/>
        </w:rPr>
        <w:t>(a) A ranked-choice ballot shall permit a voter to rank candidates in order of preference.</w:t>
      </w:r>
    </w:p>
    <w:p>
      <w:pPr>
        <w:pStyle w:val="LegalLevel1"/>
      </w:pPr>
      <w:r>
        <w:rPr>
          <w:rFonts w:ascii="Times New Roman" w:hAnsi="Times New Roman"/>
          <w:color w:val="1F2937"/>
          <w:sz w:val="20"/>
        </w:rPr>
        <w:t>(b) A voter may rank as many or as few candidates as the voter chooses, and no voter shall be required to rank every candidate.</w:t>
      </w:r>
    </w:p>
    <w:p>
      <w:pPr>
        <w:pStyle w:val="LegalLevel1"/>
      </w:pPr>
      <w:r>
        <w:rPr>
          <w:rFonts w:ascii="Times New Roman" w:hAnsi="Times New Roman"/>
          <w:color w:val="1F2937"/>
          <w:sz w:val="20"/>
        </w:rPr>
        <w:t>(c) Ballot instructions shall explain, in plain language, that ranking an additional candidate does not harm the voter’s higher-ranked choices.</w:t>
      </w:r>
    </w:p>
    <w:p>
      <w:pPr>
        <w:pStyle w:val="LegalLevel1"/>
      </w:pPr>
      <w:r>
        <w:rPr>
          <w:rFonts w:ascii="Times New Roman" w:hAnsi="Times New Roman"/>
          <w:color w:val="1F2937"/>
          <w:sz w:val="20"/>
        </w:rPr>
        <w:t>(d) Each ballot shall provide at least 5 ranking columns or as many columns as there are candidates, whichever is fewer.</w:t>
      </w:r>
    </w:p>
    <w:p>
      <w:pPr>
        <w:pStyle w:val="SectionHeading"/>
      </w:pPr>
      <w:r>
        <w:rPr>
          <w:rFonts w:ascii="Calibri" w:hAnsi="Calibri"/>
          <w:b/>
          <w:color w:val="0B2545"/>
          <w:sz w:val="19"/>
        </w:rPr>
        <w:t>SEC. 503. TABULATION RULES.</w:t>
      </w:r>
    </w:p>
    <w:p>
      <w:pPr>
        <w:pStyle w:val="LegalLevel1"/>
      </w:pPr>
      <w:r>
        <w:rPr>
          <w:rFonts w:ascii="Times New Roman" w:hAnsi="Times New Roman"/>
          <w:color w:val="1F2937"/>
          <w:sz w:val="20"/>
        </w:rPr>
        <w:t>(a) In the first round, each ballot shall count for the highest-ranked continuing candidate.</w:t>
      </w:r>
    </w:p>
    <w:p>
      <w:pPr>
        <w:pStyle w:val="LegalLevel1"/>
      </w:pPr>
      <w:r>
        <w:rPr>
          <w:rFonts w:ascii="Times New Roman" w:hAnsi="Times New Roman"/>
          <w:color w:val="1F2937"/>
          <w:sz w:val="20"/>
        </w:rPr>
        <w:t>(b) If a candidate receives a majority of continuing ballots, that candidate is elected.</w:t>
      </w:r>
    </w:p>
    <w:p>
      <w:pPr>
        <w:pStyle w:val="LegalLevel1"/>
      </w:pPr>
      <w:r>
        <w:rPr>
          <w:rFonts w:ascii="Times New Roman" w:hAnsi="Times New Roman"/>
          <w:color w:val="1F2937"/>
          <w:sz w:val="20"/>
        </w:rPr>
        <w:t>(c) If no candidate receives such majority, the candidate with the fewest votes shall be eliminated and each ballot cast for that candidate shall be transferred to the next-ranked continuing candidate indicated on that ballot.</w:t>
      </w:r>
    </w:p>
    <w:p>
      <w:pPr>
        <w:pStyle w:val="LegalLevel1"/>
      </w:pPr>
      <w:r>
        <w:rPr>
          <w:rFonts w:ascii="Times New Roman" w:hAnsi="Times New Roman"/>
          <w:color w:val="1F2937"/>
          <w:sz w:val="20"/>
        </w:rPr>
        <w:t>(d) Tabulation shall continue in rounds until a candidate receives a majority of continuing ballots or only 2 candidates remain, in which case the candidate with the greater number of votes in the final round shall be elected.</w:t>
      </w:r>
    </w:p>
    <w:p>
      <w:pPr>
        <w:pStyle w:val="LegalLevel1"/>
      </w:pPr>
      <w:r>
        <w:rPr>
          <w:rFonts w:ascii="Times New Roman" w:hAnsi="Times New Roman"/>
          <w:color w:val="1F2937"/>
          <w:sz w:val="20"/>
        </w:rPr>
        <w:t>(e) An overvote at a given rank shall invalidate only that rank and any lower rank not clearly ascertainable, and shall not invalidate higher valid rankings.</w:t>
      </w:r>
    </w:p>
    <w:p>
      <w:pPr>
        <w:pStyle w:val="LegalLevel1"/>
      </w:pPr>
      <w:r>
        <w:rPr>
          <w:rFonts w:ascii="Times New Roman" w:hAnsi="Times New Roman"/>
          <w:color w:val="1F2937"/>
          <w:sz w:val="20"/>
        </w:rPr>
        <w:t>(f) A skipped ranking shall not invalidate later rankings if voter intent can be reasonably determined under uniform statewide rules.</w:t>
      </w:r>
    </w:p>
    <w:p>
      <w:pPr>
        <w:pStyle w:val="LegalLevel1"/>
      </w:pPr>
      <w:r>
        <w:rPr>
          <w:rFonts w:ascii="Times New Roman" w:hAnsi="Times New Roman"/>
          <w:color w:val="1F2937"/>
          <w:sz w:val="20"/>
        </w:rPr>
        <w:t>(g) The State may use batch elimination where mathematically proper and transparent.</w:t>
      </w:r>
    </w:p>
    <w:p>
      <w:pPr>
        <w:pStyle w:val="LegalLevel1"/>
      </w:pPr>
      <w:r>
        <w:rPr>
          <w:rFonts w:ascii="Times New Roman" w:hAnsi="Times New Roman"/>
          <w:color w:val="1F2937"/>
          <w:sz w:val="20"/>
        </w:rPr>
        <w:t>(h) If a tie determines elimination and cannot be resolved by reference to prior rounds, the tie shall be resolved by a publicly noticed random method.</w:t>
      </w:r>
    </w:p>
    <w:p>
      <w:pPr>
        <w:pStyle w:val="SectionHeading"/>
      </w:pPr>
      <w:r>
        <w:rPr>
          <w:rFonts w:ascii="Calibri" w:hAnsi="Calibri"/>
          <w:b/>
          <w:color w:val="0B2545"/>
          <w:sz w:val="19"/>
        </w:rPr>
        <w:t>SEC. 504. RECOUNTS, AUDITS, AND REPORTING.</w:t>
      </w:r>
    </w:p>
    <w:p>
      <w:pPr>
        <w:pStyle w:val="LegalLevel1"/>
      </w:pPr>
      <w:r>
        <w:rPr>
          <w:rFonts w:ascii="Times New Roman" w:hAnsi="Times New Roman"/>
          <w:color w:val="1F2937"/>
          <w:sz w:val="20"/>
        </w:rPr>
        <w:t>(a) For each ranked-choice contest, the State shall publish—</w:t>
      </w:r>
    </w:p>
    <w:p>
      <w:pPr>
        <w:pStyle w:val="LegalLevel2"/>
      </w:pPr>
      <w:r>
        <w:rPr>
          <w:rFonts w:ascii="Times New Roman" w:hAnsi="Times New Roman"/>
          <w:color w:val="1F2937"/>
          <w:sz w:val="20"/>
        </w:rPr>
        <w:t>(1) first-round totals;</w:t>
      </w:r>
    </w:p>
    <w:p>
      <w:pPr>
        <w:pStyle w:val="LegalLevel2"/>
      </w:pPr>
      <w:r>
        <w:rPr>
          <w:rFonts w:ascii="Times New Roman" w:hAnsi="Times New Roman"/>
          <w:color w:val="1F2937"/>
          <w:sz w:val="20"/>
        </w:rPr>
        <w:t>(2) round-by-round transfer totals;</w:t>
      </w:r>
    </w:p>
    <w:p>
      <w:pPr>
        <w:pStyle w:val="LegalLevel2"/>
      </w:pPr>
      <w:r>
        <w:rPr>
          <w:rFonts w:ascii="Times New Roman" w:hAnsi="Times New Roman"/>
          <w:color w:val="1F2937"/>
          <w:sz w:val="20"/>
        </w:rPr>
        <w:t>(3) final-round totals; and</w:t>
      </w:r>
    </w:p>
    <w:p>
      <w:pPr>
        <w:pStyle w:val="LegalLevel2"/>
      </w:pPr>
      <w:r>
        <w:rPr>
          <w:rFonts w:ascii="Times New Roman" w:hAnsi="Times New Roman"/>
          <w:color w:val="1F2937"/>
          <w:sz w:val="20"/>
        </w:rPr>
        <w:t>(4) anonymized cast-vote records where feasible and lawful.</w:t>
      </w:r>
    </w:p>
    <w:p>
      <w:pPr>
        <w:pStyle w:val="LegalLevel1"/>
      </w:pPr>
      <w:r>
        <w:rPr>
          <w:rFonts w:ascii="Times New Roman" w:hAnsi="Times New Roman"/>
          <w:color w:val="1F2937"/>
          <w:sz w:val="20"/>
        </w:rPr>
        <w:t>(b) Risk-limiting audits and recounts under title IV shall apply to contests under this title.</w:t>
      </w:r>
    </w:p>
    <w:p>
      <w:pPr>
        <w:pStyle w:val="SectionHeading"/>
      </w:pPr>
      <w:r>
        <w:rPr>
          <w:rFonts w:ascii="Calibri" w:hAnsi="Calibri"/>
          <w:b/>
          <w:color w:val="0B2545"/>
          <w:sz w:val="19"/>
        </w:rPr>
        <w:t>SEC. 505. MINORITY VOTING-RIGHTS AND LANGUAGE-ACCESS REVIEW.</w:t>
      </w:r>
    </w:p>
    <w:p>
      <w:pPr>
        <w:pStyle w:val="LegalLevel1"/>
      </w:pPr>
      <w:r>
        <w:rPr>
          <w:rFonts w:ascii="Times New Roman" w:hAnsi="Times New Roman"/>
          <w:color w:val="1F2937"/>
          <w:sz w:val="20"/>
        </w:rPr>
        <w:t>(a) Before implementing this title, each State shall file with the Attorney General and the Commission an impact statement describing how the State’s ballot design, voter education plan, and tabulation rules will protect language access and avoid dilution of minority voting strength.</w:t>
      </w:r>
    </w:p>
    <w:p>
      <w:pPr>
        <w:pStyle w:val="LegalLevel1"/>
      </w:pPr>
      <w:r>
        <w:rPr>
          <w:rFonts w:ascii="Times New Roman" w:hAnsi="Times New Roman"/>
          <w:color w:val="1F2937"/>
          <w:sz w:val="20"/>
        </w:rPr>
        <w:t>(b) Nothing in this title shall be construed to authorize implementation in a manner that violates the Voting Rights Act of 1965.</w:t>
      </w:r>
    </w:p>
    <w:p>
      <w:pPr>
        <w:pStyle w:val="SectionHeading"/>
      </w:pPr>
      <w:r>
        <w:rPr>
          <w:rFonts w:ascii="Calibri" w:hAnsi="Calibri"/>
          <w:b/>
          <w:color w:val="0B2545"/>
          <w:sz w:val="19"/>
        </w:rPr>
        <w:t>SEC. 506. IMPLEMENTATION SCHEDULE AND TRANSITION GRANTS.</w:t>
      </w:r>
    </w:p>
    <w:p>
      <w:pPr>
        <w:pStyle w:val="LegalLevel1"/>
      </w:pPr>
      <w:r>
        <w:rPr>
          <w:rFonts w:ascii="Times New Roman" w:hAnsi="Times New Roman"/>
          <w:color w:val="1F2937"/>
          <w:sz w:val="20"/>
        </w:rPr>
        <w:t>(a) This title shall apply beginning with the first general election for Congress occurring more than 18 months after enactment.</w:t>
      </w:r>
    </w:p>
    <w:p>
      <w:pPr>
        <w:pStyle w:val="LegalLevel1"/>
      </w:pPr>
      <w:r>
        <w:rPr>
          <w:rFonts w:ascii="Times New Roman" w:hAnsi="Times New Roman"/>
          <w:color w:val="1F2937"/>
          <w:sz w:val="20"/>
        </w:rPr>
        <w:t>(b) The Commission shall make transition grants for voter education, ballot redesign, equipment upgrades, auditing tools, and training.</w:t>
      </w:r>
    </w:p>
    <w:p>
      <w:pPr>
        <w:pStyle w:val="SectionHeading"/>
      </w:pPr>
      <w:r>
        <w:rPr>
          <w:rFonts w:ascii="Calibri" w:hAnsi="Calibri"/>
          <w:b/>
          <w:color w:val="0B2545"/>
          <w:sz w:val="19"/>
        </w:rPr>
        <w:t>SEC. 507. STATE OPTION GRANTS FOR ADDITIONAL RANKED-CHOICE ADOPTION.</w:t>
      </w:r>
    </w:p>
    <w:p>
      <w:pPr>
        <w:pStyle w:val="LegalBody"/>
      </w:pPr>
      <w:r>
        <w:rPr>
          <w:rFonts w:ascii="Times New Roman" w:hAnsi="Times New Roman"/>
          <w:color w:val="1F2937"/>
          <w:sz w:val="20"/>
        </w:rPr>
        <w:t>A State that adopts ranked-choice voting for presidential primaries, State primaries, State general elections, local elections, or other offices may receive additional transition funds under section 803, subject to compliance with civil-rights and accessibility requirements.</w:t>
      </w:r>
    </w:p>
    <w:p>
      <w:pPr>
        <w:pStyle w:val="TitleHeading"/>
      </w:pPr>
      <w:r>
        <w:rPr>
          <w:rFonts w:ascii="Calibri" w:hAnsi="Calibri"/>
          <w:b/>
          <w:color w:val="0B2545"/>
          <w:sz w:val="20"/>
        </w:rPr>
        <w:t>TITLE VI — CAMPAIGN FINANCE INTEGRITY, ANTI-CORRUPTION, AND FOREIGN INFLUENCE PREVENTION</w:t>
      </w:r>
    </w:p>
    <w:p>
      <w:pPr>
        <w:pStyle w:val="SectionHeading"/>
      </w:pPr>
      <w:r>
        <w:rPr>
          <w:rFonts w:ascii="Calibri" w:hAnsi="Calibri"/>
          <w:b/>
          <w:color w:val="0B2545"/>
          <w:sz w:val="19"/>
        </w:rPr>
        <w:t>SEC. 601. RELATION TO THE FEDERAL ELECTION CAMPAIGN ACT OF 1971.</w:t>
      </w:r>
    </w:p>
    <w:p>
      <w:pPr>
        <w:pStyle w:val="LegalLevel1"/>
      </w:pPr>
      <w:r>
        <w:rPr>
          <w:rFonts w:ascii="Times New Roman" w:hAnsi="Times New Roman"/>
          <w:color w:val="1F2937"/>
          <w:sz w:val="20"/>
        </w:rPr>
        <w:t>(a) Except as otherwise provided, this title shall be enforced as though enacted as part of the Federal Election Campaign Act of 1971.</w:t>
      </w:r>
    </w:p>
    <w:p>
      <w:pPr>
        <w:pStyle w:val="LegalLevel1"/>
      </w:pPr>
      <w:r>
        <w:rPr>
          <w:rFonts w:ascii="Times New Roman" w:hAnsi="Times New Roman"/>
          <w:color w:val="1F2937"/>
          <w:sz w:val="20"/>
        </w:rPr>
        <w:t>(b) Definitions contained in such Act shall apply to this title unless inconsistent with this Act.</w:t>
      </w:r>
    </w:p>
    <w:p>
      <w:pPr>
        <w:pStyle w:val="SectionHeading"/>
      </w:pPr>
      <w:r>
        <w:rPr>
          <w:rFonts w:ascii="Calibri" w:hAnsi="Calibri"/>
          <w:b/>
          <w:color w:val="0B2545"/>
          <w:sz w:val="19"/>
        </w:rPr>
        <w:t>SEC. 602. SMALL-DONOR PUBLIC FINANCING OPTION.</w:t>
      </w:r>
    </w:p>
    <w:p>
      <w:pPr>
        <w:pStyle w:val="LegalLevel1"/>
      </w:pPr>
      <w:r>
        <w:rPr>
          <w:rFonts w:ascii="Times New Roman" w:hAnsi="Times New Roman"/>
          <w:color w:val="1F2937"/>
          <w:sz w:val="20"/>
        </w:rPr>
        <w:t>(a) There is established in the Treasury a fund to be known as the Democracy Trust Fund.</w:t>
      </w:r>
    </w:p>
    <w:p>
      <w:pPr>
        <w:pStyle w:val="LegalLevel1"/>
      </w:pPr>
      <w:r>
        <w:rPr>
          <w:rFonts w:ascii="Times New Roman" w:hAnsi="Times New Roman"/>
          <w:color w:val="1F2937"/>
          <w:sz w:val="20"/>
        </w:rPr>
        <w:t>(b) An eligible candidate for President, Senate, or House of Representatives may opt into the small-donor public financing system established by this section.</w:t>
      </w:r>
    </w:p>
    <w:p>
      <w:pPr>
        <w:pStyle w:val="LegalLevel1"/>
      </w:pPr>
      <w:r>
        <w:rPr>
          <w:rFonts w:ascii="Times New Roman" w:hAnsi="Times New Roman"/>
          <w:color w:val="1F2937"/>
          <w:sz w:val="20"/>
        </w:rPr>
        <w:t>(c) An opting-in candidate shall—</w:t>
      </w:r>
    </w:p>
    <w:p>
      <w:pPr>
        <w:pStyle w:val="LegalLevel2"/>
      </w:pPr>
      <w:r>
        <w:rPr>
          <w:rFonts w:ascii="Times New Roman" w:hAnsi="Times New Roman"/>
          <w:color w:val="1F2937"/>
          <w:sz w:val="20"/>
        </w:rPr>
        <w:t>(1) accept contributions only from natural persons in amounts not exceeding $1,000 per election;</w:t>
      </w:r>
    </w:p>
    <w:p>
      <w:pPr>
        <w:pStyle w:val="LegalLevel2"/>
      </w:pPr>
      <w:r>
        <w:rPr>
          <w:rFonts w:ascii="Times New Roman" w:hAnsi="Times New Roman"/>
          <w:color w:val="1F2937"/>
          <w:sz w:val="20"/>
        </w:rPr>
        <w:t>(2) accept no contributions from multicandidate political committees other than party committees as the Commission may allow by regulation, subject to strict limits;</w:t>
      </w:r>
    </w:p>
    <w:p>
      <w:pPr>
        <w:pStyle w:val="LegalLevel2"/>
      </w:pPr>
      <w:r>
        <w:rPr>
          <w:rFonts w:ascii="Times New Roman" w:hAnsi="Times New Roman"/>
          <w:color w:val="1F2937"/>
          <w:sz w:val="20"/>
        </w:rPr>
        <w:t>(3) agree to enhanced disclosure; and</w:t>
      </w:r>
    </w:p>
    <w:p>
      <w:pPr>
        <w:pStyle w:val="LegalLevel2"/>
      </w:pPr>
      <w:r>
        <w:rPr>
          <w:rFonts w:ascii="Times New Roman" w:hAnsi="Times New Roman"/>
          <w:color w:val="1F2937"/>
          <w:sz w:val="20"/>
        </w:rPr>
        <w:t>(4) satisfy a qualifying threshold of small-dollar support.</w:t>
      </w:r>
    </w:p>
    <w:p>
      <w:pPr>
        <w:pStyle w:val="LegalLevel1"/>
      </w:pPr>
      <w:r>
        <w:rPr>
          <w:rFonts w:ascii="Times New Roman" w:hAnsi="Times New Roman"/>
          <w:color w:val="1F2937"/>
          <w:sz w:val="20"/>
        </w:rPr>
        <w:t>(d) The first $200 of each qualifying contribution to an opting-in candidate shall be matched at a rate of 6 to 1 from the Democracy Trust Fund.</w:t>
      </w:r>
    </w:p>
    <w:p>
      <w:pPr>
        <w:pStyle w:val="LegalLevel1"/>
      </w:pPr>
      <w:r>
        <w:rPr>
          <w:rFonts w:ascii="Times New Roman" w:hAnsi="Times New Roman"/>
          <w:color w:val="1F2937"/>
          <w:sz w:val="20"/>
        </w:rPr>
        <w:t>(e) The Commission shall prescribe rules to prevent fraud, straw donations, and coordinated evasion.</w:t>
      </w:r>
    </w:p>
    <w:p>
      <w:pPr>
        <w:pStyle w:val="SectionHeading"/>
      </w:pPr>
      <w:r>
        <w:rPr>
          <w:rFonts w:ascii="Calibri" w:hAnsi="Calibri"/>
          <w:b/>
          <w:color w:val="0B2545"/>
          <w:sz w:val="19"/>
        </w:rPr>
        <w:t>SEC. 603. REAL-TIME DISCLOSURE.</w:t>
      </w:r>
    </w:p>
    <w:p>
      <w:pPr>
        <w:pStyle w:val="LegalLevel1"/>
      </w:pPr>
      <w:r>
        <w:rPr>
          <w:rFonts w:ascii="Times New Roman" w:hAnsi="Times New Roman"/>
          <w:color w:val="1F2937"/>
          <w:sz w:val="20"/>
        </w:rPr>
        <w:t>(a) Any contribution, independent expenditure, or electioneering communication aggregating more than $1,000 during an election cycle shall be reported within 48 hours.</w:t>
      </w:r>
    </w:p>
    <w:p>
      <w:pPr>
        <w:pStyle w:val="LegalLevel1"/>
      </w:pPr>
      <w:r>
        <w:rPr>
          <w:rFonts w:ascii="Times New Roman" w:hAnsi="Times New Roman"/>
          <w:color w:val="1F2937"/>
          <w:sz w:val="20"/>
        </w:rPr>
        <w:t>(b) During the 60 days before a general election or 30 days before a primary or special election, any such amount aggregating more than $10,000 shall be reported within 24 hours.</w:t>
      </w:r>
    </w:p>
    <w:p>
      <w:pPr>
        <w:pStyle w:val="LegalLevel1"/>
      </w:pPr>
      <w:r>
        <w:rPr>
          <w:rFonts w:ascii="Times New Roman" w:hAnsi="Times New Roman"/>
          <w:color w:val="1F2937"/>
          <w:sz w:val="20"/>
        </w:rPr>
        <w:t>(c) All reports under this section shall be filed electronically and made available in machine-readable form.</w:t>
      </w:r>
    </w:p>
    <w:p>
      <w:pPr>
        <w:pStyle w:val="SectionHeading"/>
      </w:pPr>
      <w:r>
        <w:rPr>
          <w:rFonts w:ascii="Calibri" w:hAnsi="Calibri"/>
          <w:b/>
          <w:color w:val="0B2545"/>
          <w:sz w:val="19"/>
        </w:rPr>
        <w:t>SEC. 604. TRUE-SOURCE AND BENEFICIAL-OWNERSHIP DISCLOSURE.</w:t>
      </w:r>
    </w:p>
    <w:p>
      <w:pPr>
        <w:pStyle w:val="LegalLevel1"/>
      </w:pPr>
      <w:r>
        <w:rPr>
          <w:rFonts w:ascii="Times New Roman" w:hAnsi="Times New Roman"/>
          <w:color w:val="1F2937"/>
          <w:sz w:val="20"/>
        </w:rPr>
        <w:t>(a) Any entity that makes, finances, or transfers funds for contributions, independent expenditures, or electioneering communications aggregating more than $10,000 in an election cycle shall disclose—</w:t>
      </w:r>
    </w:p>
    <w:p>
      <w:pPr>
        <w:pStyle w:val="LegalLevel2"/>
      </w:pPr>
      <w:r>
        <w:rPr>
          <w:rFonts w:ascii="Times New Roman" w:hAnsi="Times New Roman"/>
          <w:color w:val="1F2937"/>
          <w:sz w:val="20"/>
        </w:rPr>
        <w:t>(1) its beneficial owners holding 5 percent or more of ownership or voting control;</w:t>
      </w:r>
    </w:p>
    <w:p>
      <w:pPr>
        <w:pStyle w:val="LegalLevel2"/>
      </w:pPr>
      <w:r>
        <w:rPr>
          <w:rFonts w:ascii="Times New Roman" w:hAnsi="Times New Roman"/>
          <w:color w:val="1F2937"/>
          <w:sz w:val="20"/>
        </w:rPr>
        <w:t>(2) any foreign beneficial ownership;</w:t>
      </w:r>
    </w:p>
    <w:p>
      <w:pPr>
        <w:pStyle w:val="LegalLevel2"/>
      </w:pPr>
      <w:r>
        <w:rPr>
          <w:rFonts w:ascii="Times New Roman" w:hAnsi="Times New Roman"/>
          <w:color w:val="1F2937"/>
          <w:sz w:val="20"/>
        </w:rPr>
        <w:t>(3) the true source of funds used for election spending; and</w:t>
      </w:r>
    </w:p>
    <w:p>
      <w:pPr>
        <w:pStyle w:val="LegalLevel2"/>
      </w:pPr>
      <w:r>
        <w:rPr>
          <w:rFonts w:ascii="Times New Roman" w:hAnsi="Times New Roman"/>
          <w:color w:val="1F2937"/>
          <w:sz w:val="20"/>
        </w:rPr>
        <w:t>(4) any covered transfer received for the purpose, or with the reasonable expectation, of election spending.</w:t>
      </w:r>
    </w:p>
    <w:p>
      <w:pPr>
        <w:pStyle w:val="LegalLevel1"/>
      </w:pPr>
      <w:r>
        <w:rPr>
          <w:rFonts w:ascii="Times New Roman" w:hAnsi="Times New Roman"/>
          <w:color w:val="1F2937"/>
          <w:sz w:val="20"/>
        </w:rPr>
        <w:t>(b) A person may not make a contribution, expenditure, or covered transfer in the name of another person or through a pass-through entity for the purpose of concealing the true source of funds.</w:t>
      </w:r>
    </w:p>
    <w:p>
      <w:pPr>
        <w:pStyle w:val="LegalLevel1"/>
      </w:pPr>
      <w:r>
        <w:rPr>
          <w:rFonts w:ascii="Times New Roman" w:hAnsi="Times New Roman"/>
          <w:color w:val="1F2937"/>
          <w:sz w:val="20"/>
        </w:rPr>
        <w:t>(c) The Commission shall prescribe anti-evasion rules for shell companies, affiliated entities, and covered transfers.</w:t>
      </w:r>
    </w:p>
    <w:p>
      <w:pPr>
        <w:pStyle w:val="SectionHeading"/>
      </w:pPr>
      <w:r>
        <w:rPr>
          <w:rFonts w:ascii="Calibri" w:hAnsi="Calibri"/>
          <w:b/>
          <w:color w:val="0B2545"/>
          <w:sz w:val="19"/>
        </w:rPr>
        <w:t>SEC. 605. FOREIGN-INFLUENCED POLITICAL COMMITTEES AND COVERED ENTITIES.</w:t>
      </w:r>
    </w:p>
    <w:p>
      <w:pPr>
        <w:pStyle w:val="LegalLevel1"/>
      </w:pPr>
      <w:r>
        <w:rPr>
          <w:rFonts w:ascii="Times New Roman" w:hAnsi="Times New Roman"/>
          <w:color w:val="1F2937"/>
          <w:sz w:val="20"/>
        </w:rPr>
        <w:t>(a) It shall be unlawful for a foreign-influenced political committee or other foreign-influenced covered entity to—</w:t>
      </w:r>
    </w:p>
    <w:p>
      <w:pPr>
        <w:pStyle w:val="LegalLevel2"/>
      </w:pPr>
      <w:r>
        <w:rPr>
          <w:rFonts w:ascii="Times New Roman" w:hAnsi="Times New Roman"/>
          <w:color w:val="1F2937"/>
          <w:sz w:val="20"/>
        </w:rPr>
        <w:t>(1) make a contribution, donation, expenditure, independent expenditure, electioneering communication, or disbursement in connection with an election for Federal office;</w:t>
      </w:r>
    </w:p>
    <w:p>
      <w:pPr>
        <w:pStyle w:val="LegalLevel2"/>
      </w:pPr>
      <w:r>
        <w:rPr>
          <w:rFonts w:ascii="Times New Roman" w:hAnsi="Times New Roman"/>
          <w:color w:val="1F2937"/>
          <w:sz w:val="20"/>
        </w:rPr>
        <w:t>(2) establish, administer, or control a political committee; or</w:t>
      </w:r>
    </w:p>
    <w:p>
      <w:pPr>
        <w:pStyle w:val="LegalLevel2"/>
      </w:pPr>
      <w:r>
        <w:rPr>
          <w:rFonts w:ascii="Times New Roman" w:hAnsi="Times New Roman"/>
          <w:color w:val="1F2937"/>
          <w:sz w:val="20"/>
        </w:rPr>
        <w:t>(3) transfer funds to another person for the purpose of election spending.</w:t>
      </w:r>
    </w:p>
    <w:p>
      <w:pPr>
        <w:pStyle w:val="LegalLevel1"/>
      </w:pPr>
      <w:r>
        <w:rPr>
          <w:rFonts w:ascii="Times New Roman" w:hAnsi="Times New Roman"/>
          <w:color w:val="1F2937"/>
          <w:sz w:val="20"/>
        </w:rPr>
        <w:t>(b) For purposes of this title, a foreign-influenced entity is an entity with respect to which—</w:t>
      </w:r>
    </w:p>
    <w:p>
      <w:pPr>
        <w:pStyle w:val="LegalLevel2"/>
      </w:pPr>
      <w:r>
        <w:rPr>
          <w:rFonts w:ascii="Times New Roman" w:hAnsi="Times New Roman"/>
          <w:color w:val="1F2937"/>
          <w:sz w:val="20"/>
        </w:rPr>
        <w:t>(1) a single foreign national directly or indirectly owns or controls 5 percent or more of the equity, voting power, or beneficial ownership interest;</w:t>
      </w:r>
    </w:p>
    <w:p>
      <w:pPr>
        <w:pStyle w:val="LegalLevel2"/>
      </w:pPr>
      <w:r>
        <w:rPr>
          <w:rFonts w:ascii="Times New Roman" w:hAnsi="Times New Roman"/>
          <w:color w:val="1F2937"/>
          <w:sz w:val="20"/>
        </w:rPr>
        <w:t>(2) two or more foreign nationals in the aggregate directly or indirectly own or control 20 percent or more of the equity, voting power, or beneficial ownership interest;</w:t>
      </w:r>
    </w:p>
    <w:p>
      <w:pPr>
        <w:pStyle w:val="LegalLevel2"/>
      </w:pPr>
      <w:r>
        <w:rPr>
          <w:rFonts w:ascii="Times New Roman" w:hAnsi="Times New Roman"/>
          <w:color w:val="1F2937"/>
          <w:sz w:val="20"/>
        </w:rPr>
        <w:t>(3) a foreign national directly or indirectly participates in, directs, dictates, controls, or has the power to participate in decision-making concerning election-related spending or political activity; or</w:t>
      </w:r>
    </w:p>
    <w:p>
      <w:pPr>
        <w:pStyle w:val="LegalLevel2"/>
      </w:pPr>
      <w:r>
        <w:rPr>
          <w:rFonts w:ascii="Times New Roman" w:hAnsi="Times New Roman"/>
          <w:color w:val="1F2937"/>
          <w:sz w:val="20"/>
        </w:rPr>
        <w:t>(4) foreign-source funds constituted 10 percent or more of the entity’s gross receipts in either of the 2 preceding years and were not fully segregated from election-spending funds.</w:t>
      </w:r>
    </w:p>
    <w:p>
      <w:pPr>
        <w:pStyle w:val="LegalLevel1"/>
      </w:pPr>
      <w:r>
        <w:rPr>
          <w:rFonts w:ascii="Times New Roman" w:hAnsi="Times New Roman"/>
          <w:color w:val="1F2937"/>
          <w:sz w:val="20"/>
        </w:rPr>
        <w:t>(c) A political committee that is sponsored, controlled, substantially financed, or directed by a foreign-influenced entity shall itself be deemed a foreign-influenced political committee.</w:t>
      </w:r>
    </w:p>
    <w:p>
      <w:pPr>
        <w:pStyle w:val="SectionHeading"/>
      </w:pPr>
      <w:r>
        <w:rPr>
          <w:rFonts w:ascii="Calibri" w:hAnsi="Calibri"/>
          <w:b/>
          <w:color w:val="0B2545"/>
          <w:sz w:val="19"/>
        </w:rPr>
        <w:t>SEC. 606. SUSPENSION, DIVESTITURE, DISSOLUTION, AND WIND-DOWN PROCEDURES.</w:t>
      </w:r>
    </w:p>
    <w:p>
      <w:pPr>
        <w:pStyle w:val="LegalLevel1"/>
      </w:pPr>
      <w:r>
        <w:rPr>
          <w:rFonts w:ascii="Times New Roman" w:hAnsi="Times New Roman"/>
          <w:color w:val="1F2937"/>
          <w:sz w:val="20"/>
        </w:rPr>
        <w:t>(a) If the Commission finds probable cause that a political committee is foreign-influenced, it may issue an emergency suspension order prohibiting new receipts or disbursements pending a hearing.</w:t>
      </w:r>
    </w:p>
    <w:p>
      <w:pPr>
        <w:pStyle w:val="LegalLevel1"/>
      </w:pPr>
      <w:r>
        <w:rPr>
          <w:rFonts w:ascii="Times New Roman" w:hAnsi="Times New Roman"/>
          <w:color w:val="1F2937"/>
          <w:sz w:val="20"/>
        </w:rPr>
        <w:t>(b) The committee shall be afforded notice and an opportunity for hearing.</w:t>
      </w:r>
    </w:p>
    <w:p>
      <w:pPr>
        <w:pStyle w:val="LegalLevel1"/>
      </w:pPr>
      <w:r>
        <w:rPr>
          <w:rFonts w:ascii="Times New Roman" w:hAnsi="Times New Roman"/>
          <w:color w:val="1F2937"/>
          <w:sz w:val="20"/>
        </w:rPr>
        <w:t>(c) If the Commission determines that the committee can cure the violation through divestiture, recusal, segregation, restructuring, or removal of disqualifying control, the Commission may allow a cure period not exceeding 30 days.</w:t>
      </w:r>
    </w:p>
    <w:p>
      <w:pPr>
        <w:pStyle w:val="LegalLevel1"/>
      </w:pPr>
      <w:r>
        <w:rPr>
          <w:rFonts w:ascii="Times New Roman" w:hAnsi="Times New Roman"/>
          <w:color w:val="1F2937"/>
          <w:sz w:val="20"/>
        </w:rPr>
        <w:t>(d) If the violation is not cured, the Commission shall order termination of the committee’s registration and an orderly wind-down.</w:t>
      </w:r>
    </w:p>
    <w:p>
      <w:pPr>
        <w:pStyle w:val="LegalLevel1"/>
      </w:pPr>
      <w:r>
        <w:rPr>
          <w:rFonts w:ascii="Times New Roman" w:hAnsi="Times New Roman"/>
          <w:color w:val="1F2937"/>
          <w:sz w:val="20"/>
        </w:rPr>
        <w:t>(e) During wind-down, lawful domestic contributions shall be refunded where practicable; unreturnable residual funds shall be deposited into the Democracy Trust Fund.</w:t>
      </w:r>
    </w:p>
    <w:p>
      <w:pPr>
        <w:pStyle w:val="LegalLevel1"/>
      </w:pPr>
      <w:r>
        <w:rPr>
          <w:rFonts w:ascii="Times New Roman" w:hAnsi="Times New Roman"/>
          <w:color w:val="1F2937"/>
          <w:sz w:val="20"/>
        </w:rPr>
        <w:t>(f) Final orders under this section shall be reviewable exclusively in the United States Court of Appeals for the District of Columbia Circuit.</w:t>
      </w:r>
    </w:p>
    <w:p>
      <w:pPr>
        <w:pStyle w:val="SectionHeading"/>
      </w:pPr>
      <w:r>
        <w:rPr>
          <w:rFonts w:ascii="Calibri" w:hAnsi="Calibri"/>
          <w:b/>
          <w:color w:val="0B2545"/>
          <w:sz w:val="19"/>
        </w:rPr>
        <w:t>SEC. 607. COORDINATION AND COMMON-VENDOR RULES.</w:t>
      </w:r>
    </w:p>
    <w:p>
      <w:pPr>
        <w:pStyle w:val="LegalLevel1"/>
      </w:pPr>
      <w:r>
        <w:rPr>
          <w:rFonts w:ascii="Times New Roman" w:hAnsi="Times New Roman"/>
          <w:color w:val="1F2937"/>
          <w:sz w:val="20"/>
        </w:rPr>
        <w:t>(a) Any expenditure made in coordination with a candidate, authorized committee, or political party shall be treated as a contribution subject to applicable limits and prohibitions.</w:t>
      </w:r>
    </w:p>
    <w:p>
      <w:pPr>
        <w:pStyle w:val="LegalLevel1"/>
      </w:pPr>
      <w:r>
        <w:rPr>
          <w:rFonts w:ascii="Times New Roman" w:hAnsi="Times New Roman"/>
          <w:color w:val="1F2937"/>
          <w:sz w:val="20"/>
        </w:rPr>
        <w:t>(b) Coordination shall be presumed, absent clear and convincing evidence to the contrary, where—</w:t>
      </w:r>
    </w:p>
    <w:p>
      <w:pPr>
        <w:pStyle w:val="LegalLevel2"/>
      </w:pPr>
      <w:r>
        <w:rPr>
          <w:rFonts w:ascii="Times New Roman" w:hAnsi="Times New Roman"/>
          <w:color w:val="1F2937"/>
          <w:sz w:val="20"/>
        </w:rPr>
        <w:t>(1) the spender and candidate share a common vendor who has provided strategic services to the candidate in the preceding 2 years;</w:t>
      </w:r>
    </w:p>
    <w:p>
      <w:pPr>
        <w:pStyle w:val="LegalLevel2"/>
      </w:pPr>
      <w:r>
        <w:rPr>
          <w:rFonts w:ascii="Times New Roman" w:hAnsi="Times New Roman"/>
          <w:color w:val="1F2937"/>
          <w:sz w:val="20"/>
        </w:rPr>
        <w:t>(2) the spender employs a former senior employee or consultant of the candidate within the preceding 2 years and uses material nonpublic campaign information;</w:t>
      </w:r>
    </w:p>
    <w:p>
      <w:pPr>
        <w:pStyle w:val="LegalLevel2"/>
      </w:pPr>
      <w:r>
        <w:rPr>
          <w:rFonts w:ascii="Times New Roman" w:hAnsi="Times New Roman"/>
          <w:color w:val="1F2937"/>
          <w:sz w:val="20"/>
        </w:rPr>
        <w:t>(3) the candidate or officeholder materially participates in fundraising, audience selection, message testing, or strategic planning for the spender; or</w:t>
      </w:r>
    </w:p>
    <w:p>
      <w:pPr>
        <w:pStyle w:val="LegalLevel2"/>
      </w:pPr>
      <w:r>
        <w:rPr>
          <w:rFonts w:ascii="Times New Roman" w:hAnsi="Times New Roman"/>
          <w:color w:val="1F2937"/>
          <w:sz w:val="20"/>
        </w:rPr>
        <w:t>(4) the spender republishes campaign-prepared materials outside a de minimis exception.</w:t>
      </w:r>
    </w:p>
    <w:p>
      <w:pPr>
        <w:pStyle w:val="SectionHeading"/>
      </w:pPr>
      <w:r>
        <w:rPr>
          <w:rFonts w:ascii="Calibri" w:hAnsi="Calibri"/>
          <w:b/>
          <w:color w:val="0B2545"/>
          <w:sz w:val="19"/>
        </w:rPr>
        <w:t>SEC. 608. CANDIDATE AND OFFICEHOLDER SEPARATION FROM OUTSIDE GROUPS; LEADERSHIP PAC REFORM.</w:t>
      </w:r>
    </w:p>
    <w:p>
      <w:pPr>
        <w:pStyle w:val="LegalLevel1"/>
      </w:pPr>
      <w:r>
        <w:rPr>
          <w:rFonts w:ascii="Times New Roman" w:hAnsi="Times New Roman"/>
          <w:color w:val="1F2937"/>
          <w:sz w:val="20"/>
        </w:rPr>
        <w:t>(a) A Federal candidate or officeholder may not establish, direct, control, or solicit funds in excess of $5,000 per year for any political committee that makes only independent expenditures or electioneering communications.</w:t>
      </w:r>
    </w:p>
    <w:p>
      <w:pPr>
        <w:pStyle w:val="LegalLevel1"/>
      </w:pPr>
      <w:r>
        <w:rPr>
          <w:rFonts w:ascii="Times New Roman" w:hAnsi="Times New Roman"/>
          <w:color w:val="1F2937"/>
          <w:sz w:val="20"/>
        </w:rPr>
        <w:t>(b) A Federal candidate or officeholder may not use official resources, staff, or title to raise funds for such committees.</w:t>
      </w:r>
    </w:p>
    <w:p>
      <w:pPr>
        <w:pStyle w:val="LegalLevel1"/>
      </w:pPr>
      <w:r>
        <w:rPr>
          <w:rFonts w:ascii="Times New Roman" w:hAnsi="Times New Roman"/>
          <w:color w:val="1F2937"/>
          <w:sz w:val="20"/>
        </w:rPr>
        <w:t>(c) No leadership PAC controlled by a Federal officeholder may accept contributions later than 180 days after enactment, and all such committees shall terminate not later than 1 year after enactment.</w:t>
      </w:r>
    </w:p>
    <w:p>
      <w:pPr>
        <w:pStyle w:val="SectionHeading"/>
      </w:pPr>
      <w:r>
        <w:rPr>
          <w:rFonts w:ascii="Calibri" w:hAnsi="Calibri"/>
          <w:b/>
          <w:color w:val="0B2545"/>
          <w:sz w:val="19"/>
        </w:rPr>
        <w:t>SEC. 609. BUNDLING, CONTRACTOR, AND FOREIGN-AGENT TRANSPARENCY.</w:t>
      </w:r>
    </w:p>
    <w:p>
      <w:pPr>
        <w:pStyle w:val="LegalLevel1"/>
      </w:pPr>
      <w:r>
        <w:rPr>
          <w:rFonts w:ascii="Times New Roman" w:hAnsi="Times New Roman"/>
          <w:color w:val="1F2937"/>
          <w:sz w:val="20"/>
        </w:rPr>
        <w:t>(a) Any person who bundles contributions aggregating more than $10,000 in an election cycle for a Federal candidate, party committee, or political committee shall disclose such bundling to the Commission within 48 hours.</w:t>
      </w:r>
    </w:p>
    <w:p>
      <w:pPr>
        <w:pStyle w:val="LegalLevel1"/>
      </w:pPr>
      <w:r>
        <w:rPr>
          <w:rFonts w:ascii="Times New Roman" w:hAnsi="Times New Roman"/>
          <w:color w:val="1F2937"/>
          <w:sz w:val="20"/>
        </w:rPr>
        <w:t>(b) Any Federal contractor or grantee making election-related disbursements shall certify that no Federal contract or grant funds were used, directly or indirectly, for such disbursements.</w:t>
      </w:r>
    </w:p>
    <w:p>
      <w:pPr>
        <w:pStyle w:val="LegalLevel1"/>
      </w:pPr>
      <w:r>
        <w:rPr>
          <w:rFonts w:ascii="Times New Roman" w:hAnsi="Times New Roman"/>
          <w:color w:val="1F2937"/>
          <w:sz w:val="20"/>
        </w:rPr>
        <w:t>(c) A person registered under the Foreign Agents Registration Act of 1938, acting on behalf of a foreign principal, may not bundle or solicit contributions in connection with an election for Federal office.</w:t>
      </w:r>
    </w:p>
    <w:p>
      <w:pPr>
        <w:pStyle w:val="SectionHeading"/>
      </w:pPr>
      <w:r>
        <w:rPr>
          <w:rFonts w:ascii="Calibri" w:hAnsi="Calibri"/>
          <w:b/>
          <w:color w:val="0B2545"/>
          <w:sz w:val="19"/>
        </w:rPr>
        <w:t>SEC. 610. DIGITAL AD PURCHASER VERIFICATION.</w:t>
      </w:r>
    </w:p>
    <w:p>
      <w:pPr>
        <w:pStyle w:val="LegalLevel1"/>
      </w:pPr>
      <w:r>
        <w:rPr>
          <w:rFonts w:ascii="Times New Roman" w:hAnsi="Times New Roman"/>
          <w:color w:val="1F2937"/>
          <w:sz w:val="20"/>
        </w:rPr>
        <w:t>(a) A covered digital platform may not sell a covered public election communication unless the purchaser has provided—</w:t>
      </w:r>
    </w:p>
    <w:p>
      <w:pPr>
        <w:pStyle w:val="LegalLevel2"/>
      </w:pPr>
      <w:r>
        <w:rPr>
          <w:rFonts w:ascii="Times New Roman" w:hAnsi="Times New Roman"/>
          <w:color w:val="1F2937"/>
          <w:sz w:val="20"/>
        </w:rPr>
        <w:t>(1) a verified legal name;</w:t>
      </w:r>
    </w:p>
    <w:p>
      <w:pPr>
        <w:pStyle w:val="LegalLevel2"/>
      </w:pPr>
      <w:r>
        <w:rPr>
          <w:rFonts w:ascii="Times New Roman" w:hAnsi="Times New Roman"/>
          <w:color w:val="1F2937"/>
          <w:sz w:val="20"/>
        </w:rPr>
        <w:t>(2) a verified United States address;</w:t>
      </w:r>
    </w:p>
    <w:p>
      <w:pPr>
        <w:pStyle w:val="LegalLevel2"/>
      </w:pPr>
      <w:r>
        <w:rPr>
          <w:rFonts w:ascii="Times New Roman" w:hAnsi="Times New Roman"/>
          <w:color w:val="1F2937"/>
          <w:sz w:val="20"/>
        </w:rPr>
        <w:t>(3) a verified payment source;</w:t>
      </w:r>
    </w:p>
    <w:p>
      <w:pPr>
        <w:pStyle w:val="LegalLevel2"/>
      </w:pPr>
      <w:r>
        <w:rPr>
          <w:rFonts w:ascii="Times New Roman" w:hAnsi="Times New Roman"/>
          <w:color w:val="1F2937"/>
          <w:sz w:val="20"/>
        </w:rPr>
        <w:t>(4) beneficial-ownership information where the purchaser is an entity; and</w:t>
      </w:r>
    </w:p>
    <w:p>
      <w:pPr>
        <w:pStyle w:val="LegalLevel2"/>
      </w:pPr>
      <w:r>
        <w:rPr>
          <w:rFonts w:ascii="Times New Roman" w:hAnsi="Times New Roman"/>
          <w:color w:val="1F2937"/>
          <w:sz w:val="20"/>
        </w:rPr>
        <w:t>(5) a certification that the purchase does not violate sections 605 and 606.</w:t>
      </w:r>
    </w:p>
    <w:p>
      <w:pPr>
        <w:pStyle w:val="LegalLevel1"/>
      </w:pPr>
      <w:r>
        <w:rPr>
          <w:rFonts w:ascii="Times New Roman" w:hAnsi="Times New Roman"/>
          <w:color w:val="1F2937"/>
          <w:sz w:val="20"/>
        </w:rPr>
        <w:t>(b) Platforms shall maintain records under this section for not fewer than 7 years.</w:t>
      </w:r>
    </w:p>
    <w:p>
      <w:pPr>
        <w:pStyle w:val="SectionHeading"/>
      </w:pPr>
      <w:r>
        <w:rPr>
          <w:rFonts w:ascii="Calibri" w:hAnsi="Calibri"/>
          <w:b/>
          <w:color w:val="0B2545"/>
          <w:sz w:val="19"/>
        </w:rPr>
        <w:t>SEC. 611. ENFORCEMENT AND PENALTIES.</w:t>
      </w:r>
    </w:p>
    <w:p>
      <w:pPr>
        <w:pStyle w:val="LegalLevel1"/>
      </w:pPr>
      <w:r>
        <w:rPr>
          <w:rFonts w:ascii="Times New Roman" w:hAnsi="Times New Roman"/>
          <w:color w:val="1F2937"/>
          <w:sz w:val="20"/>
        </w:rPr>
        <w:t>(a) A civil violation of this title shall be punishable by a penalty not exceeding the greater of—</w:t>
      </w:r>
    </w:p>
    <w:p>
      <w:pPr>
        <w:pStyle w:val="LegalLevel2"/>
      </w:pPr>
      <w:r>
        <w:rPr>
          <w:rFonts w:ascii="Times New Roman" w:hAnsi="Times New Roman"/>
          <w:color w:val="1F2937"/>
          <w:sz w:val="20"/>
        </w:rPr>
        <w:t>(1) $50,000; or</w:t>
      </w:r>
    </w:p>
    <w:p>
      <w:pPr>
        <w:pStyle w:val="LegalLevel2"/>
      </w:pPr>
      <w:r>
        <w:rPr>
          <w:rFonts w:ascii="Times New Roman" w:hAnsi="Times New Roman"/>
          <w:color w:val="1F2937"/>
          <w:sz w:val="20"/>
        </w:rPr>
        <w:t>(2) 200 percent of the amount involved.</w:t>
      </w:r>
    </w:p>
    <w:p>
      <w:pPr>
        <w:pStyle w:val="LegalLevel1"/>
      </w:pPr>
      <w:r>
        <w:rPr>
          <w:rFonts w:ascii="Times New Roman" w:hAnsi="Times New Roman"/>
          <w:color w:val="1F2937"/>
          <w:sz w:val="20"/>
        </w:rPr>
        <w:t>(b) A knowing and willful violation may be punished by a fine under title 18, United States Code, imprisonment for not more than 5 years, or both.</w:t>
      </w:r>
    </w:p>
    <w:p>
      <w:pPr>
        <w:pStyle w:val="SectionHeading"/>
      </w:pPr>
      <w:r>
        <w:rPr>
          <w:rFonts w:ascii="Calibri" w:hAnsi="Calibri"/>
          <w:b/>
          <w:color w:val="0B2545"/>
          <w:sz w:val="19"/>
        </w:rPr>
        <w:t>SEC. 612. FEDERAL ELECTION COMMISSION MODERNIZATION.</w:t>
      </w:r>
    </w:p>
    <w:p>
      <w:pPr>
        <w:pStyle w:val="LegalLevel1"/>
      </w:pPr>
      <w:r>
        <w:rPr>
          <w:rFonts w:ascii="Times New Roman" w:hAnsi="Times New Roman"/>
          <w:color w:val="1F2937"/>
          <w:sz w:val="20"/>
        </w:rPr>
        <w:t>(a) The Federal Election Commission shall be composed of 5 members appointed by the President, by and with the advice and consent of the Senate.</w:t>
      </w:r>
    </w:p>
    <w:p>
      <w:pPr>
        <w:pStyle w:val="LegalLevel1"/>
      </w:pPr>
      <w:r>
        <w:rPr>
          <w:rFonts w:ascii="Times New Roman" w:hAnsi="Times New Roman"/>
          <w:color w:val="1F2937"/>
          <w:sz w:val="20"/>
        </w:rPr>
        <w:t>(b) Not more than 2 members shall be affiliated with the same political party.</w:t>
      </w:r>
    </w:p>
    <w:p>
      <w:pPr>
        <w:pStyle w:val="LegalLevel1"/>
      </w:pPr>
      <w:r>
        <w:rPr>
          <w:rFonts w:ascii="Times New Roman" w:hAnsi="Times New Roman"/>
          <w:color w:val="1F2937"/>
          <w:sz w:val="20"/>
        </w:rPr>
        <w:t>(c) At least one member shall not be affiliated with either of the 2 major political parties.</w:t>
      </w:r>
    </w:p>
    <w:p>
      <w:pPr>
        <w:pStyle w:val="LegalLevel1"/>
      </w:pPr>
      <w:r>
        <w:rPr>
          <w:rFonts w:ascii="Times New Roman" w:hAnsi="Times New Roman"/>
          <w:color w:val="1F2937"/>
          <w:sz w:val="20"/>
        </w:rPr>
        <w:t>(d) Three members shall constitute a quorum.</w:t>
      </w:r>
    </w:p>
    <w:p>
      <w:pPr>
        <w:pStyle w:val="LegalLevel1"/>
      </w:pPr>
      <w:r>
        <w:rPr>
          <w:rFonts w:ascii="Times New Roman" w:hAnsi="Times New Roman"/>
          <w:color w:val="1F2937"/>
          <w:sz w:val="20"/>
        </w:rPr>
        <w:t>(e) Members shall serve one nonrenewable term of 6 years, staggered as provided by law.</w:t>
      </w:r>
    </w:p>
    <w:p>
      <w:pPr>
        <w:pStyle w:val="LegalLevel1"/>
      </w:pPr>
      <w:r>
        <w:rPr>
          <w:rFonts w:ascii="Times New Roman" w:hAnsi="Times New Roman"/>
          <w:color w:val="1F2937"/>
          <w:sz w:val="20"/>
        </w:rPr>
        <w:t>(f) The Commission shall establish a professional enforcement bureau headed by a Chief Enforcement Officer appointed on a nonpartisan basis.</w:t>
      </w:r>
    </w:p>
    <w:p>
      <w:pPr>
        <w:pStyle w:val="TitleHeading"/>
      </w:pPr>
      <w:r>
        <w:rPr>
          <w:rFonts w:ascii="Calibri" w:hAnsi="Calibri"/>
          <w:b/>
          <w:color w:val="0B2545"/>
          <w:sz w:val="20"/>
        </w:rPr>
        <w:t>TITLE VII — VOTING RIGHTS ADVANCEMENT AND EQUAL ACCESS</w:t>
      </w:r>
    </w:p>
    <w:p>
      <w:pPr>
        <w:pStyle w:val="SectionHeading"/>
      </w:pPr>
      <w:r>
        <w:rPr>
          <w:rFonts w:ascii="Calibri" w:hAnsi="Calibri"/>
          <w:b/>
          <w:color w:val="0B2545"/>
          <w:sz w:val="19"/>
        </w:rPr>
        <w:t>SEC. 701. MODERNIZED PRECLEARANCE COVERAGE FORMULA.</w:t>
      </w:r>
    </w:p>
    <w:p>
      <w:pPr>
        <w:pStyle w:val="LegalLevel1"/>
      </w:pPr>
      <w:r>
        <w:rPr>
          <w:rFonts w:ascii="Times New Roman" w:hAnsi="Times New Roman"/>
          <w:color w:val="1F2937"/>
          <w:sz w:val="20"/>
        </w:rPr>
        <w:t>(a) For purposes of this title, a State shall be a covered jurisdiction for 10 years if, during the preceding 25 years—</w:t>
      </w:r>
    </w:p>
    <w:p>
      <w:pPr>
        <w:pStyle w:val="LegalLevel2"/>
      </w:pPr>
      <w:r>
        <w:rPr>
          <w:rFonts w:ascii="Times New Roman" w:hAnsi="Times New Roman"/>
          <w:color w:val="1F2937"/>
          <w:sz w:val="20"/>
        </w:rPr>
        <w:t>(1) 15 or more voting-rights violations occurred within the State;</w:t>
      </w:r>
    </w:p>
    <w:p>
      <w:pPr>
        <w:pStyle w:val="LegalLevel2"/>
      </w:pPr>
      <w:r>
        <w:rPr>
          <w:rFonts w:ascii="Times New Roman" w:hAnsi="Times New Roman"/>
          <w:color w:val="1F2937"/>
          <w:sz w:val="20"/>
        </w:rPr>
        <w:t>(2) 10 or more voting-rights violations occurred within the State, at least one of which was committed by the State itself; or</w:t>
      </w:r>
    </w:p>
    <w:p>
      <w:pPr>
        <w:pStyle w:val="LegalLevel2"/>
      </w:pPr>
      <w:r>
        <w:rPr>
          <w:rFonts w:ascii="Times New Roman" w:hAnsi="Times New Roman"/>
          <w:color w:val="1F2937"/>
          <w:sz w:val="20"/>
        </w:rPr>
        <w:t>(3) 3 or more voting-rights violations were committed by the State itself.</w:t>
      </w:r>
    </w:p>
    <w:p>
      <w:pPr>
        <w:pStyle w:val="LegalLevel1"/>
      </w:pPr>
      <w:r>
        <w:rPr>
          <w:rFonts w:ascii="Times New Roman" w:hAnsi="Times New Roman"/>
          <w:color w:val="1F2937"/>
          <w:sz w:val="20"/>
        </w:rPr>
        <w:t>(b) A political subdivision shall be a covered jurisdiction for 10 years if, during the preceding 25 years, 3 or more voting-rights violations occurred within the subdivision.</w:t>
      </w:r>
    </w:p>
    <w:p>
      <w:pPr>
        <w:pStyle w:val="LegalLevel1"/>
      </w:pPr>
      <w:r>
        <w:rPr>
          <w:rFonts w:ascii="Times New Roman" w:hAnsi="Times New Roman"/>
          <w:color w:val="1F2937"/>
          <w:sz w:val="20"/>
        </w:rPr>
        <w:t>(c) In this section, the term voting-rights violation means—</w:t>
      </w:r>
    </w:p>
    <w:p>
      <w:pPr>
        <w:pStyle w:val="LegalLevel2"/>
      </w:pPr>
      <w:r>
        <w:rPr>
          <w:rFonts w:ascii="Times New Roman" w:hAnsi="Times New Roman"/>
          <w:color w:val="1F2937"/>
          <w:sz w:val="20"/>
        </w:rPr>
        <w:t>(1) a final judgment by any court of the United States determining that a voting practice or procedure violated the Constitution or laws of the United States relating to voting discrimination, denial, dilution, intimidation, language access, or disability access;</w:t>
      </w:r>
    </w:p>
    <w:p>
      <w:pPr>
        <w:pStyle w:val="LegalLevel2"/>
      </w:pPr>
      <w:r>
        <w:rPr>
          <w:rFonts w:ascii="Times New Roman" w:hAnsi="Times New Roman"/>
          <w:color w:val="1F2937"/>
          <w:sz w:val="20"/>
        </w:rPr>
        <w:t>(2) a consent decree or settlement in which the jurisdiction admits material facts establishing such a violation;</w:t>
      </w:r>
    </w:p>
    <w:p>
      <w:pPr>
        <w:pStyle w:val="LegalLevel2"/>
      </w:pPr>
      <w:r>
        <w:rPr>
          <w:rFonts w:ascii="Times New Roman" w:hAnsi="Times New Roman"/>
          <w:color w:val="1F2937"/>
          <w:sz w:val="20"/>
        </w:rPr>
        <w:t>(3) a final administrative finding under this Act, where judicial review has been exhausted or waived; or</w:t>
      </w:r>
    </w:p>
    <w:p>
      <w:pPr>
        <w:pStyle w:val="LegalLevel2"/>
      </w:pPr>
      <w:r>
        <w:rPr>
          <w:rFonts w:ascii="Times New Roman" w:hAnsi="Times New Roman"/>
          <w:color w:val="1F2937"/>
          <w:sz w:val="20"/>
        </w:rPr>
        <w:t>(4) any other final determination specified by regulation that provides equivalent indicia of a contemporary voting-rights violation.</w:t>
      </w:r>
    </w:p>
    <w:p>
      <w:pPr>
        <w:pStyle w:val="LegalLevel1"/>
      </w:pPr>
      <w:r>
        <w:rPr>
          <w:rFonts w:ascii="Times New Roman" w:hAnsi="Times New Roman"/>
          <w:color w:val="1F2937"/>
          <w:sz w:val="20"/>
        </w:rPr>
        <w:t>(d) A covered jurisdiction may terminate coverage by obtaining a declaratory judgment that it has complied with this title for the preceding 10 years and has not engaged in a voting-rights violation during that period.</w:t>
      </w:r>
    </w:p>
    <w:p>
      <w:pPr>
        <w:pStyle w:val="SectionHeading"/>
      </w:pPr>
      <w:r>
        <w:rPr>
          <w:rFonts w:ascii="Calibri" w:hAnsi="Calibri"/>
          <w:b/>
          <w:color w:val="0B2545"/>
          <w:sz w:val="19"/>
        </w:rPr>
        <w:t>SEC. 702. PRACTICE-BASED PRECLEARANCE FOR COVERED CHANGES.</w:t>
      </w:r>
    </w:p>
    <w:p>
      <w:pPr>
        <w:pStyle w:val="LegalLevel1"/>
      </w:pPr>
      <w:r>
        <w:rPr>
          <w:rFonts w:ascii="Times New Roman" w:hAnsi="Times New Roman"/>
          <w:color w:val="1F2937"/>
          <w:sz w:val="20"/>
        </w:rPr>
        <w:t>(a) A covered jurisdiction, and any other jurisdiction meeting criteria established by the Attorney General under this section, shall obtain preclearance before implementing any covered change in connection with an election for Federal office.</w:t>
      </w:r>
    </w:p>
    <w:p>
      <w:pPr>
        <w:pStyle w:val="LegalLevel1"/>
      </w:pPr>
      <w:r>
        <w:rPr>
          <w:rFonts w:ascii="Times New Roman" w:hAnsi="Times New Roman"/>
          <w:color w:val="1F2937"/>
          <w:sz w:val="20"/>
        </w:rPr>
        <w:t>(b) A covered change includes—</w:t>
      </w:r>
    </w:p>
    <w:p>
      <w:pPr>
        <w:pStyle w:val="LegalLevel2"/>
      </w:pPr>
      <w:r>
        <w:rPr>
          <w:rFonts w:ascii="Times New Roman" w:hAnsi="Times New Roman"/>
          <w:color w:val="1F2937"/>
          <w:sz w:val="20"/>
        </w:rPr>
        <w:t>(1) changes to district boundaries or methods of election;</w:t>
      </w:r>
    </w:p>
    <w:p>
      <w:pPr>
        <w:pStyle w:val="LegalLevel2"/>
      </w:pPr>
      <w:r>
        <w:rPr>
          <w:rFonts w:ascii="Times New Roman" w:hAnsi="Times New Roman"/>
          <w:color w:val="1F2937"/>
          <w:sz w:val="20"/>
        </w:rPr>
        <w:t>(2) changes from district-based to at-large elections, or the reverse;</w:t>
      </w:r>
    </w:p>
    <w:p>
      <w:pPr>
        <w:pStyle w:val="LegalLevel2"/>
      </w:pPr>
      <w:r>
        <w:rPr>
          <w:rFonts w:ascii="Times New Roman" w:hAnsi="Times New Roman"/>
          <w:color w:val="1F2937"/>
          <w:sz w:val="20"/>
        </w:rPr>
        <w:t>(3) reductions in the number of polling places, early-voting sites, or drop boxes exceeding 10 percent in a jurisdiction;</w:t>
      </w:r>
    </w:p>
    <w:p>
      <w:pPr>
        <w:pStyle w:val="LegalLevel2"/>
      </w:pPr>
      <w:r>
        <w:rPr>
          <w:rFonts w:ascii="Times New Roman" w:hAnsi="Times New Roman"/>
          <w:color w:val="1F2937"/>
          <w:sz w:val="20"/>
        </w:rPr>
        <w:t>(4) changes to voter identification or documentary requirements;</w:t>
      </w:r>
    </w:p>
    <w:p>
      <w:pPr>
        <w:pStyle w:val="LegalLevel2"/>
      </w:pPr>
      <w:r>
        <w:rPr>
          <w:rFonts w:ascii="Times New Roman" w:hAnsi="Times New Roman"/>
          <w:color w:val="1F2937"/>
          <w:sz w:val="20"/>
        </w:rPr>
        <w:t>(5) large-scale purge programs;</w:t>
      </w:r>
    </w:p>
    <w:p>
      <w:pPr>
        <w:pStyle w:val="LegalLevel2"/>
      </w:pPr>
      <w:r>
        <w:rPr>
          <w:rFonts w:ascii="Times New Roman" w:hAnsi="Times New Roman"/>
          <w:color w:val="1F2937"/>
          <w:sz w:val="20"/>
        </w:rPr>
        <w:t>(6) reductions in language or disability assistance;</w:t>
      </w:r>
    </w:p>
    <w:p>
      <w:pPr>
        <w:pStyle w:val="LegalLevel2"/>
      </w:pPr>
      <w:r>
        <w:rPr>
          <w:rFonts w:ascii="Times New Roman" w:hAnsi="Times New Roman"/>
          <w:color w:val="1F2937"/>
          <w:sz w:val="20"/>
        </w:rPr>
        <w:t>(7) material reductions in mail-voting or cure opportunities; and</w:t>
      </w:r>
    </w:p>
    <w:p>
      <w:pPr>
        <w:pStyle w:val="LegalLevel2"/>
      </w:pPr>
      <w:r>
        <w:rPr>
          <w:rFonts w:ascii="Times New Roman" w:hAnsi="Times New Roman"/>
          <w:color w:val="1F2937"/>
          <w:sz w:val="20"/>
        </w:rPr>
        <w:t>(8) any other category the Attorney General identifies by regulation as posing a demonstrated risk of discrimination or denial of access.</w:t>
      </w:r>
    </w:p>
    <w:p>
      <w:pPr>
        <w:pStyle w:val="LegalLevel1"/>
      </w:pPr>
      <w:r>
        <w:rPr>
          <w:rFonts w:ascii="Times New Roman" w:hAnsi="Times New Roman"/>
          <w:color w:val="1F2937"/>
          <w:sz w:val="20"/>
        </w:rPr>
        <w:t>(c) Preclearance may be obtained from the Attorney General or from the United States District Court for the District of Columbia.</w:t>
      </w:r>
    </w:p>
    <w:p>
      <w:pPr>
        <w:pStyle w:val="LegalLevel1"/>
      </w:pPr>
      <w:r>
        <w:rPr>
          <w:rFonts w:ascii="Times New Roman" w:hAnsi="Times New Roman"/>
          <w:color w:val="1F2937"/>
          <w:sz w:val="20"/>
        </w:rPr>
        <w:t>(d) The submitting jurisdiction shall bear the burden of establishing that the proposed change neither has the purpose nor will have the effect of denying or abridging the right to vote on account of race, color, language-minority status, disability, or other protected characteristic under Federal law.</w:t>
      </w:r>
    </w:p>
    <w:p>
      <w:pPr>
        <w:pStyle w:val="SectionHeading"/>
      </w:pPr>
      <w:r>
        <w:rPr>
          <w:rFonts w:ascii="Calibri" w:hAnsi="Calibri"/>
          <w:b/>
          <w:color w:val="0B2545"/>
          <w:sz w:val="19"/>
        </w:rPr>
        <w:t>SEC. 703. NATIONWIDE NOTICE OF ELECTION CHANGES.</w:t>
      </w:r>
    </w:p>
    <w:p>
      <w:pPr>
        <w:pStyle w:val="LegalLevel1"/>
      </w:pPr>
      <w:r>
        <w:rPr>
          <w:rFonts w:ascii="Times New Roman" w:hAnsi="Times New Roman"/>
          <w:color w:val="1F2937"/>
          <w:sz w:val="20"/>
        </w:rPr>
        <w:t>(a) Any jurisdiction administering an election for Federal office shall publicly disclose any material change in voting procedures, locations, hours, eligibility documentation, district lines, ballot-return rules, or cure procedures not later than 45 days before the election, except in genuine emergencies.</w:t>
      </w:r>
    </w:p>
    <w:p>
      <w:pPr>
        <w:pStyle w:val="LegalLevel1"/>
      </w:pPr>
      <w:r>
        <w:rPr>
          <w:rFonts w:ascii="Times New Roman" w:hAnsi="Times New Roman"/>
          <w:color w:val="1F2937"/>
          <w:sz w:val="20"/>
        </w:rPr>
        <w:t>(b) Such disclosure shall be posted on the official election portal required by section 411 and provided in accessible and translated formats.</w:t>
      </w:r>
    </w:p>
    <w:p>
      <w:pPr>
        <w:pStyle w:val="SectionHeading"/>
      </w:pPr>
      <w:r>
        <w:rPr>
          <w:rFonts w:ascii="Calibri" w:hAnsi="Calibri"/>
          <w:b/>
          <w:color w:val="0B2545"/>
          <w:sz w:val="19"/>
        </w:rPr>
        <w:t>SEC. 704. ASSISTANCE RIGHTS.</w:t>
      </w:r>
    </w:p>
    <w:p>
      <w:pPr>
        <w:pStyle w:val="LegalLevel1"/>
      </w:pPr>
      <w:r>
        <w:rPr>
          <w:rFonts w:ascii="Times New Roman" w:hAnsi="Times New Roman"/>
          <w:color w:val="1F2937"/>
          <w:sz w:val="20"/>
        </w:rPr>
        <w:t>(a) A voter who requires assistance to vote by reason of disability, language need, literacy need, or other substantial need may be assisted by a person of the voter’s choice, other than the voter’s employer or agent of such employer or an officer or agent of the voter’s union.</w:t>
      </w:r>
    </w:p>
    <w:p>
      <w:pPr>
        <w:pStyle w:val="LegalLevel1"/>
      </w:pPr>
      <w:r>
        <w:rPr>
          <w:rFonts w:ascii="Times New Roman" w:hAnsi="Times New Roman"/>
          <w:color w:val="1F2937"/>
          <w:sz w:val="20"/>
        </w:rPr>
        <w:t>(b) No State or locality may impose unnecessary restrictions on lawful assistance to voters under this section.</w:t>
      </w:r>
    </w:p>
    <w:p>
      <w:pPr>
        <w:pStyle w:val="SectionHeading"/>
      </w:pPr>
      <w:r>
        <w:rPr>
          <w:rFonts w:ascii="Calibri" w:hAnsi="Calibri"/>
          <w:b/>
          <w:color w:val="0B2545"/>
          <w:sz w:val="19"/>
        </w:rPr>
        <w:t>SEC. 705. ANTI-INTIMIDATION AND ANTI-HARASSMENT PROTECTIONS.</w:t>
      </w:r>
    </w:p>
    <w:p>
      <w:pPr>
        <w:pStyle w:val="LegalLevel1"/>
      </w:pPr>
      <w:r>
        <w:rPr>
          <w:rFonts w:ascii="Times New Roman" w:hAnsi="Times New Roman"/>
          <w:color w:val="1F2937"/>
          <w:sz w:val="20"/>
        </w:rPr>
        <w:t>(a) It shall be unlawful to intimidate, threaten, coerce, harass, surveil, block, or otherwise interfere with a person seeking to register, vote, assist a voter, return a ballot, cure a ballot, or administer an election for Federal office.</w:t>
      </w:r>
    </w:p>
    <w:p>
      <w:pPr>
        <w:pStyle w:val="LegalLevel1"/>
      </w:pPr>
      <w:r>
        <w:rPr>
          <w:rFonts w:ascii="Times New Roman" w:hAnsi="Times New Roman"/>
          <w:color w:val="1F2937"/>
          <w:sz w:val="20"/>
        </w:rPr>
        <w:t>(b) It shall be unlawful, without lawful authority and individualized factual basis, to—</w:t>
      </w:r>
    </w:p>
    <w:p>
      <w:pPr>
        <w:pStyle w:val="LegalLevel2"/>
      </w:pPr>
      <w:r>
        <w:rPr>
          <w:rFonts w:ascii="Times New Roman" w:hAnsi="Times New Roman"/>
          <w:color w:val="1F2937"/>
          <w:sz w:val="20"/>
        </w:rPr>
        <w:t>(1) conduct mass challenges to voter eligibility;</w:t>
      </w:r>
    </w:p>
    <w:p>
      <w:pPr>
        <w:pStyle w:val="LegalLevel2"/>
      </w:pPr>
      <w:r>
        <w:rPr>
          <w:rFonts w:ascii="Times New Roman" w:hAnsi="Times New Roman"/>
          <w:color w:val="1F2937"/>
          <w:sz w:val="20"/>
        </w:rPr>
        <w:t>(2) patrol or monitor a polling place or drop box while armed;</w:t>
      </w:r>
    </w:p>
    <w:p>
      <w:pPr>
        <w:pStyle w:val="LegalLevel2"/>
      </w:pPr>
      <w:r>
        <w:rPr>
          <w:rFonts w:ascii="Times New Roman" w:hAnsi="Times New Roman"/>
          <w:color w:val="1F2937"/>
          <w:sz w:val="20"/>
        </w:rPr>
        <w:t>(3) obstruct lines or entrances;</w:t>
      </w:r>
    </w:p>
    <w:p>
      <w:pPr>
        <w:pStyle w:val="LegalLevel2"/>
      </w:pPr>
      <w:r>
        <w:rPr>
          <w:rFonts w:ascii="Times New Roman" w:hAnsi="Times New Roman"/>
          <w:color w:val="1F2937"/>
          <w:sz w:val="20"/>
        </w:rPr>
        <w:t>(4) photograph, film, or record voters in a manner intended to harass or deter voting; or</w:t>
      </w:r>
    </w:p>
    <w:p>
      <w:pPr>
        <w:pStyle w:val="LegalLevel2"/>
      </w:pPr>
      <w:r>
        <w:rPr>
          <w:rFonts w:ascii="Times New Roman" w:hAnsi="Times New Roman"/>
          <w:color w:val="1F2937"/>
          <w:sz w:val="20"/>
        </w:rPr>
        <w:t>(5) interfere with lawful ballot return.</w:t>
      </w:r>
    </w:p>
    <w:p>
      <w:pPr>
        <w:pStyle w:val="LegalLevel1"/>
      </w:pPr>
      <w:r>
        <w:rPr>
          <w:rFonts w:ascii="Times New Roman" w:hAnsi="Times New Roman"/>
          <w:color w:val="1F2937"/>
          <w:sz w:val="20"/>
        </w:rPr>
        <w:t>(c) Nothing in this section shall be construed to prohibit lawful poll observation conducted pursuant to neutral rules that protect voters from interference.</w:t>
      </w:r>
    </w:p>
    <w:p>
      <w:pPr>
        <w:pStyle w:val="SectionHeading"/>
      </w:pPr>
      <w:r>
        <w:rPr>
          <w:rFonts w:ascii="Calibri" w:hAnsi="Calibri"/>
          <w:b/>
          <w:color w:val="0B2545"/>
          <w:sz w:val="19"/>
        </w:rPr>
        <w:t>SEC. 706. STANDARDS FOR PRELIMINARY RELIEF AND EXPEDITED REVIEW.</w:t>
      </w:r>
    </w:p>
    <w:p>
      <w:pPr>
        <w:pStyle w:val="LegalLevel1"/>
      </w:pPr>
      <w:r>
        <w:rPr>
          <w:rFonts w:ascii="Times New Roman" w:hAnsi="Times New Roman"/>
          <w:color w:val="1F2937"/>
          <w:sz w:val="20"/>
        </w:rPr>
        <w:t>(a) In any action under this title, a court shall give substantial weight to the public interest in preventing disenfranchisement and preserving equal voting opportunity.</w:t>
      </w:r>
    </w:p>
    <w:p>
      <w:pPr>
        <w:pStyle w:val="LegalLevel1"/>
      </w:pPr>
      <w:r>
        <w:rPr>
          <w:rFonts w:ascii="Times New Roman" w:hAnsi="Times New Roman"/>
          <w:color w:val="1F2937"/>
          <w:sz w:val="20"/>
        </w:rPr>
        <w:t>(b) Courts shall expedite proceedings under this title.</w:t>
      </w:r>
    </w:p>
    <w:p>
      <w:pPr>
        <w:pStyle w:val="SectionHeading"/>
      </w:pPr>
      <w:r>
        <w:rPr>
          <w:rFonts w:ascii="Calibri" w:hAnsi="Calibri"/>
          <w:b/>
          <w:color w:val="0B2545"/>
          <w:sz w:val="19"/>
        </w:rPr>
        <w:t>SEC. 707. PRIVATE RIGHT OF ACTION AND ATTORNEY’S FEES.</w:t>
      </w:r>
    </w:p>
    <w:p>
      <w:pPr>
        <w:pStyle w:val="LegalLevel1"/>
      </w:pPr>
      <w:r>
        <w:rPr>
          <w:rFonts w:ascii="Times New Roman" w:hAnsi="Times New Roman"/>
          <w:color w:val="1F2937"/>
          <w:sz w:val="20"/>
        </w:rPr>
        <w:t>(a) Any person aggrieved by a violation of this title may bring a civil action for declaratory, injunctive, or other appropriate relief.</w:t>
      </w:r>
    </w:p>
    <w:p>
      <w:pPr>
        <w:pStyle w:val="LegalLevel1"/>
      </w:pPr>
      <w:r>
        <w:rPr>
          <w:rFonts w:ascii="Times New Roman" w:hAnsi="Times New Roman"/>
          <w:color w:val="1F2937"/>
          <w:sz w:val="20"/>
        </w:rPr>
        <w:t>(b) In any action under this title, the court may award reasonable attorney’s fees, costs, and expert fees to a prevailing plaintiff.</w:t>
      </w:r>
    </w:p>
    <w:p>
      <w:pPr>
        <w:pStyle w:val="SectionHeading"/>
      </w:pPr>
      <w:r>
        <w:rPr>
          <w:rFonts w:ascii="Calibri" w:hAnsi="Calibri"/>
          <w:b/>
          <w:color w:val="0B2545"/>
          <w:sz w:val="19"/>
        </w:rPr>
        <w:t>SEC. 708. DATA COLLECTION AND PUBLIC REPORTING.</w:t>
      </w:r>
    </w:p>
    <w:p>
      <w:pPr>
        <w:pStyle w:val="LegalBody"/>
      </w:pPr>
      <w:r>
        <w:rPr>
          <w:rFonts w:ascii="Times New Roman" w:hAnsi="Times New Roman"/>
          <w:color w:val="1F2937"/>
          <w:sz w:val="20"/>
        </w:rPr>
        <w:t>The Attorney General and the Commission shall collect and publish biennial data concerning polling-place closures, wait times, purges, registration rates, disability access, language access, rejection rates, cure rates, and voting-rights litigation.</w:t>
      </w:r>
    </w:p>
    <w:p>
      <w:pPr>
        <w:pStyle w:val="TitleHeading"/>
      </w:pPr>
      <w:r>
        <w:rPr>
          <w:rFonts w:ascii="Calibri" w:hAnsi="Calibri"/>
          <w:b/>
          <w:color w:val="0B2545"/>
          <w:sz w:val="20"/>
        </w:rPr>
        <w:t>TITLE VIII — ADMINISTRATION, FUNDING, ENFORCEMENT, AND SAFEGUARDS AGAINST PARTISAN ABUSE</w:t>
      </w:r>
    </w:p>
    <w:p>
      <w:pPr>
        <w:pStyle w:val="SectionHeading"/>
      </w:pPr>
      <w:r>
        <w:rPr>
          <w:rFonts w:ascii="Calibri" w:hAnsi="Calibri"/>
          <w:b/>
          <w:color w:val="0B2545"/>
          <w:sz w:val="19"/>
        </w:rPr>
        <w:t>SEC. 801. ELECTION ASSISTANCE COMMISSION MODERNIZATION.</w:t>
      </w:r>
    </w:p>
    <w:p>
      <w:pPr>
        <w:pStyle w:val="LegalLevel1"/>
      </w:pPr>
      <w:r>
        <w:rPr>
          <w:rFonts w:ascii="Times New Roman" w:hAnsi="Times New Roman"/>
          <w:color w:val="1F2937"/>
          <w:sz w:val="20"/>
        </w:rPr>
        <w:t>(a) The Election Assistance Commission shall be reconstituted as an independent agency with 5 commissioners, not more than 2 of whom may be affiliated with the same political party, and at least one of whom shall not be affiliated with either of the 2 major political parties.</w:t>
      </w:r>
    </w:p>
    <w:p>
      <w:pPr>
        <w:pStyle w:val="LegalLevel1"/>
      </w:pPr>
      <w:r>
        <w:rPr>
          <w:rFonts w:ascii="Times New Roman" w:hAnsi="Times New Roman"/>
          <w:color w:val="1F2937"/>
          <w:sz w:val="20"/>
        </w:rPr>
        <w:t>(b) The Commission shall have principal responsibility for standards, grants, audits, public guidance, data collection, and technical assistance under this Act.</w:t>
      </w:r>
    </w:p>
    <w:p>
      <w:pPr>
        <w:pStyle w:val="SectionHeading"/>
      </w:pPr>
      <w:r>
        <w:rPr>
          <w:rFonts w:ascii="Calibri" w:hAnsi="Calibri"/>
          <w:b/>
          <w:color w:val="0B2545"/>
          <w:sz w:val="19"/>
        </w:rPr>
        <w:t>SEC. 802. INTERAGENCY ELECTION ACCESS AND SECURITY COUNCIL.</w:t>
      </w:r>
    </w:p>
    <w:p>
      <w:pPr>
        <w:pStyle w:val="LegalLevel1"/>
      </w:pPr>
      <w:r>
        <w:rPr>
          <w:rFonts w:ascii="Times New Roman" w:hAnsi="Times New Roman"/>
          <w:color w:val="1F2937"/>
          <w:sz w:val="20"/>
        </w:rPr>
        <w:t>(a) There is established an Interagency Election Access and Security Council chaired by the Election Assistance Commission and composed of representatives of—</w:t>
      </w:r>
    </w:p>
    <w:p>
      <w:pPr>
        <w:pStyle w:val="LegalLevel2"/>
      </w:pPr>
      <w:r>
        <w:rPr>
          <w:rFonts w:ascii="Times New Roman" w:hAnsi="Times New Roman"/>
          <w:color w:val="1F2937"/>
          <w:sz w:val="20"/>
        </w:rPr>
        <w:t>(1) the Department of Justice;</w:t>
      </w:r>
    </w:p>
    <w:p>
      <w:pPr>
        <w:pStyle w:val="LegalLevel2"/>
      </w:pPr>
      <w:r>
        <w:rPr>
          <w:rFonts w:ascii="Times New Roman" w:hAnsi="Times New Roman"/>
          <w:color w:val="1F2937"/>
          <w:sz w:val="20"/>
        </w:rPr>
        <w:t>(2) the Department of Homeland Security, including CISA;</w:t>
      </w:r>
    </w:p>
    <w:p>
      <w:pPr>
        <w:pStyle w:val="LegalLevel2"/>
      </w:pPr>
      <w:r>
        <w:rPr>
          <w:rFonts w:ascii="Times New Roman" w:hAnsi="Times New Roman"/>
          <w:color w:val="1F2937"/>
          <w:sz w:val="20"/>
        </w:rPr>
        <w:t>(3) NIST;</w:t>
      </w:r>
    </w:p>
    <w:p>
      <w:pPr>
        <w:pStyle w:val="LegalLevel2"/>
      </w:pPr>
      <w:r>
        <w:rPr>
          <w:rFonts w:ascii="Times New Roman" w:hAnsi="Times New Roman"/>
          <w:color w:val="1F2937"/>
          <w:sz w:val="20"/>
        </w:rPr>
        <w:t>(4) the Department of Labor;</w:t>
      </w:r>
    </w:p>
    <w:p>
      <w:pPr>
        <w:pStyle w:val="LegalLevel2"/>
      </w:pPr>
      <w:r>
        <w:rPr>
          <w:rFonts w:ascii="Times New Roman" w:hAnsi="Times New Roman"/>
          <w:color w:val="1F2937"/>
          <w:sz w:val="20"/>
        </w:rPr>
        <w:t>(5) the Federal Communications Commission;</w:t>
      </w:r>
    </w:p>
    <w:p>
      <w:pPr>
        <w:pStyle w:val="LegalLevel2"/>
      </w:pPr>
      <w:r>
        <w:rPr>
          <w:rFonts w:ascii="Times New Roman" w:hAnsi="Times New Roman"/>
          <w:color w:val="1F2937"/>
          <w:sz w:val="20"/>
        </w:rPr>
        <w:t>(6) the Federal Trade Commission;</w:t>
      </w:r>
    </w:p>
    <w:p>
      <w:pPr>
        <w:pStyle w:val="LegalLevel2"/>
      </w:pPr>
      <w:r>
        <w:rPr>
          <w:rFonts w:ascii="Times New Roman" w:hAnsi="Times New Roman"/>
          <w:color w:val="1F2937"/>
          <w:sz w:val="20"/>
        </w:rPr>
        <w:t>(7) the Federal Election Commission;</w:t>
      </w:r>
    </w:p>
    <w:p>
      <w:pPr>
        <w:pStyle w:val="LegalLevel2"/>
      </w:pPr>
      <w:r>
        <w:rPr>
          <w:rFonts w:ascii="Times New Roman" w:hAnsi="Times New Roman"/>
          <w:color w:val="1F2937"/>
          <w:sz w:val="20"/>
        </w:rPr>
        <w:t>(8) the Department of State;</w:t>
      </w:r>
    </w:p>
    <w:p>
      <w:pPr>
        <w:pStyle w:val="LegalLevel2"/>
      </w:pPr>
      <w:r>
        <w:rPr>
          <w:rFonts w:ascii="Times New Roman" w:hAnsi="Times New Roman"/>
          <w:color w:val="1F2937"/>
          <w:sz w:val="20"/>
        </w:rPr>
        <w:t>(9) USCIS;</w:t>
      </w:r>
    </w:p>
    <w:p>
      <w:pPr>
        <w:pStyle w:val="LegalLevel2"/>
      </w:pPr>
      <w:r>
        <w:rPr>
          <w:rFonts w:ascii="Times New Roman" w:hAnsi="Times New Roman"/>
          <w:color w:val="1F2937"/>
          <w:sz w:val="20"/>
        </w:rPr>
        <w:t>(10) the Social Security Administration;</w:t>
      </w:r>
    </w:p>
    <w:p>
      <w:pPr>
        <w:pStyle w:val="LegalLevel2"/>
      </w:pPr>
      <w:r>
        <w:rPr>
          <w:rFonts w:ascii="Times New Roman" w:hAnsi="Times New Roman"/>
          <w:color w:val="1F2937"/>
          <w:sz w:val="20"/>
        </w:rPr>
        <w:t>(11) the United States Postal Service; and</w:t>
      </w:r>
    </w:p>
    <w:p>
      <w:pPr>
        <w:pStyle w:val="LegalLevel2"/>
      </w:pPr>
      <w:r>
        <w:rPr>
          <w:rFonts w:ascii="Times New Roman" w:hAnsi="Times New Roman"/>
          <w:color w:val="1F2937"/>
          <w:sz w:val="20"/>
        </w:rPr>
        <w:t>(12) such additional agencies, Tribal representatives, disability-rights representatives, and language-access experts as the Commission deems appropriate.</w:t>
      </w:r>
    </w:p>
    <w:p>
      <w:pPr>
        <w:pStyle w:val="LegalLevel1"/>
      </w:pPr>
      <w:r>
        <w:rPr>
          <w:rFonts w:ascii="Times New Roman" w:hAnsi="Times New Roman"/>
          <w:color w:val="1F2937"/>
          <w:sz w:val="20"/>
        </w:rPr>
        <w:t>(b) The Council shall coordinate implementation, technical assistance, incident response, and public guidance.</w:t>
      </w:r>
    </w:p>
    <w:p>
      <w:pPr>
        <w:pStyle w:val="SectionHeading"/>
      </w:pPr>
      <w:r>
        <w:rPr>
          <w:rFonts w:ascii="Calibri" w:hAnsi="Calibri"/>
          <w:b/>
          <w:color w:val="0B2545"/>
          <w:sz w:val="19"/>
        </w:rPr>
        <w:t>SEC. 803. FORMULA GRANTS AND AUTHORIZED APPROPRIATIONS.</w:t>
      </w:r>
    </w:p>
    <w:p>
      <w:pPr>
        <w:pStyle w:val="LegalLevel1"/>
      </w:pPr>
      <w:r>
        <w:rPr>
          <w:rFonts w:ascii="Times New Roman" w:hAnsi="Times New Roman"/>
          <w:color w:val="1F2937"/>
          <w:sz w:val="20"/>
        </w:rPr>
        <w:t>(a) There are authorized to be appropriated—</w:t>
      </w:r>
    </w:p>
    <w:p>
      <w:pPr>
        <w:pStyle w:val="LegalLevel2"/>
      </w:pPr>
      <w:r>
        <w:rPr>
          <w:rFonts w:ascii="Times New Roman" w:hAnsi="Times New Roman"/>
          <w:color w:val="1F2937"/>
          <w:sz w:val="20"/>
        </w:rPr>
        <w:t>(1) $1,500,000,000 for each of fiscal years 2027 through 2030 for implementation of titles I through V and VII through VIII;</w:t>
      </w:r>
    </w:p>
    <w:p>
      <w:pPr>
        <w:pStyle w:val="LegalLevel2"/>
      </w:pPr>
      <w:r>
        <w:rPr>
          <w:rFonts w:ascii="Times New Roman" w:hAnsi="Times New Roman"/>
          <w:color w:val="1F2937"/>
          <w:sz w:val="20"/>
        </w:rPr>
        <w:t>(2) $300,000,000 for each of fiscal years 2027 through 2030 for ranked-choice voting transition grants under title V; and</w:t>
      </w:r>
    </w:p>
    <w:p>
      <w:pPr>
        <w:pStyle w:val="LegalLevel2"/>
      </w:pPr>
      <w:r>
        <w:rPr>
          <w:rFonts w:ascii="Times New Roman" w:hAnsi="Times New Roman"/>
          <w:color w:val="1F2937"/>
          <w:sz w:val="20"/>
        </w:rPr>
        <w:t>(3) $100,000,000 for each of fiscal years 2027 through 2030 for implementation and enforcement by Federal agencies.</w:t>
      </w:r>
    </w:p>
    <w:p>
      <w:pPr>
        <w:pStyle w:val="LegalLevel1"/>
      </w:pPr>
      <w:r>
        <w:rPr>
          <w:rFonts w:ascii="Times New Roman" w:hAnsi="Times New Roman"/>
          <w:color w:val="1F2937"/>
          <w:sz w:val="20"/>
        </w:rPr>
        <w:t>(b) Amounts appropriated under this section shall remain available until expended.</w:t>
      </w:r>
    </w:p>
    <w:p>
      <w:pPr>
        <w:pStyle w:val="SectionHeading"/>
      </w:pPr>
      <w:r>
        <w:rPr>
          <w:rFonts w:ascii="Calibri" w:hAnsi="Calibri"/>
          <w:b/>
          <w:color w:val="0B2545"/>
          <w:sz w:val="19"/>
        </w:rPr>
        <w:t>SEC. 804. RESTRICTIONS ON USE OF FUNDS.</w:t>
      </w:r>
    </w:p>
    <w:p>
      <w:pPr>
        <w:pStyle w:val="LegalBody"/>
      </w:pPr>
      <w:r>
        <w:rPr>
          <w:rFonts w:ascii="Times New Roman" w:hAnsi="Times New Roman"/>
          <w:color w:val="1F2937"/>
          <w:sz w:val="20"/>
        </w:rPr>
        <w:t>Funds under this Act may not be used for partisan campaign activity, candidate advocacy, or preferential treatment of voters on the basis of party affiliation, ideology, or viewpoint.</w:t>
      </w:r>
    </w:p>
    <w:p>
      <w:pPr>
        <w:pStyle w:val="SectionHeading"/>
      </w:pPr>
      <w:r>
        <w:rPr>
          <w:rFonts w:ascii="Calibri" w:hAnsi="Calibri"/>
          <w:b/>
          <w:color w:val="0B2545"/>
          <w:sz w:val="19"/>
        </w:rPr>
        <w:t>SEC. 805. DATA PRIVACY, CIVIL RIGHTS, AND NONDISCRIMINATION.</w:t>
      </w:r>
    </w:p>
    <w:p>
      <w:pPr>
        <w:pStyle w:val="LegalLevel1"/>
      </w:pPr>
      <w:r>
        <w:rPr>
          <w:rFonts w:ascii="Times New Roman" w:hAnsi="Times New Roman"/>
          <w:color w:val="1F2937"/>
          <w:sz w:val="20"/>
        </w:rPr>
        <w:t>(a) No recipient of funds under this Act may discriminate on the basis of race, color, national origin, language status, disability, religion, sex, sexual orientation, gender identity, age, or political viewpoint in the provision of voter services.</w:t>
      </w:r>
    </w:p>
    <w:p>
      <w:pPr>
        <w:pStyle w:val="LegalLevel1"/>
      </w:pPr>
      <w:r>
        <w:rPr>
          <w:rFonts w:ascii="Times New Roman" w:hAnsi="Times New Roman"/>
          <w:color w:val="1F2937"/>
          <w:sz w:val="20"/>
        </w:rPr>
        <w:t>(b) Personal data collected under this Act may be used only for election administration, security, audit, or enforcement authorized by law.</w:t>
      </w:r>
    </w:p>
    <w:p>
      <w:pPr>
        <w:pStyle w:val="SectionHeading"/>
      </w:pPr>
      <w:r>
        <w:rPr>
          <w:rFonts w:ascii="Calibri" w:hAnsi="Calibri"/>
          <w:b/>
          <w:color w:val="0B2545"/>
          <w:sz w:val="19"/>
        </w:rPr>
        <w:t>SEC. 806. WHISTLEBLOWER PROTECTIONS.</w:t>
      </w:r>
    </w:p>
    <w:p>
      <w:pPr>
        <w:pStyle w:val="LegalBody"/>
      </w:pPr>
      <w:r>
        <w:rPr>
          <w:rFonts w:ascii="Times New Roman" w:hAnsi="Times New Roman"/>
          <w:color w:val="1F2937"/>
          <w:sz w:val="20"/>
        </w:rPr>
        <w:t>No employee, contractor, or election worker may be retaliated against for reporting in good faith a violation of this Act, cybersecurity weakness, voter-suppression practice, or fraudulent scheme.</w:t>
      </w:r>
    </w:p>
    <w:p>
      <w:pPr>
        <w:pStyle w:val="SectionHeading"/>
      </w:pPr>
      <w:r>
        <w:rPr>
          <w:rFonts w:ascii="Calibri" w:hAnsi="Calibri"/>
          <w:b/>
          <w:color w:val="0B2545"/>
          <w:sz w:val="19"/>
        </w:rPr>
        <w:t>SEC. 807. ENFORCEMENT.</w:t>
      </w:r>
    </w:p>
    <w:p>
      <w:pPr>
        <w:pStyle w:val="LegalLevel1"/>
      </w:pPr>
      <w:r>
        <w:rPr>
          <w:rFonts w:ascii="Times New Roman" w:hAnsi="Times New Roman"/>
          <w:color w:val="1F2937"/>
          <w:sz w:val="20"/>
        </w:rPr>
        <w:t>(a) Except as otherwise specifically provided, the Attorney General may bring a civil action to enforce this Act.</w:t>
      </w:r>
    </w:p>
    <w:p>
      <w:pPr>
        <w:pStyle w:val="LegalLevel1"/>
      </w:pPr>
      <w:r>
        <w:rPr>
          <w:rFonts w:ascii="Times New Roman" w:hAnsi="Times New Roman"/>
          <w:color w:val="1F2937"/>
          <w:sz w:val="20"/>
        </w:rPr>
        <w:t>(b) The Commission may refer violations to the Attorney General, the Federal Election Commission, the Federal Trade Commission, the Federal Communications Commission, or the Secretary of Labor as appropriate.</w:t>
      </w:r>
    </w:p>
    <w:p>
      <w:pPr>
        <w:pStyle w:val="LegalLevel1"/>
      </w:pPr>
      <w:r>
        <w:rPr>
          <w:rFonts w:ascii="Times New Roman" w:hAnsi="Times New Roman"/>
          <w:color w:val="1F2937"/>
          <w:sz w:val="20"/>
        </w:rPr>
        <w:t>(c) Private rights of action expressly created by this Act are in addition to any other remedy available under Federal law.</w:t>
      </w:r>
    </w:p>
    <w:p>
      <w:pPr>
        <w:pStyle w:val="SectionHeading"/>
      </w:pPr>
      <w:r>
        <w:rPr>
          <w:rFonts w:ascii="Calibri" w:hAnsi="Calibri"/>
          <w:b/>
          <w:color w:val="0B2545"/>
          <w:sz w:val="19"/>
        </w:rPr>
        <w:t>SEC. 808. PREEMPTION; FEDERAL FLOOR, NOT CEILING.</w:t>
      </w:r>
    </w:p>
    <w:p>
      <w:pPr>
        <w:pStyle w:val="LegalBody"/>
      </w:pPr>
      <w:r>
        <w:rPr>
          <w:rFonts w:ascii="Times New Roman" w:hAnsi="Times New Roman"/>
          <w:color w:val="1F2937"/>
          <w:sz w:val="20"/>
        </w:rPr>
        <w:t>This Act establishes minimum requirements for elections for Federal office. A State may provide greater access, stronger protections, or more rigorous security measures so long as such measures are consistent with the Constitution and laws of the United States.</w:t>
      </w:r>
    </w:p>
    <w:p>
      <w:pPr>
        <w:pStyle w:val="SectionHeading"/>
      </w:pPr>
      <w:r>
        <w:rPr>
          <w:rFonts w:ascii="Calibri" w:hAnsi="Calibri"/>
          <w:b/>
          <w:color w:val="0B2545"/>
          <w:sz w:val="19"/>
        </w:rPr>
        <w:t>SEC. 809. SEVERABILITY.</w:t>
      </w:r>
    </w:p>
    <w:p>
      <w:pPr>
        <w:pStyle w:val="LegalBody"/>
      </w:pPr>
      <w:r>
        <w:rPr>
          <w:rFonts w:ascii="Times New Roman" w:hAnsi="Times New Roman"/>
          <w:color w:val="1F2937"/>
          <w:sz w:val="20"/>
        </w:rPr>
        <w:t>If any provision of this Act, or the application of such provision to any person or circumstance, is held invalid, the remainder of this Act and the application of the remaining provisions shall not be affected.</w:t>
      </w:r>
    </w:p>
    <w:p>
      <w:pPr>
        <w:pStyle w:val="SectionHeading"/>
      </w:pPr>
      <w:r>
        <w:rPr>
          <w:rFonts w:ascii="Calibri" w:hAnsi="Calibri"/>
          <w:b/>
          <w:color w:val="0B2545"/>
          <w:sz w:val="19"/>
        </w:rPr>
        <w:t>SEC. 810. EFFECTIVE DATES.</w:t>
      </w:r>
    </w:p>
    <w:p>
      <w:pPr>
        <w:pStyle w:val="LegalLevel1"/>
      </w:pPr>
      <w:r>
        <w:rPr>
          <w:rFonts w:ascii="Times New Roman" w:hAnsi="Times New Roman"/>
          <w:color w:val="1F2937"/>
          <w:sz w:val="20"/>
        </w:rPr>
        <w:t>(a) Sections 101 through 103 shall take effect on January 1 of the first even-numbered year beginning after enactment.</w:t>
      </w:r>
    </w:p>
    <w:p>
      <w:pPr>
        <w:pStyle w:val="LegalLevel1"/>
      </w:pPr>
      <w:r>
        <w:rPr>
          <w:rFonts w:ascii="Times New Roman" w:hAnsi="Times New Roman"/>
          <w:color w:val="1F2937"/>
          <w:sz w:val="20"/>
        </w:rPr>
        <w:t>(b) Titles I and II, other than sections 101 through 103, shall take effect 18 months after enactment.</w:t>
      </w:r>
    </w:p>
    <w:p>
      <w:pPr>
        <w:pStyle w:val="LegalLevel1"/>
      </w:pPr>
      <w:r>
        <w:rPr>
          <w:rFonts w:ascii="Times New Roman" w:hAnsi="Times New Roman"/>
          <w:color w:val="1F2937"/>
          <w:sz w:val="20"/>
        </w:rPr>
        <w:t>(c) Titles III, IV, VII, and VIII shall take effect 1 year after enactment, except where a later date is expressly provided.</w:t>
      </w:r>
    </w:p>
    <w:p>
      <w:pPr>
        <w:pStyle w:val="LegalLevel1"/>
      </w:pPr>
      <w:r>
        <w:rPr>
          <w:rFonts w:ascii="Times New Roman" w:hAnsi="Times New Roman"/>
          <w:color w:val="1F2937"/>
          <w:sz w:val="20"/>
        </w:rPr>
        <w:t>(d) Title V shall take effect as provided in section 506.</w:t>
      </w:r>
    </w:p>
    <w:p>
      <w:pPr>
        <w:pStyle w:val="LegalLevel1"/>
      </w:pPr>
      <w:r>
        <w:rPr>
          <w:rFonts w:ascii="Times New Roman" w:hAnsi="Times New Roman"/>
          <w:color w:val="1F2937"/>
          <w:sz w:val="20"/>
        </w:rPr>
        <w:t>(e) Title VI shall take effect 1 year after enactment, except that sections 603 through 610 shall take effect 180 days after enactment and section 612 shall take effect upon appointment and confirmation of the new Commission.</w:t>
      </w:r>
    </w:p>
    <w:p>
      <w:pPr>
        <w:pStyle w:val="TitleHeading"/>
      </w:pPr>
      <w:r>
        <w:rPr>
          <w:rFonts w:ascii="Calibri" w:hAnsi="Calibri"/>
          <w:b/>
          <w:color w:val="0B2545"/>
          <w:sz w:val="20"/>
        </w:rPr>
        <w:t>TITLE IX — CONDITIONAL IMPLEMENTATION UPON RATIFICATION OF THE AMERICAN DEMOCRATIC RENEWAL AMENDMENT</w:t>
      </w:r>
    </w:p>
    <w:p>
      <w:pPr>
        <w:pStyle w:val="SectionHeading"/>
      </w:pPr>
      <w:r>
        <w:rPr>
          <w:rFonts w:ascii="Calibri" w:hAnsi="Calibri"/>
          <w:b/>
          <w:color w:val="0B2545"/>
          <w:sz w:val="19"/>
        </w:rPr>
        <w:t>SEC. 901. CONDITION PRECEDENT.</w:t>
      </w:r>
    </w:p>
    <w:p>
      <w:pPr>
        <w:pStyle w:val="LegalBody"/>
      </w:pPr>
      <w:r>
        <w:rPr>
          <w:rFonts w:ascii="Times New Roman" w:hAnsi="Times New Roman"/>
          <w:color w:val="1F2937"/>
          <w:sz w:val="20"/>
        </w:rPr>
        <w:t>This title shall take effect only upon ratification of the amendment to the Constitution set forth in the joint resolution entitled the “American Democratic Renewal Amendment”.</w:t>
      </w:r>
    </w:p>
    <w:p>
      <w:pPr>
        <w:pStyle w:val="SectionHeading"/>
      </w:pPr>
      <w:r>
        <w:rPr>
          <w:rFonts w:ascii="Calibri" w:hAnsi="Calibri"/>
          <w:b/>
          <w:color w:val="0B2545"/>
          <w:sz w:val="19"/>
        </w:rPr>
        <w:t>SEC. 911. RANKED-CHOICE VOTING FOR APPOINTMENT OF PRESIDENTIAL ELECTORS.</w:t>
      </w:r>
    </w:p>
    <w:p>
      <w:pPr>
        <w:pStyle w:val="LegalLevel1"/>
      </w:pPr>
      <w:r>
        <w:rPr>
          <w:rFonts w:ascii="Times New Roman" w:hAnsi="Times New Roman"/>
          <w:color w:val="1F2937"/>
          <w:sz w:val="20"/>
        </w:rPr>
        <w:t>(a) Upon ratification of such amendment, each State shall appoint its Presidential electors based on a statewide ranked-choice vote for slates pledged to candidates for President and Vice President.</w:t>
      </w:r>
    </w:p>
    <w:p>
      <w:pPr>
        <w:pStyle w:val="LegalLevel1"/>
      </w:pPr>
      <w:r>
        <w:rPr>
          <w:rFonts w:ascii="Times New Roman" w:hAnsi="Times New Roman"/>
          <w:color w:val="1F2937"/>
          <w:sz w:val="20"/>
        </w:rPr>
        <w:t>(b) The slate receiving a majority in the final round of tabulation shall be entitled to appointment of the State’s Presidential electors, except as Congress may otherwise provide by subsequent law consistent with such amendment.</w:t>
      </w:r>
    </w:p>
    <w:p>
      <w:pPr>
        <w:pStyle w:val="LegalLevel1"/>
      </w:pPr>
      <w:r>
        <w:rPr>
          <w:rFonts w:ascii="Times New Roman" w:hAnsi="Times New Roman"/>
          <w:color w:val="1F2937"/>
          <w:sz w:val="20"/>
        </w:rPr>
        <w:t>(c) Ballot design, tabulation, audit, recount, disclosure, and accessibility requirements shall be substantially similar to those of title V and title IV.</w:t>
      </w:r>
    </w:p>
    <w:p>
      <w:pPr>
        <w:pStyle w:val="SectionHeading"/>
      </w:pPr>
      <w:r>
        <w:rPr>
          <w:rFonts w:ascii="Calibri" w:hAnsi="Calibri"/>
          <w:b/>
          <w:color w:val="0B2545"/>
          <w:sz w:val="19"/>
        </w:rPr>
        <w:t>SEC. 912. RANKED-CHOICE VOTING FOR STATE EXECUTIVE, LEGISLATIVE, AND JUDICIAL ELECTIONS.</w:t>
      </w:r>
    </w:p>
    <w:p>
      <w:pPr>
        <w:pStyle w:val="LegalLevel1"/>
      </w:pPr>
      <w:r>
        <w:rPr>
          <w:rFonts w:ascii="Times New Roman" w:hAnsi="Times New Roman"/>
          <w:color w:val="1F2937"/>
          <w:sz w:val="20"/>
        </w:rPr>
        <w:t>(a) Upon ratification of such amendment, each State shall conduct elections for Governor, Lieutenant Governor, Attorney General, Secretary of State, Treasurer, State legislature, and statewide judicial office by ranked-choice voting.</w:t>
      </w:r>
    </w:p>
    <w:p>
      <w:pPr>
        <w:pStyle w:val="LegalLevel1"/>
      </w:pPr>
      <w:r>
        <w:rPr>
          <w:rFonts w:ascii="Times New Roman" w:hAnsi="Times New Roman"/>
          <w:color w:val="1F2937"/>
          <w:sz w:val="20"/>
        </w:rPr>
        <w:t>(b) A State with multi-member legislative districts may use proportional ranked-choice voting for such districts under standards prescribed by Congress.</w:t>
      </w:r>
    </w:p>
    <w:p>
      <w:pPr>
        <w:pStyle w:val="LegalLevel1"/>
      </w:pPr>
      <w:r>
        <w:rPr>
          <w:rFonts w:ascii="Times New Roman" w:hAnsi="Times New Roman"/>
          <w:color w:val="1F2937"/>
          <w:sz w:val="20"/>
        </w:rPr>
        <w:t>(c) Local governments may adopt ranked-choice voting for local offices under State law.</w:t>
      </w:r>
    </w:p>
    <w:p>
      <w:pPr>
        <w:pStyle w:val="SectionHeading"/>
      </w:pPr>
      <w:r>
        <w:rPr>
          <w:rFonts w:ascii="Calibri" w:hAnsi="Calibri"/>
          <w:b/>
          <w:color w:val="0B2545"/>
          <w:sz w:val="19"/>
        </w:rPr>
        <w:t>SEC. 913. BALLOT-ACCESS AND CERTIFICATION PROCEDURES FOR AGE QUALIFICATIONS.</w:t>
      </w:r>
    </w:p>
    <w:p>
      <w:pPr>
        <w:pStyle w:val="LegalLevel1"/>
      </w:pPr>
      <w:r>
        <w:rPr>
          <w:rFonts w:ascii="Times New Roman" w:hAnsi="Times New Roman"/>
          <w:color w:val="1F2937"/>
          <w:sz w:val="20"/>
        </w:rPr>
        <w:t>(a) Upon ratification of such amendment, no person shall be placed on the ballot for, elected to, or certified for a covered Federal office if that person will have attained the age of 65 years before the commencement of the term of office.</w:t>
      </w:r>
    </w:p>
    <w:p>
      <w:pPr>
        <w:pStyle w:val="LegalLevel1"/>
      </w:pPr>
      <w:r>
        <w:rPr>
          <w:rFonts w:ascii="Times New Roman" w:hAnsi="Times New Roman"/>
          <w:color w:val="1F2937"/>
          <w:sz w:val="20"/>
        </w:rPr>
        <w:t>(b) A person who attains the age of 65 years during a fixed term may complete that term but may not begin a succeeding term.</w:t>
      </w:r>
    </w:p>
    <w:p>
      <w:pPr>
        <w:pStyle w:val="LegalLevel1"/>
      </w:pPr>
      <w:r>
        <w:rPr>
          <w:rFonts w:ascii="Times New Roman" w:hAnsi="Times New Roman"/>
          <w:color w:val="1F2937"/>
          <w:sz w:val="20"/>
        </w:rPr>
        <w:t>(c) Candidates for covered offices shall file a sworn age-eligibility certification.</w:t>
      </w:r>
    </w:p>
    <w:p>
      <w:pPr>
        <w:pStyle w:val="LegalLevel1"/>
      </w:pPr>
      <w:r>
        <w:rPr>
          <w:rFonts w:ascii="Times New Roman" w:hAnsi="Times New Roman"/>
          <w:color w:val="1F2937"/>
          <w:sz w:val="20"/>
        </w:rPr>
        <w:t>(d) Congress may by law prescribe procedures for resolving disputes under this section on an expedited basis.</w:t>
      </w:r>
    </w:p>
    <w:p>
      <w:pPr>
        <w:pStyle w:val="SectionHeading"/>
      </w:pPr>
      <w:r>
        <w:rPr>
          <w:rFonts w:ascii="Calibri" w:hAnsi="Calibri"/>
          <w:b/>
          <w:color w:val="0B2545"/>
          <w:sz w:val="19"/>
        </w:rPr>
        <w:t>SEC. 914. JUDICIAL AND EXECUTIVE TRANSITION RULES.</w:t>
      </w:r>
    </w:p>
    <w:p>
      <w:pPr>
        <w:pStyle w:val="LegalLevel1"/>
      </w:pPr>
      <w:r>
        <w:rPr>
          <w:rFonts w:ascii="Times New Roman" w:hAnsi="Times New Roman"/>
          <w:color w:val="1F2937"/>
          <w:sz w:val="20"/>
        </w:rPr>
        <w:t>(a) Upon ratification of such amendment, an Article III Justice or judge who has attained the age of 65 years on the effective date of such amendment may continue in active service for not more than one judicial year or until the completion of any matter already submitted for decision, whichever occurs later, and shall thereafter retire, assume senior status, or serve only as otherwise authorized by law.</w:t>
      </w:r>
    </w:p>
    <w:p>
      <w:pPr>
        <w:pStyle w:val="LegalLevel1"/>
      </w:pPr>
      <w:r>
        <w:rPr>
          <w:rFonts w:ascii="Times New Roman" w:hAnsi="Times New Roman"/>
          <w:color w:val="1F2937"/>
          <w:sz w:val="20"/>
        </w:rPr>
        <w:t>(b) A principal officer of the United States requiring Senate confirmation who attains the age of 65 years while serving may remain in office until the end of the term of the President who appointed that officer, unless sooner removed or resigned, but may not be reappointed after such attainment.</w:t>
      </w:r>
    </w:p>
    <w:p>
      <w:pPr>
        <w:pStyle w:val="LegalLevel1"/>
      </w:pPr>
      <w:r>
        <w:rPr>
          <w:rFonts w:ascii="Times New Roman" w:hAnsi="Times New Roman"/>
          <w:color w:val="1F2937"/>
          <w:sz w:val="20"/>
        </w:rPr>
        <w:t>(c) The Judicial Conference of the United States and the Office of Personnel Management shall promulgate implementing rules consistent with this title.</w:t>
      </w:r>
    </w:p>
    <w:p>
      <w:pPr>
        <w:pStyle w:val="InstrumentHeading"/>
        <w:pageBreakBefore/>
      </w:pPr>
      <w:r>
        <w:rPr>
          <w:rFonts w:ascii="Calibri" w:hAnsi="Calibri"/>
          <w:b/>
          <w:color w:val="2E74B5"/>
          <w:sz w:val="32"/>
        </w:rPr>
        <w:t>Instrument II — American Democratic Renewal Amendment</w:t>
      </w:r>
    </w:p>
    <w:p>
      <w:pPr>
        <w:pStyle w:val="BillLabel"/>
      </w:pPr>
      <w:r>
        <w:rPr>
          <w:rFonts w:ascii="Times New Roman" w:hAnsi="Times New Roman"/>
          <w:b/>
          <w:color w:val="1F2937"/>
          <w:sz w:val="24"/>
        </w:rPr>
        <w:t>119TH CONGRESS</w:t>
      </w:r>
    </w:p>
    <w:p>
      <w:pPr>
        <w:pStyle w:val="BillLabel"/>
      </w:pPr>
      <w:r>
        <w:rPr>
          <w:rFonts w:ascii="Times New Roman" w:hAnsi="Times New Roman"/>
          <w:b/>
          <w:color w:val="1F2937"/>
          <w:sz w:val="24"/>
        </w:rPr>
        <w:t>1ST SESSION</w:t>
      </w:r>
    </w:p>
    <w:p>
      <w:pPr>
        <w:pStyle w:val="BillLabel"/>
      </w:pPr>
      <w:r>
        <w:rPr>
          <w:rFonts w:ascii="Times New Roman" w:hAnsi="Times New Roman"/>
          <w:b/>
          <w:color w:val="1F2937"/>
          <w:sz w:val="24"/>
        </w:rPr>
        <w:t>H. J. RES. __</w:t>
      </w:r>
    </w:p>
    <w:p>
      <w:pPr>
        <w:pStyle w:val="BillLongTitle"/>
      </w:pPr>
      <w:r>
        <w:rPr>
          <w:rFonts w:ascii="Times New Roman" w:hAnsi="Times New Roman"/>
          <w:color w:val="1F2937"/>
          <w:sz w:val="22"/>
        </w:rPr>
        <w:t>Proposing an amendment to the Constitution of the United States to authorize uniform national minimum standards, including ranked-choice voting, for Presidential and State elections, and to establish maximum age qualifications for certain Federal offices.</w:t>
      </w:r>
    </w:p>
    <w:p>
      <w:pPr>
        <w:pStyle w:val="EnactingClause"/>
      </w:pPr>
      <w:r>
        <w:rPr>
          <w:rFonts w:ascii="Times New Roman" w:hAnsi="Times New Roman"/>
          <w:i/>
          <w:color w:val="1F2937"/>
          <w:sz w:val="21"/>
        </w:rPr>
        <w:t>Resolved by the Senate and House of Representatives of the United States of America in Congress assembled (two-thirds of each House concurring therein),</w:t>
      </w:r>
    </w:p>
    <w:p>
      <w:pPr>
        <w:pStyle w:val="EnactingClause"/>
      </w:pPr>
      <w:r>
        <w:rPr>
          <w:rFonts w:ascii="Times New Roman" w:hAnsi="Times New Roman"/>
          <w:i/>
          <w:color w:val="1F2937"/>
          <w:sz w:val="21"/>
        </w:rPr>
        <w:t>That the following article is proposed as an amendment to the Constitution of the United States, which shall be valid to all intents and purposes as part of the Constitution when ratified by the legislatures of three-fourths of the several States within 7 years after the date of its submission by Congress:</w:t>
      </w:r>
    </w:p>
    <w:p>
      <w:pPr>
        <w:pStyle w:val="TitleHeading"/>
      </w:pPr>
      <w:r>
        <w:rPr>
          <w:rFonts w:ascii="Calibri" w:hAnsi="Calibri"/>
          <w:b/>
          <w:color w:val="0B2545"/>
          <w:sz w:val="20"/>
        </w:rPr>
        <w:t>ARTICLE —</w:t>
      </w:r>
    </w:p>
    <w:p>
      <w:pPr>
        <w:pStyle w:val="LegalBody"/>
      </w:pPr>
      <w:r>
        <w:rPr>
          <w:rFonts w:ascii="Times New Roman" w:hAnsi="Times New Roman"/>
          <w:b/>
          <w:color w:val="1F2937"/>
          <w:sz w:val="20"/>
        </w:rPr>
        <w:t>Section 1.</w:t>
      </w:r>
      <w:r>
        <w:rPr>
          <w:rFonts w:ascii="Times New Roman" w:hAnsi="Times New Roman"/>
          <w:color w:val="1F2937"/>
          <w:sz w:val="20"/>
        </w:rPr>
        <w:t xml:space="preserve"> Congress shall have power to establish uniform minimum national standards, including ranked-choice or other preferential ballot methods, for elections for President and Vice President, for the appointment of Presidential electors, and for elections for State executive, legislative, and judicial offices, notwithstanding any other provision of this Constitution.</w:t>
      </w:r>
    </w:p>
    <w:p>
      <w:pPr>
        <w:pStyle w:val="LegalBody"/>
      </w:pPr>
      <w:r>
        <w:rPr>
          <w:rFonts w:ascii="Times New Roman" w:hAnsi="Times New Roman"/>
          <w:b/>
          <w:color w:val="1F2937"/>
          <w:sz w:val="20"/>
        </w:rPr>
        <w:t>Section 2.</w:t>
      </w:r>
      <w:r>
        <w:rPr>
          <w:rFonts w:ascii="Times New Roman" w:hAnsi="Times New Roman"/>
          <w:color w:val="1F2937"/>
          <w:sz w:val="20"/>
        </w:rPr>
        <w:t xml:space="preserve"> No person shall be elected President or Vice President, or elected to the office of Senator or Representative in Congress, if such person shall have attained the age of sixty-five years before the commencement of the term of office. A person who attains the age of sixty-five years while serving such term may complete that term but shall not begin a succeeding term.</w:t>
      </w:r>
    </w:p>
    <w:p>
      <w:pPr>
        <w:pStyle w:val="LegalBody"/>
      </w:pPr>
      <w:r>
        <w:rPr>
          <w:rFonts w:ascii="Times New Roman" w:hAnsi="Times New Roman"/>
          <w:b/>
          <w:color w:val="1F2937"/>
          <w:sz w:val="20"/>
        </w:rPr>
        <w:t>Section 3.</w:t>
      </w:r>
      <w:r>
        <w:rPr>
          <w:rFonts w:ascii="Times New Roman" w:hAnsi="Times New Roman"/>
          <w:color w:val="1F2937"/>
          <w:sz w:val="20"/>
        </w:rPr>
        <w:t xml:space="preserve"> No person shall be appointed to any office as a Justice or judge of the United States under article III if such person shall have attained the age of sixty-five years before appointment. A Justice or judge who attains the age of sixty-five years while in active service may continue in active service through the end of the judicial year and for the purpose of concluding matters previously submitted, as Congress shall by law provide, but shall thereafter retire, assume senior status, or serve only as otherwise authorized by Congress.</w:t>
      </w:r>
    </w:p>
    <w:p>
      <w:pPr>
        <w:pStyle w:val="LegalBody"/>
      </w:pPr>
      <w:r>
        <w:rPr>
          <w:rFonts w:ascii="Times New Roman" w:hAnsi="Times New Roman"/>
          <w:b/>
          <w:color w:val="1F2937"/>
          <w:sz w:val="20"/>
        </w:rPr>
        <w:t>Section 4.</w:t>
      </w:r>
      <w:r>
        <w:rPr>
          <w:rFonts w:ascii="Times New Roman" w:hAnsi="Times New Roman"/>
          <w:color w:val="1F2937"/>
          <w:sz w:val="20"/>
        </w:rPr>
        <w:t xml:space="preserve"> No person shall be appointed as a head of an executive department, or as any other principal officer of the United States requiring the advice and consent of the Senate, if such person shall have attained the age of sixty-five years before appointment. A principal officer who attains the age of sixty-five years while serving may continue in office until the end of the term of the President who appointed such officer, unless sooner removed or resigned, but may not be reappointed thereafter.</w:t>
      </w:r>
    </w:p>
    <w:p>
      <w:pPr>
        <w:pStyle w:val="LegalBody"/>
      </w:pPr>
      <w:r>
        <w:rPr>
          <w:rFonts w:ascii="Times New Roman" w:hAnsi="Times New Roman"/>
          <w:b/>
          <w:color w:val="1F2937"/>
          <w:sz w:val="20"/>
        </w:rPr>
        <w:t>Section 5.</w:t>
      </w:r>
      <w:r>
        <w:rPr>
          <w:rFonts w:ascii="Times New Roman" w:hAnsi="Times New Roman"/>
          <w:color w:val="1F2937"/>
          <w:sz w:val="20"/>
        </w:rPr>
        <w:t xml:space="preserve"> Congress shall have power to enforce and implement this article by appropriate legislation.</w:t>
      </w:r>
    </w:p>
    <w:p>
      <w:pPr>
        <w:pStyle w:val="LegalBody"/>
      </w:pPr>
      <w:r>
        <w:rPr>
          <w:rFonts w:ascii="Times New Roman" w:hAnsi="Times New Roman"/>
          <w:b/>
          <w:color w:val="1F2937"/>
          <w:sz w:val="20"/>
        </w:rPr>
        <w:t>Section 6.</w:t>
      </w:r>
      <w:r>
        <w:rPr>
          <w:rFonts w:ascii="Times New Roman" w:hAnsi="Times New Roman"/>
          <w:color w:val="1F2937"/>
          <w:sz w:val="20"/>
        </w:rPr>
        <w:t xml:space="preserve"> This article shall take effect on January 1 following ratification, except that Congress may by law provide reasonable transition rules not exceeding one year for persons lawfully serving on the date of ratification.</w:t>
      </w:r>
    </w:p>
    <w:p>
      <w:pPr>
        <w:pStyle w:val="Heading1Custom"/>
        <w:pageBreakBefore/>
      </w:pPr>
      <w:r>
        <w:rPr>
          <w:rFonts w:ascii="Calibri" w:hAnsi="Calibri"/>
          <w:b/>
          <w:color w:val="2E74B5"/>
          <w:sz w:val="32"/>
        </w:rPr>
        <w:t>Quality-Check</w:t>
      </w:r>
    </w:p>
    <w:p>
      <w:pPr>
        <w:pStyle w:val="Body"/>
      </w:pPr>
      <w:r>
        <w:rPr>
          <w:rFonts w:ascii="Calibri" w:hAnsi="Calibri"/>
          <w:b/>
          <w:color w:val="1F4D78"/>
          <w:sz w:val="22"/>
        </w:rPr>
        <w:t>Consistency.</w:t>
      </w:r>
      <w:r>
        <w:rPr>
          <w:rFonts w:ascii="Calibri" w:hAnsi="Calibri"/>
          <w:color w:val="1F2937"/>
          <w:sz w:val="22"/>
        </w:rPr>
        <w:t xml:space="preserve"> The package keeps ordinary statutory reforms inside Congress’s existing elections, civil-rights, spending, and commerce powers, while moving the age caps and the nationwide reach into Presidential and all State elections into the constitutional-amendment track. That is the cleanest way to avoid the core defects that would arise from trying to do those pieces by ordinary statute alone.</w:t>
      </w:r>
    </w:p>
    <w:p>
      <w:pPr>
        <w:pStyle w:val="Body"/>
      </w:pPr>
      <w:r>
        <w:rPr>
          <w:rFonts w:ascii="Calibri" w:hAnsi="Calibri"/>
          <w:b/>
          <w:color w:val="1F4D78"/>
          <w:sz w:val="22"/>
        </w:rPr>
        <w:t>Enforceability.</w:t>
      </w:r>
      <w:r>
        <w:rPr>
          <w:rFonts w:ascii="Calibri" w:hAnsi="Calibri"/>
          <w:color w:val="1F2937"/>
          <w:sz w:val="22"/>
        </w:rPr>
        <w:t xml:space="preserve"> Duties are assigned to agencies that already operate in adjacent spaces: EAC for election standards and grants, DOJ for civil-rights and anti-intimidation enforcement, DHS/CISA and NIST for cyber and voting-system standards, USCIS and related agencies for citizenship verification, DOL for paid leave, FCC/FTC for robocalls and deceptive platform practices, and FEC for campaign-finance enforcement.</w:t>
      </w:r>
    </w:p>
    <w:p>
      <w:pPr>
        <w:pStyle w:val="Body"/>
      </w:pPr>
      <w:r>
        <w:rPr>
          <w:rFonts w:ascii="Calibri" w:hAnsi="Calibri"/>
          <w:b/>
          <w:color w:val="1F4D78"/>
          <w:sz w:val="22"/>
        </w:rPr>
        <w:t>Litigation risk.</w:t>
      </w:r>
      <w:r>
        <w:rPr>
          <w:rFonts w:ascii="Calibri" w:hAnsi="Calibri"/>
          <w:color w:val="1F2937"/>
          <w:sz w:val="22"/>
        </w:rPr>
        <w:t xml:space="preserve"> The most likely challenges would target the new preclearance formula, the digital-communications rules if they were applied too broadly, and the campaign-finance restrictions on outside groups. The draft narrows those risks by focusing on false factual election-process claims rather than broad political opinion, by using objective foreign-influence thresholds with due process rather than named targets, and by placing the highest-constitutional-risk structural changes in the amendment.</w:t>
      </w:r>
    </w:p>
    <w:p>
      <w:pPr>
        <w:pStyle w:val="Body"/>
      </w:pPr>
      <w:r>
        <w:rPr>
          <w:rFonts w:ascii="Calibri" w:hAnsi="Calibri"/>
          <w:b/>
          <w:color w:val="1F4D78"/>
          <w:sz w:val="22"/>
        </w:rPr>
        <w:t>Key assumptions.</w:t>
      </w:r>
      <w:r>
        <w:rPr>
          <w:rFonts w:ascii="Calibri" w:hAnsi="Calibri"/>
          <w:color w:val="1F2937"/>
          <w:sz w:val="22"/>
        </w:rPr>
        <w:t xml:space="preserve"> The draft assumes that SAVE-style verification and other authoritative records can be integrated into a real-time or near-real-time Federal citizenship verification interface, that paper-ballot and audit upgrades can be funded and phased in, and that recent public preferences for early voting, automatic registration, same-day registration, paper backups, and an Election Day holiday remain a workable basis for a national access baseline.</w:t>
      </w:r>
    </w:p>
    <w:p>
      <w:pPr>
        <w:pStyle w:val="Heading2Custom"/>
      </w:pPr>
      <w:r>
        <w:rPr>
          <w:rFonts w:ascii="Calibri" w:hAnsi="Calibri"/>
          <w:b/>
          <w:color w:val="2E74B5"/>
          <w:sz w:val="26"/>
        </w:rPr>
        <w:t>Optional Companion Materials</w:t>
      </w:r>
    </w:p>
    <w:p>
      <w:pPr>
        <w:pStyle w:val="Body"/>
      </w:pPr>
      <w:r>
        <w:rPr>
          <w:rFonts w:ascii="Calibri" w:hAnsi="Calibri"/>
          <w:color w:val="1F2937"/>
          <w:sz w:val="22"/>
        </w:rPr>
        <w:t>Optional companion materials: a polished committee-print version with formal subsection indentation, conforming amendments to the U.S. Code, and a section-by-section report.</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5C6370"/>
        <w:sz w:val="17"/>
      </w:rPr>
      <w:t xml:space="preserve">Page </w:t>
    </w:r>
    <w:r>
      <w:rPr>
        <w:rFonts w:ascii="Calibri" w:hAnsi="Calibri"/>
        <w:color w:val="5C6370"/>
        <w:sz w:val="17"/>
      </w:rP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w="0" w:type="dxa"/>
    </w:tblPr>
    <w:tblGrid>
      <w:gridCol w:w="4680"/>
      <w:gridCol w:w="4680"/>
    </w:tblGrid>
    <w:tr>
      <w:tc>
        <w:tcPr>
          <w:tcW w:type="dxa" w:w="4680"/>
          <w:tcBorders>
            <w:top w:val="single" w:sz="0" w:space="0" w:color="FFFFFF"/>
            <w:left w:val="single" w:sz="0" w:space="0" w:color="FFFFFF"/>
            <w:bottom w:val="single" w:sz="0" w:space="0" w:color="FFFFFF"/>
            <w:right w:val="single" w:sz="0" w:space="0" w:color="FFFFFF"/>
          </w:tcBorders>
          <w:vAlign w:val="center"/>
        </w:tcPr>
        <w:p>
          <w:pPr>
            <w:spacing w:after="0"/>
          </w:pPr>
          <w:r>
            <w:rPr>
              <w:rFonts w:ascii="Calibri" w:hAnsi="Calibri"/>
              <w:b/>
              <w:color w:val="5C6370"/>
              <w:sz w:val="17"/>
            </w:rPr>
            <w:t>American Vote Act</w:t>
          </w:r>
        </w:p>
      </w:tc>
      <w:tc>
        <w:tcPr>
          <w:tcW w:type="dxa" w:w="4680"/>
          <w:tcBorders>
            <w:top w:val="single" w:sz="0" w:space="0" w:color="FFFFFF"/>
            <w:left w:val="single" w:sz="0" w:space="0" w:color="FFFFFF"/>
            <w:bottom w:val="single" w:sz="0" w:space="0" w:color="FFFFFF"/>
            <w:right w:val="single" w:sz="0" w:space="0" w:color="FFFFFF"/>
          </w:tcBorders>
          <w:vAlign w:val="center"/>
        </w:tcPr>
        <w:p>
          <w:pPr>
            <w:spacing w:after="0"/>
            <w:jc w:val="right"/>
          </w:pPr>
          <w:r>
            <w:rPr>
              <w:rFonts w:ascii="Calibri" w:hAnsi="Calibri"/>
              <w:color w:val="5C6370"/>
              <w:sz w:val="17"/>
            </w:rPr>
            <w:t>Congressional Submission Packet</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80" w:lineRule="auto"/>
      <w:ind w:left="720" w:hanging="360"/>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verKicker">
    <w:name w:val="Cover Kicker"/>
    <w:pPr>
      <w:spacing w:before="0" w:after="200" w:line="264" w:lineRule="auto"/>
      <w:jc w:val="center"/>
    </w:pPr>
    <w:rPr>
      <w:rFonts w:ascii="Calibri" w:hAnsi="Calibri"/>
      <w:b/>
      <w:i w:val="0"/>
      <w:color w:val="0B2545"/>
      <w:sz w:val="18"/>
    </w:rPr>
  </w:style>
  <w:style w:type="paragraph" w:customStyle="1" w:styleId="CoverTitle">
    <w:name w:val="Cover Title"/>
    <w:pPr>
      <w:spacing w:before="0" w:after="80" w:line="264" w:lineRule="auto"/>
      <w:jc w:val="center"/>
    </w:pPr>
    <w:rPr>
      <w:rFonts w:ascii="Times New Roman" w:hAnsi="Times New Roman"/>
      <w:b/>
      <w:i w:val="0"/>
      <w:color w:val="0B2545"/>
      <w:sz w:val="56"/>
    </w:rPr>
  </w:style>
  <w:style w:type="paragraph" w:customStyle="1" w:styleId="CoverSubtitle">
    <w:name w:val="Cover Subtitle"/>
    <w:pPr>
      <w:spacing w:before="0" w:after="360" w:line="264" w:lineRule="auto"/>
      <w:jc w:val="center"/>
    </w:pPr>
    <w:rPr>
      <w:rFonts w:ascii="Calibri" w:hAnsi="Calibri"/>
      <w:b w:val="0"/>
      <w:i/>
      <w:color w:val="5C6370"/>
      <w:sz w:val="25"/>
    </w:rPr>
  </w:style>
  <w:style w:type="paragraph" w:customStyle="1" w:styleId="Body">
    <w:name w:val="Body"/>
    <w:pPr>
      <w:spacing w:before="0" w:after="120" w:line="264" w:lineRule="auto"/>
      <w:jc w:val="left"/>
    </w:pPr>
    <w:rPr>
      <w:rFonts w:ascii="Calibri" w:hAnsi="Calibri"/>
      <w:b w:val="0"/>
      <w:i w:val="0"/>
      <w:color w:val="1F2937"/>
      <w:sz w:val="22"/>
    </w:rPr>
  </w:style>
  <w:style w:type="paragraph" w:customStyle="1" w:styleId="Lead">
    <w:name w:val="Lead"/>
    <w:pPr>
      <w:spacing w:before="0" w:after="160" w:line="264" w:lineRule="auto"/>
      <w:jc w:val="left"/>
    </w:pPr>
    <w:rPr>
      <w:rFonts w:ascii="Calibri" w:hAnsi="Calibri"/>
      <w:b w:val="0"/>
      <w:i w:val="0"/>
      <w:color w:val="1F2937"/>
      <w:sz w:val="23"/>
    </w:rPr>
  </w:style>
  <w:style w:type="paragraph" w:customStyle="1" w:styleId="Heading1Custom">
    <w:name w:val="Heading 1 Custom"/>
    <w:pPr>
      <w:keepNext/>
      <w:spacing w:before="320" w:after="160" w:line="264" w:lineRule="auto"/>
      <w:jc w:val="left"/>
    </w:pPr>
    <w:rPr>
      <w:rFonts w:ascii="Calibri" w:hAnsi="Calibri"/>
      <w:b/>
      <w:i w:val="0"/>
      <w:color w:val="2E74B5"/>
      <w:sz w:val="32"/>
    </w:rPr>
  </w:style>
  <w:style w:type="paragraph" w:customStyle="1" w:styleId="Heading2Custom">
    <w:name w:val="Heading 2 Custom"/>
    <w:pPr>
      <w:keepNext/>
      <w:spacing w:before="240" w:after="120" w:line="264" w:lineRule="auto"/>
      <w:jc w:val="left"/>
    </w:pPr>
    <w:rPr>
      <w:rFonts w:ascii="Calibri" w:hAnsi="Calibri"/>
      <w:b/>
      <w:i w:val="0"/>
      <w:color w:val="2E74B5"/>
      <w:sz w:val="26"/>
    </w:rPr>
  </w:style>
  <w:style w:type="paragraph" w:customStyle="1" w:styleId="Heading3Custom">
    <w:name w:val="Heading 3 Custom"/>
    <w:pPr>
      <w:keepNext/>
      <w:spacing w:before="160" w:after="80" w:line="264" w:lineRule="auto"/>
      <w:jc w:val="left"/>
    </w:pPr>
    <w:rPr>
      <w:rFonts w:ascii="Calibri" w:hAnsi="Calibri"/>
      <w:b/>
      <w:i w:val="0"/>
      <w:color w:val="1F4D78"/>
      <w:sz w:val="24"/>
    </w:rPr>
  </w:style>
  <w:style w:type="paragraph" w:customStyle="1" w:styleId="InstrumentHeading">
    <w:name w:val="Instrument Heading"/>
    <w:pPr>
      <w:keepNext/>
      <w:spacing w:before="280" w:after="200" w:line="264" w:lineRule="auto"/>
      <w:jc w:val="center"/>
    </w:pPr>
    <w:rPr>
      <w:rFonts w:ascii="Calibri" w:hAnsi="Calibri"/>
      <w:b/>
      <w:i w:val="0"/>
      <w:color w:val="2E74B5"/>
      <w:sz w:val="32"/>
    </w:rPr>
  </w:style>
  <w:style w:type="paragraph" w:customStyle="1" w:styleId="BillLabel">
    <w:name w:val="Bill Label"/>
    <w:pPr>
      <w:spacing w:before="0" w:after="120" w:line="264" w:lineRule="auto"/>
      <w:jc w:val="center"/>
    </w:pPr>
    <w:rPr>
      <w:rFonts w:ascii="Times New Roman" w:hAnsi="Times New Roman"/>
      <w:b/>
      <w:i w:val="0"/>
      <w:color w:val="1F2937"/>
      <w:sz w:val="24"/>
    </w:rPr>
  </w:style>
  <w:style w:type="paragraph" w:customStyle="1" w:styleId="BillLongTitle">
    <w:name w:val="Bill Long Title"/>
    <w:pPr>
      <w:spacing w:before="0" w:after="200" w:line="264" w:lineRule="auto"/>
      <w:jc w:val="center"/>
    </w:pPr>
    <w:rPr>
      <w:rFonts w:ascii="Times New Roman" w:hAnsi="Times New Roman"/>
      <w:b w:val="0"/>
      <w:i w:val="0"/>
      <w:color w:val="1F2937"/>
      <w:sz w:val="22"/>
    </w:rPr>
  </w:style>
  <w:style w:type="paragraph" w:customStyle="1" w:styleId="HouseAction">
    <w:name w:val="House Action"/>
    <w:pPr>
      <w:spacing w:before="0" w:after="160" w:line="264" w:lineRule="auto"/>
      <w:jc w:val="center"/>
    </w:pPr>
    <w:rPr>
      <w:rFonts w:ascii="Times New Roman" w:hAnsi="Times New Roman"/>
      <w:b w:val="0"/>
      <w:i w:val="0"/>
      <w:color w:val="1F2937"/>
      <w:sz w:val="19"/>
    </w:rPr>
  </w:style>
  <w:style w:type="paragraph" w:customStyle="1" w:styleId="EnactingClause">
    <w:name w:val="Enacting Clause"/>
    <w:pPr>
      <w:spacing w:before="0" w:after="240" w:line="264" w:lineRule="auto"/>
      <w:jc w:val="center"/>
    </w:pPr>
    <w:rPr>
      <w:rFonts w:ascii="Times New Roman" w:hAnsi="Times New Roman"/>
      <w:b w:val="0"/>
      <w:i/>
      <w:color w:val="1F2937"/>
      <w:sz w:val="21"/>
    </w:rPr>
  </w:style>
  <w:style w:type="paragraph" w:customStyle="1" w:styleId="TitleHeading">
    <w:name w:val="Title Heading"/>
    <w:pPr>
      <w:keepNext/>
      <w:spacing w:before="260" w:after="140" w:line="264" w:lineRule="auto"/>
      <w:jc w:val="center"/>
    </w:pPr>
    <w:rPr>
      <w:rFonts w:ascii="Calibri" w:hAnsi="Calibri"/>
      <w:b/>
      <w:i w:val="0"/>
      <w:color w:val="0B2545"/>
      <w:sz w:val="20"/>
    </w:rPr>
  </w:style>
  <w:style w:type="paragraph" w:customStyle="1" w:styleId="SectionHeading">
    <w:name w:val="Section Heading"/>
    <w:pPr>
      <w:keepNext/>
      <w:spacing w:before="180" w:after="80" w:line="264" w:lineRule="auto"/>
      <w:jc w:val="left"/>
    </w:pPr>
    <w:rPr>
      <w:rFonts w:ascii="Calibri" w:hAnsi="Calibri"/>
      <w:b/>
      <w:i w:val="0"/>
      <w:color w:val="0B2545"/>
      <w:sz w:val="19"/>
    </w:rPr>
  </w:style>
  <w:style w:type="paragraph" w:customStyle="1" w:styleId="LegalBody">
    <w:name w:val="Legal Body"/>
    <w:pPr>
      <w:spacing w:before="0" w:after="80" w:line="264" w:lineRule="auto"/>
      <w:jc w:val="both"/>
    </w:pPr>
    <w:rPr>
      <w:rFonts w:ascii="Times New Roman" w:hAnsi="Times New Roman"/>
      <w:b w:val="0"/>
      <w:i w:val="0"/>
      <w:color w:val="1F2937"/>
      <w:sz w:val="20"/>
    </w:rPr>
  </w:style>
  <w:style w:type="paragraph" w:customStyle="1" w:styleId="LegalLevel1">
    <w:name w:val="Legal Level 1"/>
    <w:pPr>
      <w:spacing w:before="0" w:after="60" w:line="264" w:lineRule="auto"/>
      <w:ind w:left="461" w:hanging="346"/>
      <w:jc w:val="both"/>
    </w:pPr>
    <w:rPr>
      <w:rFonts w:ascii="Times New Roman" w:hAnsi="Times New Roman"/>
      <w:b w:val="0"/>
      <w:i w:val="0"/>
      <w:color w:val="1F2937"/>
      <w:sz w:val="20"/>
    </w:rPr>
  </w:style>
  <w:style w:type="paragraph" w:customStyle="1" w:styleId="LegalLevel2">
    <w:name w:val="Legal Level 2"/>
    <w:pPr>
      <w:spacing w:before="0" w:after="60" w:line="264" w:lineRule="auto"/>
      <w:ind w:left="864" w:hanging="346"/>
      <w:jc w:val="both"/>
    </w:pPr>
    <w:rPr>
      <w:rFonts w:ascii="Times New Roman" w:hAnsi="Times New Roman"/>
      <w:b w:val="0"/>
      <w:i w:val="0"/>
      <w:color w:val="1F2937"/>
      <w:sz w:val="20"/>
    </w:rPr>
  </w:style>
  <w:style w:type="paragraph" w:customStyle="1" w:styleId="TOCEntry">
    <w:name w:val="TOC Entry"/>
    <w:pPr>
      <w:spacing w:before="0" w:after="40" w:line="264" w:lineRule="auto"/>
      <w:ind w:left="346" w:hanging="346"/>
      <w:jc w:val="left"/>
    </w:pPr>
    <w:rPr>
      <w:rFonts w:ascii="Times New Roman" w:hAnsi="Times New Roman"/>
      <w:b w:val="0"/>
      <w:i w:val="0"/>
      <w:color w:val="1F2937"/>
      <w:sz w:val="20"/>
    </w:rPr>
  </w:style>
  <w:style w:type="paragraph" w:customStyle="1" w:styleId="SmallNote">
    <w:name w:val="Small Note"/>
    <w:pPr>
      <w:spacing w:before="80" w:after="80" w:line="264" w:lineRule="auto"/>
      <w:jc w:val="left"/>
    </w:pPr>
    <w:rPr>
      <w:rFonts w:ascii="Calibri" w:hAnsi="Calibri"/>
      <w:b w:val="0"/>
      <w:i/>
      <w:color w:val="5C637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American Vote Act - Congressional Submission Packet</dc:title>
  <dc:subject>Election access, voter registration, citizenship verification, ranked-choice voting, election security, campaign finance, voting rights, and constitutional democratic renewal</dc:subject>
  <dc:creator>python-docx</dc:creator>
  <cp:keywords/>
  <dc:description>Prepared from attached source text as a congressional submission packet.</dc:description>
  <cp:lastModifiedBy/>
  <cp:revision>1</cp:revision>
  <dcterms:created xsi:type="dcterms:W3CDTF">2013-12-23T23:15:00Z</dcterms:created>
  <dcterms:modified xsi:type="dcterms:W3CDTF">2013-12-23T23:15:00Z</dcterms:modified>
  <cp:category/>
</cp:coreProperties>
</file>