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spacing w:before="2640" w:after="240"/>
        <w:jc w:val="center"/>
      </w:pPr>
      <w:r>
        <w:rPr>
          <w:rFonts w:ascii="Inter" w:hAnsi="Inter" w:eastAsia="Inter"/>
          <w:b/>
          <w:color w:val="142D48"/>
          <w:sz w:val="62"/>
        </w:rPr>
        <w:t xml:space="preserve">American</w:t>
      </w:r>
      <w:r>
        <w:rPr>
          <w:rFonts w:ascii="Inter" w:hAnsi="Inter" w:eastAsia="Inter"/>
          <w:b/>
          <w:color w:val="142D48"/>
          <w:sz w:val="62"/>
        </w:rPr>
        <w:t xml:space="preserve"> </w:t>
      </w:r>
      <w:r>
        <w:rPr>
          <w:rFonts w:ascii="Inter" w:hAnsi="Inter" w:eastAsia="Inter"/>
          <w:b/>
          <w:color w:val="142D48"/>
          <w:sz w:val="62"/>
        </w:rPr>
        <w:t xml:space="preserve">Restoration</w:t>
      </w:r>
      <w:r>
        <w:rPr>
          <w:rFonts w:ascii="Inter" w:hAnsi="Inter" w:eastAsia="Inter"/>
          <w:b/>
          <w:color w:val="142D48"/>
          <w:sz w:val="62"/>
        </w:rPr>
        <w:t xml:space="preserve"> </w:t>
      </w:r>
      <w:r>
        <w:rPr>
          <w:rFonts w:ascii="Inter" w:hAnsi="Inter" w:eastAsia="Inter"/>
          <w:b/>
          <w:color w:val="142D48"/>
          <w:sz w:val="62"/>
        </w:rPr>
        <w:t xml:space="preserve">Act</w:t>
      </w:r>
      <w:r>
        <w:rPr>
          <w:rFonts w:ascii="Inter" w:hAnsi="Inter" w:eastAsia="Inter"/>
          <w:b/>
          <w:color w:val="142D48"/>
          <w:sz w:val="62"/>
        </w:rPr>
        <w:t xml:space="preserve"> </w:t>
      </w:r>
      <w:r>
        <w:rPr>
          <w:rFonts w:ascii="Inter" w:hAnsi="Inter" w:eastAsia="Inter"/>
          <w:b/>
          <w:color w:val="142D48"/>
          <w:sz w:val="62"/>
        </w:rPr>
        <w:t xml:space="preserve">of</w:t>
      </w:r>
      <w:r>
        <w:rPr>
          <w:rFonts w:ascii="Inter" w:hAnsi="Inter" w:eastAsia="Inter"/>
          <w:b/>
          <w:color w:val="142D48"/>
          <w:sz w:val="62"/>
        </w:rPr>
        <w:t xml:space="preserve"> </w:t>
      </w:r>
      <w:r>
        <w:rPr>
          <w:rFonts w:ascii="Inter" w:hAnsi="Inter" w:eastAsia="Inter"/>
          <w:b/>
          <w:color w:val="142D48"/>
          <w:sz w:val="62"/>
        </w:rPr>
        <w:t xml:space="preserve">2026</w:t>
      </w:r>
    </w:p>
    <w:p>
      <w:pPr>
        <w:pStyle w:val="Subtitle"/>
        <w:spacing w:after="560"/>
        <w:jc w:val="center"/>
      </w:pPr>
      <w:r>
        <w:rPr>
          <w:rFonts w:ascii="Inter" w:hAnsi="Inter" w:eastAsia="Inter"/>
          <w:b w:val="0"/>
          <w:color w:val="4C6276"/>
          <w:sz w:val="30"/>
        </w:rPr>
        <w:t xml:space="preserve">Model</w:t>
      </w:r>
      <w:r>
        <w:rPr>
          <w:rFonts w:ascii="Inter" w:hAnsi="Inter" w:eastAsia="Inter"/>
          <w:b w:val="0"/>
          <w:color w:val="4C6276"/>
          <w:sz w:val="30"/>
        </w:rPr>
        <w:t xml:space="preserve"> </w:t>
      </w:r>
      <w:r>
        <w:rPr>
          <w:rFonts w:ascii="Inter" w:hAnsi="Inter" w:eastAsia="Inter"/>
          <w:b w:val="0"/>
          <w:color w:val="4C6276"/>
          <w:sz w:val="30"/>
        </w:rPr>
        <w:t xml:space="preserve">Federal</w:t>
      </w:r>
      <w:r>
        <w:rPr>
          <w:rFonts w:ascii="Inter" w:hAnsi="Inter" w:eastAsia="Inter"/>
          <w:b w:val="0"/>
          <w:color w:val="4C6276"/>
          <w:sz w:val="30"/>
        </w:rPr>
        <w:t xml:space="preserve"> </w:t>
      </w:r>
      <w:r>
        <w:rPr>
          <w:rFonts w:ascii="Inter" w:hAnsi="Inter" w:eastAsia="Inter"/>
          <w:b w:val="0"/>
          <w:color w:val="4C6276"/>
          <w:sz w:val="30"/>
        </w:rPr>
        <w:t xml:space="preserve">Legislative</w:t>
      </w:r>
      <w:r>
        <w:rPr>
          <w:rFonts w:ascii="Inter" w:hAnsi="Inter" w:eastAsia="Inter"/>
          <w:b w:val="0"/>
          <w:color w:val="4C6276"/>
          <w:sz w:val="30"/>
        </w:rPr>
        <w:t xml:space="preserve"> </w:t>
      </w:r>
      <w:r>
        <w:rPr>
          <w:rFonts w:ascii="Inter" w:hAnsi="Inter" w:eastAsia="Inter"/>
          <w:b w:val="0"/>
          <w:color w:val="4C6276"/>
          <w:sz w:val="30"/>
        </w:rPr>
        <w:t xml:space="preserve">Package</w:t>
      </w:r>
    </w:p>
    <w:p>
      <w:pPr>
        <w:pStyle w:val="Author"/>
        <w:widowControl/>
        <w:spacing w:after="60" w:line="250" w:lineRule="auto"/>
        <w:jc w:val="center"/>
      </w:pPr>
      <w:r>
        <w:rPr>
          <w:rFonts w:ascii="Noto Serif" w:hAnsi="Noto Serif" w:eastAsia="Noto Serif"/>
          <w:b w:val="0"/>
          <w:color w:val="5A646E"/>
          <w:sz w:val="19"/>
        </w:rPr>
        <w:t xml:space="preserve">Prepared</w:t>
      </w:r>
      <w:r>
        <w:rPr>
          <w:rFonts w:ascii="Noto Serif" w:hAnsi="Noto Serif" w:eastAsia="Noto Serif"/>
          <w:b w:val="0"/>
          <w:color w:val="5A646E"/>
          <w:sz w:val="19"/>
        </w:rPr>
        <w:t xml:space="preserve"> </w:t>
      </w:r>
      <w:r>
        <w:rPr>
          <w:rFonts w:ascii="Noto Serif" w:hAnsi="Noto Serif" w:eastAsia="Noto Serif"/>
          <w:b w:val="0"/>
          <w:color w:val="5A646E"/>
          <w:sz w:val="19"/>
        </w:rPr>
        <w:t xml:space="preserve">in</w:t>
      </w:r>
      <w:r>
        <w:rPr>
          <w:rFonts w:ascii="Noto Serif" w:hAnsi="Noto Serif" w:eastAsia="Noto Serif"/>
          <w:b w:val="0"/>
          <w:color w:val="5A646E"/>
          <w:sz w:val="19"/>
        </w:rPr>
        <w:t xml:space="preserve"> </w:t>
      </w:r>
      <w:r>
        <w:rPr>
          <w:rFonts w:ascii="Noto Serif" w:hAnsi="Noto Serif" w:eastAsia="Noto Serif"/>
          <w:b w:val="0"/>
          <w:color w:val="5A646E"/>
          <w:sz w:val="19"/>
        </w:rPr>
        <w:t xml:space="preserve">legislative-counsel</w:t>
      </w:r>
      <w:r>
        <w:rPr>
          <w:rFonts w:ascii="Noto Serif" w:hAnsi="Noto Serif" w:eastAsia="Noto Serif"/>
          <w:b w:val="0"/>
          <w:color w:val="5A646E"/>
          <w:sz w:val="19"/>
        </w:rPr>
        <w:t xml:space="preserve"> </w:t>
      </w:r>
      <w:r>
        <w:rPr>
          <w:rFonts w:ascii="Noto Serif" w:hAnsi="Noto Serif" w:eastAsia="Noto Serif"/>
          <w:b w:val="0"/>
          <w:color w:val="5A646E"/>
          <w:sz w:val="19"/>
        </w:rPr>
        <w:t xml:space="preserve">format</w:t>
      </w:r>
    </w:p>
    <w:p>
      <w:pPr>
        <w:pStyle w:val="Date"/>
        <w:widowControl/>
        <w:spacing w:after="60" w:line="250" w:lineRule="auto"/>
        <w:jc w:val="center"/>
      </w:pPr>
      <w:r>
        <w:rPr>
          <w:rFonts w:ascii="Noto Serif" w:hAnsi="Noto Serif" w:eastAsia="Noto Serif"/>
          <w:b w:val="0"/>
          <w:color w:val="5A646E"/>
          <w:sz w:val="19"/>
        </w:rPr>
        <w:t xml:space="preserve">July</w:t>
      </w:r>
      <w:r>
        <w:rPr>
          <w:rFonts w:ascii="Noto Serif" w:hAnsi="Noto Serif" w:eastAsia="Noto Serif"/>
          <w:b w:val="0"/>
          <w:color w:val="5A646E"/>
          <w:sz w:val="19"/>
        </w:rPr>
        <w:t xml:space="preserve"> </w:t>
      </w:r>
      <w:r>
        <w:rPr>
          <w:rFonts w:ascii="Noto Serif" w:hAnsi="Noto Serif" w:eastAsia="Noto Serif"/>
          <w:b w:val="0"/>
          <w:color w:val="5A646E"/>
          <w:sz w:val="19"/>
        </w:rPr>
        <w:t xml:space="preserve">2026</w:t>
      </w:r>
    </w:p>
    <w:bookmarkStart w:id="20" w:name="table-of-contents"/>
    <w:p>
      <w:pPr>
        <w:pStyle w:val="Heading1"/>
        <w:keepNext/>
        <w:pageBreakBefore/>
        <w:spacing w:before="0" w:after="180"/>
        <w:pBdr>
          <w:bottom w:val="single" w:sz="8" w:space="4" w:color="9EB0BF"/>
        </w:pBdr>
      </w:pPr>
      <w:r>
        <w:rPr>
          <w:rFonts w:ascii="Inter" w:hAnsi="Inter" w:eastAsia="Inter"/>
          <w:b/>
          <w:color w:val="142D48"/>
          <w:sz w:val="34"/>
        </w:rPr>
        <w:t xml:space="preserve">TABLE OF CONTENTS</w:t>
      </w:r>
    </w:p>
    <w:p>
      <w:pPr>
        <w:pStyle w:val="Compact"/>
        <w:widowControl/>
        <w:numPr>
          <w:ilvl w:val="0"/>
          <w:numId w:val="1001"/>
        </w:numPr>
        <w:spacing w:after="30" w:line="245" w:lineRule="auto"/>
      </w:pPr>
      <w:r>
        <w:rPr>
          <w:rFonts w:ascii="Noto Serif" w:hAnsi="Noto Serif" w:eastAsia="Noto Serif"/>
          <w:sz w:val="18"/>
        </w:rPr>
        <w:t xml:space="preserve">Counsel’s Overview</w:t>
      </w:r>
    </w:p>
    <w:p>
      <w:pPr>
        <w:pStyle w:val="Compact"/>
        <w:widowControl/>
        <w:numPr>
          <w:ilvl w:val="0"/>
          <w:numId w:val="1001"/>
        </w:numPr>
        <w:spacing w:after="30" w:line="245" w:lineRule="auto"/>
      </w:pPr>
      <w:r>
        <w:rPr>
          <w:rFonts w:ascii="Noto Serif" w:hAnsi="Noto Serif" w:eastAsia="Noto Serif"/>
          <w:sz w:val="18"/>
        </w:rPr>
        <w:t xml:space="preserve">Executive Summary of the Bill</w:t>
      </w:r>
    </w:p>
    <w:p>
      <w:pPr>
        <w:pStyle w:val="Compact"/>
        <w:widowControl/>
        <w:numPr>
          <w:ilvl w:val="0"/>
          <w:numId w:val="1001"/>
        </w:numPr>
        <w:spacing w:after="30" w:line="245" w:lineRule="auto"/>
      </w:pPr>
      <w:r>
        <w:rPr>
          <w:rFonts w:ascii="Noto Serif" w:hAnsi="Noto Serif" w:eastAsia="Noto Serif"/>
          <w:sz w:val="18"/>
        </w:rPr>
        <w:t xml:space="preserve">A Bill</w:t>
      </w:r>
    </w:p>
    <w:p>
      <w:pPr>
        <w:pStyle w:val="Compact"/>
        <w:widowControl/>
        <w:numPr>
          <w:ilvl w:val="0"/>
          <w:numId w:val="1001"/>
        </w:numPr>
        <w:spacing w:after="30" w:line="245" w:lineRule="auto"/>
      </w:pPr>
      <w:r>
        <w:rPr>
          <w:rFonts w:ascii="Noto Serif" w:hAnsi="Noto Serif" w:eastAsia="Noto Serif"/>
          <w:sz w:val="18"/>
        </w:rPr>
        <w:t xml:space="preserve">Title I - General Provisions (Secs. 101-112)</w:t>
      </w:r>
    </w:p>
    <w:p>
      <w:pPr>
        <w:pStyle w:val="Compact"/>
        <w:widowControl/>
        <w:numPr>
          <w:ilvl w:val="0"/>
          <w:numId w:val="1001"/>
        </w:numPr>
        <w:spacing w:after="30" w:line="245" w:lineRule="auto"/>
      </w:pPr>
      <w:r>
        <w:rPr>
          <w:rFonts w:ascii="Noto Serif" w:hAnsi="Noto Serif" w:eastAsia="Noto Serif"/>
          <w:sz w:val="18"/>
        </w:rPr>
        <w:t xml:space="preserve">Title II - American Restoration Review and Rollback Inventory (Secs. 201-212)</w:t>
      </w:r>
    </w:p>
    <w:p>
      <w:pPr>
        <w:pStyle w:val="Compact"/>
        <w:widowControl/>
        <w:numPr>
          <w:ilvl w:val="0"/>
          <w:numId w:val="1001"/>
        </w:numPr>
        <w:spacing w:after="30" w:line="245" w:lineRule="auto"/>
      </w:pPr>
      <w:r>
        <w:rPr>
          <w:rFonts w:ascii="Noto Serif" w:hAnsi="Noto Serif" w:eastAsia="Noto Serif"/>
          <w:sz w:val="18"/>
        </w:rPr>
        <w:t xml:space="preserve">Title III - Congressional Power of the Purse, Lawful Administration, and Separation of Powers (Secs. 301-312)</w:t>
      </w:r>
    </w:p>
    <w:p>
      <w:pPr>
        <w:pStyle w:val="Compact"/>
        <w:widowControl/>
        <w:numPr>
          <w:ilvl w:val="0"/>
          <w:numId w:val="1001"/>
        </w:numPr>
        <w:spacing w:after="30" w:line="245" w:lineRule="auto"/>
      </w:pPr>
      <w:r>
        <w:rPr>
          <w:rFonts w:ascii="Noto Serif" w:hAnsi="Noto Serif" w:eastAsia="Noto Serif"/>
          <w:sz w:val="18"/>
        </w:rPr>
        <w:t xml:space="preserve">Title IV - Merit Civil Service and Public Capacity (Secs. 401-411)</w:t>
      </w:r>
    </w:p>
    <w:p>
      <w:pPr>
        <w:pStyle w:val="Compact"/>
        <w:widowControl/>
        <w:numPr>
          <w:ilvl w:val="0"/>
          <w:numId w:val="1001"/>
        </w:numPr>
        <w:spacing w:after="30" w:line="245" w:lineRule="auto"/>
      </w:pPr>
      <w:r>
        <w:rPr>
          <w:rFonts w:ascii="Noto Serif" w:hAnsi="Noto Serif" w:eastAsia="Noto Serif"/>
          <w:sz w:val="18"/>
        </w:rPr>
        <w:t xml:space="preserve">Title V - Office of Public Efficiency and Integrity (Secs. 501-513)</w:t>
      </w:r>
    </w:p>
    <w:p>
      <w:pPr>
        <w:pStyle w:val="Compact"/>
        <w:widowControl/>
        <w:numPr>
          <w:ilvl w:val="0"/>
          <w:numId w:val="1001"/>
        </w:numPr>
        <w:spacing w:after="30" w:line="245" w:lineRule="auto"/>
      </w:pPr>
      <w:r>
        <w:rPr>
          <w:rFonts w:ascii="Noto Serif" w:hAnsi="Noto Serif" w:eastAsia="Noto Serif"/>
          <w:sz w:val="18"/>
        </w:rPr>
        <w:t xml:space="preserve">Title VI - Democratic Participation and Election Restoration (Secs. 601-610)</w:t>
      </w:r>
    </w:p>
    <w:p>
      <w:pPr>
        <w:pStyle w:val="Compact"/>
        <w:widowControl/>
        <w:numPr>
          <w:ilvl w:val="0"/>
          <w:numId w:val="1001"/>
        </w:numPr>
        <w:spacing w:after="30" w:line="245" w:lineRule="auto"/>
      </w:pPr>
      <w:r>
        <w:rPr>
          <w:rFonts w:ascii="Noto Serif" w:hAnsi="Noto Serif" w:eastAsia="Noto Serif"/>
          <w:sz w:val="18"/>
        </w:rPr>
        <w:t xml:space="preserve">Title VII - Civil Rights, Equal Dignity, and Lawful Equal Opportunity (Secs. 701-715)</w:t>
      </w:r>
    </w:p>
    <w:p>
      <w:pPr>
        <w:pStyle w:val="Compact"/>
        <w:widowControl/>
        <w:numPr>
          <w:ilvl w:val="0"/>
          <w:numId w:val="1001"/>
        </w:numPr>
        <w:spacing w:after="30" w:line="245" w:lineRule="auto"/>
      </w:pPr>
      <w:r>
        <w:rPr>
          <w:rFonts w:ascii="Noto Serif" w:hAnsi="Noto Serif" w:eastAsia="Noto Serif"/>
          <w:sz w:val="18"/>
        </w:rPr>
        <w:t xml:space="preserve">Title VIII - Immigration, Asylum, Refugee, and Family-Unity Restoration (Secs. 801-814)</w:t>
      </w:r>
    </w:p>
    <w:p>
      <w:pPr>
        <w:pStyle w:val="Compact"/>
        <w:widowControl/>
        <w:numPr>
          <w:ilvl w:val="0"/>
          <w:numId w:val="1001"/>
        </w:numPr>
        <w:spacing w:after="30" w:line="245" w:lineRule="auto"/>
      </w:pPr>
      <w:r>
        <w:rPr>
          <w:rFonts w:ascii="Noto Serif" w:hAnsi="Noto Serif" w:eastAsia="Noto Serif"/>
          <w:sz w:val="18"/>
        </w:rPr>
        <w:t xml:space="preserve">Title IX - Climate, Clean Air, and Environmental Health Restoration (Secs. 901-916)</w:t>
      </w:r>
    </w:p>
    <w:p>
      <w:pPr>
        <w:pStyle w:val="Compact"/>
        <w:widowControl/>
        <w:numPr>
          <w:ilvl w:val="0"/>
          <w:numId w:val="1001"/>
        </w:numPr>
        <w:spacing w:after="30" w:line="245" w:lineRule="auto"/>
      </w:pPr>
      <w:r>
        <w:rPr>
          <w:rFonts w:ascii="Noto Serif" w:hAnsi="Noto Serif" w:eastAsia="Noto Serif"/>
          <w:sz w:val="18"/>
        </w:rPr>
        <w:t xml:space="preserve">Title X - Clean Water, Public Lands, Oceans, Wildlife, and Tribal Stewardship (Secs. 1001-1018)</w:t>
      </w:r>
    </w:p>
    <w:p>
      <w:pPr>
        <w:pStyle w:val="Compact"/>
        <w:widowControl/>
        <w:numPr>
          <w:ilvl w:val="0"/>
          <w:numId w:val="1001"/>
        </w:numPr>
        <w:spacing w:after="30" w:line="245" w:lineRule="auto"/>
      </w:pPr>
      <w:r>
        <w:rPr>
          <w:rFonts w:ascii="Noto Serif" w:hAnsi="Noto Serif" w:eastAsia="Noto Serif"/>
          <w:sz w:val="18"/>
        </w:rPr>
        <w:t xml:space="preserve">Title XI - Clean Energy, Grid Modernization, and Responsible Data-Center Development (Secs. 1101-1120)</w:t>
      </w:r>
    </w:p>
    <w:p>
      <w:pPr>
        <w:pStyle w:val="Compact"/>
        <w:widowControl/>
        <w:numPr>
          <w:ilvl w:val="0"/>
          <w:numId w:val="1001"/>
        </w:numPr>
        <w:spacing w:after="30" w:line="245" w:lineRule="auto"/>
      </w:pPr>
      <w:r>
        <w:rPr>
          <w:rFonts w:ascii="Noto Serif" w:hAnsi="Noto Serif" w:eastAsia="Noto Serif"/>
          <w:sz w:val="18"/>
        </w:rPr>
        <w:t xml:space="preserve">Title XII - Digital Privacy, Data Brokers, and Government Surveillance (Secs. 1201-1214)</w:t>
      </w:r>
    </w:p>
    <w:p>
      <w:pPr>
        <w:pStyle w:val="Compact"/>
        <w:widowControl/>
        <w:numPr>
          <w:ilvl w:val="0"/>
          <w:numId w:val="1001"/>
        </w:numPr>
        <w:spacing w:after="30" w:line="245" w:lineRule="auto"/>
      </w:pPr>
      <w:r>
        <w:rPr>
          <w:rFonts w:ascii="Noto Serif" w:hAnsi="Noto Serif" w:eastAsia="Noto Serif"/>
          <w:sz w:val="18"/>
        </w:rPr>
        <w:t xml:space="preserve">Title XIII - Education, Research, and Knowledge Institutions (Secs. 1301-1312)</w:t>
      </w:r>
    </w:p>
    <w:p>
      <w:pPr>
        <w:pStyle w:val="Compact"/>
        <w:widowControl/>
        <w:numPr>
          <w:ilvl w:val="0"/>
          <w:numId w:val="1001"/>
        </w:numPr>
        <w:spacing w:after="30" w:line="245" w:lineRule="auto"/>
      </w:pPr>
      <w:r>
        <w:rPr>
          <w:rFonts w:ascii="Noto Serif" w:hAnsi="Noto Serif" w:eastAsia="Noto Serif"/>
          <w:sz w:val="18"/>
        </w:rPr>
        <w:t xml:space="preserve">Title XIV - Public Health, Science, and Health-Agency Restoration (Secs. 1401-1415)</w:t>
      </w:r>
    </w:p>
    <w:p>
      <w:pPr>
        <w:pStyle w:val="Compact"/>
        <w:widowControl/>
        <w:numPr>
          <w:ilvl w:val="0"/>
          <w:numId w:val="1001"/>
        </w:numPr>
        <w:spacing w:after="30" w:line="245" w:lineRule="auto"/>
      </w:pPr>
      <w:r>
        <w:rPr>
          <w:rFonts w:ascii="Noto Serif" w:hAnsi="Noto Serif" w:eastAsia="Noto Serif"/>
          <w:sz w:val="18"/>
        </w:rPr>
        <w:t xml:space="preserve">Title XV - Workers, Consumers, Housing, and Fair Economic Administration (Secs. 1501-1515)</w:t>
      </w:r>
    </w:p>
    <w:p>
      <w:pPr>
        <w:pStyle w:val="Compact"/>
        <w:widowControl/>
        <w:numPr>
          <w:ilvl w:val="0"/>
          <w:numId w:val="1001"/>
        </w:numPr>
        <w:spacing w:after="30" w:line="245" w:lineRule="auto"/>
      </w:pPr>
      <w:r>
        <w:rPr>
          <w:rFonts w:ascii="Noto Serif" w:hAnsi="Noto Serif" w:eastAsia="Noto Serif"/>
          <w:sz w:val="18"/>
        </w:rPr>
        <w:t xml:space="preserve">Title XVI - Trade, Tariffs, and Economic Emergency Powers (Secs. 1601-1610)</w:t>
      </w:r>
    </w:p>
    <w:p>
      <w:pPr>
        <w:pStyle w:val="Compact"/>
        <w:widowControl/>
        <w:numPr>
          <w:ilvl w:val="0"/>
          <w:numId w:val="1001"/>
        </w:numPr>
        <w:spacing w:after="30" w:line="245" w:lineRule="auto"/>
      </w:pPr>
      <w:r>
        <w:rPr>
          <w:rFonts w:ascii="Noto Serif" w:hAnsi="Noto Serif" w:eastAsia="Noto Serif"/>
          <w:sz w:val="18"/>
        </w:rPr>
        <w:t xml:space="preserve">Title XVII - USAID, Humanitarian Leadership, Global Health, and Soft Power (Secs. 1701-1716)</w:t>
      </w:r>
    </w:p>
    <w:p>
      <w:pPr>
        <w:pStyle w:val="Compact"/>
        <w:widowControl/>
        <w:numPr>
          <w:ilvl w:val="0"/>
          <w:numId w:val="1001"/>
        </w:numPr>
        <w:spacing w:after="30" w:line="245" w:lineRule="auto"/>
      </w:pPr>
      <w:r>
        <w:rPr>
          <w:rFonts w:ascii="Noto Serif" w:hAnsi="Noto Serif" w:eastAsia="Noto Serif"/>
          <w:sz w:val="18"/>
        </w:rPr>
        <w:t xml:space="preserve">Title XVIII - Sovereign Foreign Policy, Security Assistance, and Human Rights (Secs. 1801-1818)</w:t>
      </w:r>
    </w:p>
    <w:p>
      <w:pPr>
        <w:pStyle w:val="Compact"/>
        <w:widowControl/>
        <w:numPr>
          <w:ilvl w:val="0"/>
          <w:numId w:val="1001"/>
        </w:numPr>
        <w:spacing w:after="30" w:line="245" w:lineRule="auto"/>
      </w:pPr>
      <w:r>
        <w:rPr>
          <w:rFonts w:ascii="Noto Serif" w:hAnsi="Noto Serif" w:eastAsia="Noto Serif"/>
          <w:sz w:val="18"/>
        </w:rPr>
        <w:t xml:space="preserve">Title XIX - Administrative Law, Agency Expertise, and Judicial Remedies (Secs. 1901-1914)</w:t>
      </w:r>
    </w:p>
    <w:p>
      <w:pPr>
        <w:pStyle w:val="Compact"/>
        <w:widowControl/>
        <w:numPr>
          <w:ilvl w:val="0"/>
          <w:numId w:val="1001"/>
        </w:numPr>
        <w:spacing w:after="30" w:line="245" w:lineRule="auto"/>
      </w:pPr>
      <w:r>
        <w:rPr>
          <w:rFonts w:ascii="Noto Serif" w:hAnsi="Noto Serif" w:eastAsia="Noto Serif"/>
          <w:sz w:val="18"/>
        </w:rPr>
        <w:t xml:space="preserve">Title XX - Anti-Corruption, Foreign Bribery, Records, and Public Integrity (Secs. 2001-2016)</w:t>
      </w:r>
    </w:p>
    <w:p>
      <w:pPr>
        <w:pStyle w:val="Compact"/>
        <w:widowControl/>
        <w:numPr>
          <w:ilvl w:val="0"/>
          <w:numId w:val="1001"/>
        </w:numPr>
        <w:spacing w:after="30" w:line="245" w:lineRule="auto"/>
      </w:pPr>
      <w:r>
        <w:rPr>
          <w:rFonts w:ascii="Noto Serif" w:hAnsi="Noto Serif" w:eastAsia="Noto Serif"/>
          <w:sz w:val="18"/>
        </w:rPr>
        <w:t xml:space="preserve">Title XXI - Remediation, Restitution, and Transitional Justice (Secs. 2101-2114)</w:t>
      </w:r>
    </w:p>
    <w:p>
      <w:pPr>
        <w:pStyle w:val="Compact"/>
        <w:widowControl/>
        <w:numPr>
          <w:ilvl w:val="0"/>
          <w:numId w:val="1001"/>
        </w:numPr>
        <w:spacing w:after="30" w:line="245" w:lineRule="auto"/>
      </w:pPr>
      <w:r>
        <w:rPr>
          <w:rFonts w:ascii="Noto Serif" w:hAnsi="Noto Serif" w:eastAsia="Noto Serif"/>
          <w:sz w:val="18"/>
        </w:rPr>
        <w:t xml:space="preserve">Title XXII - Restoration and Resilience Fund; Fiscal Responsibility (Secs. 2201-2210)</w:t>
      </w:r>
    </w:p>
    <w:p>
      <w:pPr>
        <w:pStyle w:val="Compact"/>
        <w:widowControl/>
        <w:numPr>
          <w:ilvl w:val="0"/>
          <w:numId w:val="1001"/>
        </w:numPr>
        <w:spacing w:after="30" w:line="245" w:lineRule="auto"/>
      </w:pPr>
      <w:r>
        <w:rPr>
          <w:rFonts w:ascii="Noto Serif" w:hAnsi="Noto Serif" w:eastAsia="Noto Serif"/>
          <w:sz w:val="18"/>
        </w:rPr>
        <w:t xml:space="preserve">Title XXIII - Implementation, Oversight, Data, and Performance (Secs. 2301-2312)</w:t>
      </w:r>
    </w:p>
    <w:p>
      <w:pPr>
        <w:pStyle w:val="Compact"/>
        <w:widowControl/>
        <w:numPr>
          <w:ilvl w:val="0"/>
          <w:numId w:val="1001"/>
        </w:numPr>
        <w:spacing w:after="30" w:line="245" w:lineRule="auto"/>
      </w:pPr>
      <w:r>
        <w:rPr>
          <w:rFonts w:ascii="Noto Serif" w:hAnsi="Noto Serif" w:eastAsia="Noto Serif"/>
          <w:sz w:val="18"/>
        </w:rPr>
        <w:t xml:space="preserve">Title XXIV - Long-Term Review, Anti-Backsliding Procedures, Effective Dates, and Savings (Secs. 2401-2410)</w:t>
      </w:r>
    </w:p>
    <w:p>
      <w:pPr>
        <w:pStyle w:val="Compact"/>
        <w:widowControl/>
        <w:numPr>
          <w:ilvl w:val="0"/>
          <w:numId w:val="1001"/>
        </w:numPr>
        <w:spacing w:after="30" w:line="245" w:lineRule="auto"/>
      </w:pPr>
      <w:r>
        <w:rPr>
          <w:rFonts w:ascii="Noto Serif" w:hAnsi="Noto Serif" w:eastAsia="Noto Serif"/>
          <w:sz w:val="18"/>
        </w:rPr>
        <w:t xml:space="preserve">Schedule A - Initial Covered Action Categories</w:t>
      </w:r>
    </w:p>
    <w:p>
      <w:pPr>
        <w:pStyle w:val="Compact"/>
        <w:widowControl/>
        <w:numPr>
          <w:ilvl w:val="0"/>
          <w:numId w:val="1001"/>
        </w:numPr>
        <w:spacing w:after="30" w:line="245" w:lineRule="auto"/>
      </w:pPr>
      <w:r>
        <w:rPr>
          <w:rFonts w:ascii="Noto Serif" w:hAnsi="Noto Serif" w:eastAsia="Noto Serif"/>
          <w:sz w:val="18"/>
        </w:rPr>
        <w:t xml:space="preserve">Section-by-Section Commentary</w:t>
      </w:r>
    </w:p>
    <w:p>
      <w:pPr>
        <w:pStyle w:val="Compact"/>
        <w:widowControl/>
        <w:numPr>
          <w:ilvl w:val="0"/>
          <w:numId w:val="1001"/>
        </w:numPr>
        <w:spacing w:after="30" w:line="245" w:lineRule="auto"/>
      </w:pPr>
      <w:r>
        <w:rPr>
          <w:rFonts w:ascii="Noto Serif" w:hAnsi="Noto Serif" w:eastAsia="Noto Serif"/>
          <w:sz w:val="18"/>
        </w:rPr>
        <w:t xml:space="preserve">Constitutional and Legal-Risk Analysis</w:t>
      </w:r>
    </w:p>
    <w:p>
      <w:pPr>
        <w:pStyle w:val="Compact"/>
        <w:widowControl/>
        <w:numPr>
          <w:ilvl w:val="0"/>
          <w:numId w:val="1001"/>
        </w:numPr>
        <w:spacing w:after="30" w:line="245" w:lineRule="auto"/>
      </w:pPr>
      <w:r>
        <w:rPr>
          <w:rFonts w:ascii="Noto Serif" w:hAnsi="Noto Serif" w:eastAsia="Noto Serif"/>
          <w:sz w:val="18"/>
        </w:rPr>
        <w:t xml:space="preserve">Preliminary Fiscal Note</w:t>
      </w:r>
    </w:p>
    <w:p>
      <w:pPr>
        <w:pStyle w:val="Compact"/>
        <w:widowControl/>
        <w:numPr>
          <w:ilvl w:val="0"/>
          <w:numId w:val="1001"/>
        </w:numPr>
        <w:spacing w:after="30" w:line="245" w:lineRule="auto"/>
      </w:pPr>
      <w:r>
        <w:rPr>
          <w:rFonts w:ascii="Noto Serif" w:hAnsi="Noto Serif" w:eastAsia="Noto Serif"/>
          <w:sz w:val="18"/>
        </w:rPr>
        <w:t xml:space="preserve">Implementation Roadmap</w:t>
      </w:r>
    </w:p>
    <w:p>
      <w:pPr>
        <w:pStyle w:val="Compact"/>
        <w:widowControl/>
        <w:numPr>
          <w:ilvl w:val="0"/>
          <w:numId w:val="1001"/>
        </w:numPr>
        <w:spacing w:after="30" w:line="245" w:lineRule="auto"/>
      </w:pPr>
      <w:r>
        <w:rPr>
          <w:rFonts w:ascii="Noto Serif" w:hAnsi="Noto Serif" w:eastAsia="Noto Serif"/>
          <w:sz w:val="18"/>
        </w:rPr>
        <w:t xml:space="preserve">Stakeholder and Incentive Analysis</w:t>
      </w:r>
    </w:p>
    <w:p>
      <w:pPr>
        <w:pStyle w:val="Compact"/>
        <w:widowControl/>
        <w:numPr>
          <w:ilvl w:val="0"/>
          <w:numId w:val="1001"/>
        </w:numPr>
        <w:spacing w:after="30" w:line="245" w:lineRule="auto"/>
      </w:pPr>
      <w:r>
        <w:rPr>
          <w:rFonts w:ascii="Noto Serif" w:hAnsi="Noto Serif" w:eastAsia="Noto Serif"/>
          <w:sz w:val="18"/>
        </w:rPr>
        <w:t xml:space="preserve">Plain-Language Summary and Frequently Asked Questions</w:t>
      </w:r>
    </w:p>
    <w:p>
      <w:pPr>
        <w:pStyle w:val="Compact"/>
        <w:widowControl/>
        <w:numPr>
          <w:ilvl w:val="0"/>
          <w:numId w:val="1001"/>
        </w:numPr>
        <w:spacing w:after="30" w:line="245" w:lineRule="auto"/>
      </w:pPr>
      <w:r>
        <w:rPr>
          <w:rFonts w:ascii="Noto Serif" w:hAnsi="Noto Serif" w:eastAsia="Noto Serif"/>
          <w:sz w:val="18"/>
        </w:rPr>
        <w:t xml:space="preserve">Research Basis and Selected Primary Sources</w:t>
      </w:r>
    </w:p>
    <w:p>
      <w:pPr>
        <w:pStyle w:val="Compact"/>
        <w:widowControl/>
        <w:numPr>
          <w:ilvl w:val="0"/>
          <w:numId w:val="1001"/>
        </w:numPr>
        <w:spacing w:after="30" w:line="245" w:lineRule="auto"/>
      </w:pPr>
      <w:r>
        <w:rPr>
          <w:rFonts w:ascii="Noto Serif" w:hAnsi="Noto Serif" w:eastAsia="Noto Serif"/>
          <w:sz w:val="18"/>
        </w:rPr>
        <w:t xml:space="preserve">Quality-Check</w:t>
      </w:r>
    </w:p>
    <w:bookmarkEnd w:id="20"/>
    <w:bookmarkStart w:id="25" w:name="counsels-overview"/>
    <w:p>
      <w:pPr>
        <w:pStyle w:val="Heading1"/>
        <w:keepNext/>
        <w:pageBreakBefore/>
        <w:spacing w:before="0" w:after="180"/>
        <w:pBdr>
          <w:bottom w:val="single" w:sz="8" w:space="4" w:color="9EB0BF"/>
        </w:pBdr>
      </w:pPr>
      <w:r>
        <w:rPr>
          <w:rFonts w:ascii="Inter" w:hAnsi="Inter" w:eastAsia="Inter"/>
          <w:b/>
          <w:color w:val="142D48"/>
          <w:sz w:val="34"/>
        </w:rPr>
        <w:t xml:space="preserve">COUNSEL’S OVERVIEW</w:t>
      </w:r>
    </w:p>
    <w:bookmarkStart w:id="21" w:name="drafting-posture"/>
    <w:p>
      <w:pPr>
        <w:pStyle w:val="Heading2"/>
        <w:keepNext/>
        <w:spacing w:before="160" w:after="60"/>
      </w:pPr>
      <w:r>
        <w:rPr>
          <w:rFonts w:ascii="Inter" w:hAnsi="Inter" w:eastAsia="Inter"/>
          <w:b/>
          <w:color w:val="1F3F5B"/>
          <w:sz w:val="23"/>
        </w:rPr>
        <w:t xml:space="preserve">Drafting posture</w:t>
      </w:r>
    </w:p>
    <w:p>
      <w:pPr>
        <w:pStyle w:val="FirstParagraph"/>
        <w:widowControl/>
        <w:spacing w:after="60" w:line="250" w:lineRule="auto"/>
      </w:pPr>
      <w:r>
        <w:rPr>
          <w:rFonts w:ascii="Noto Serif" w:hAnsi="Noto Serif" w:eastAsia="Noto Serif"/>
          <w:sz w:val="19"/>
        </w:rPr>
        <w:t xml:space="preserve">This document is a</w:t>
      </w:r>
      <w:r>
        <w:rPr>
          <w:rFonts w:ascii="Noto Serif" w:hAnsi="Noto Serif" w:eastAsia="Noto Serif"/>
          <w:sz w:val="19"/>
        </w:rPr>
        <w:t xml:space="preserve"> </w:t>
      </w:r>
      <w:r>
        <w:rPr>
          <w:rFonts w:ascii="Noto Serif" w:hAnsi="Noto Serif" w:eastAsia="Noto Serif"/>
          <w:b/>
          <w:bCs/>
          <w:sz w:val="19"/>
        </w:rPr>
        <w:t xml:space="preserve">model United States federal bill</w:t>
      </w:r>
      <w:r>
        <w:rPr>
          <w:rFonts w:ascii="Noto Serif" w:hAnsi="Noto Serif" w:eastAsia="Noto Serif"/>
          <w:sz w:val="19"/>
        </w:rPr>
        <w:t xml:space="preserve">, prepared in legislative-counsel form. It is designed to restore constitutional government, civil rights, scientific integrity, public capacity, environmental protection, international leadership, and democratic resilience after destructive executive, administrative, budgetary, and regulatory actions taken during the periods beginning January 20, 2017, and January 20, 2025, and after materially similar actions by any administration.</w:t>
      </w:r>
    </w:p>
    <w:p>
      <w:pPr>
        <w:pStyle w:val="BodyText"/>
        <w:widowControl/>
        <w:spacing w:after="60" w:line="250" w:lineRule="auto"/>
      </w:pPr>
      <w:r>
        <w:rPr>
          <w:rFonts w:ascii="Noto Serif" w:hAnsi="Noto Serif" w:eastAsia="Noto Serif"/>
          <w:sz w:val="19"/>
        </w:rPr>
        <w:t xml:space="preserve">The bill does</w:t>
      </w:r>
      <w:r>
        <w:rPr>
          <w:rFonts w:ascii="Noto Serif" w:hAnsi="Noto Serif" w:eastAsia="Noto Serif"/>
          <w:sz w:val="19"/>
        </w:rPr>
        <w:t xml:space="preserve"> </w:t>
      </w:r>
      <w:r>
        <w:rPr>
          <w:rFonts w:ascii="Noto Serif" w:hAnsi="Noto Serif" w:eastAsia="Noto Serif"/>
          <w:b/>
          <w:bCs/>
          <w:sz w:val="19"/>
        </w:rPr>
        <w:t xml:space="preserve">not</w:t>
      </w:r>
      <w:r>
        <w:rPr>
          <w:rFonts w:ascii="Noto Serif" w:hAnsi="Noto Serif" w:eastAsia="Noto Serif"/>
          <w:sz w:val="19"/>
        </w:rPr>
        <w:t xml:space="preserve"> </w:t>
      </w:r>
      <w:r>
        <w:rPr>
          <w:rFonts w:ascii="Noto Serif" w:hAnsi="Noto Serif" w:eastAsia="Noto Serif"/>
          <w:sz w:val="19"/>
        </w:rPr>
        <w:t xml:space="preserve">punish a political party, administration, officeholder, or viewpoint. It uses conduct-based standards that apply prospectively to every administration. It does not purport to erase final judgments of Article III courts, cancel vested property rights without due process, impose a legislative veto, or bind a future Congress against ordinary amendment or repeal. Where a judicial decision construes a statute, this Act changes the statutory rule to the extent constitutionally permissible. Where a decision announces a constitutional rule, this Act operates within that rule and supplies narrower statutory protections, procedures, remedies, and express delegations.</w:t>
      </w:r>
    </w:p>
    <w:bookmarkEnd w:id="21"/>
    <w:bookmarkStart w:id="22" w:name="core-architecture"/>
    <w:p>
      <w:pPr>
        <w:pStyle w:val="Heading2"/>
        <w:keepNext/>
        <w:spacing w:before="160" w:after="60"/>
      </w:pPr>
      <w:r>
        <w:rPr>
          <w:rFonts w:ascii="Inter" w:hAnsi="Inter" w:eastAsia="Inter"/>
          <w:b/>
          <w:color w:val="1F3F5B"/>
          <w:sz w:val="23"/>
        </w:rPr>
        <w:t xml:space="preserve">Core architecture</w:t>
      </w:r>
    </w:p>
    <w:p>
      <w:pPr>
        <w:pStyle w:val="FirstParagraph"/>
        <w:widowControl/>
        <w:spacing w:after="60" w:line="250" w:lineRule="auto"/>
      </w:pPr>
      <w:r>
        <w:rPr>
          <w:rFonts w:ascii="Noto Serif" w:hAnsi="Noto Serif" w:eastAsia="Noto Serif"/>
          <w:sz w:val="19"/>
        </w:rPr>
        <w:t xml:space="preserve">The Act does six things at once:</w:t>
      </w:r>
    </w:p>
    <w:p>
      <w:pPr>
        <w:pStyle w:val="Compact"/>
        <w:widowControl/>
        <w:numPr>
          <w:ilvl w:val="0"/>
          <w:numId w:val="1002"/>
        </w:numPr>
        <w:spacing w:after="30" w:line="245" w:lineRule="auto"/>
      </w:pPr>
      <w:r>
        <w:rPr>
          <w:rFonts w:ascii="Noto Serif" w:hAnsi="Noto Serif" w:eastAsia="Noto Serif"/>
          <w:b/>
          <w:bCs/>
          <w:sz w:val="18"/>
        </w:rPr>
        <w:t xml:space="preserve">Restores</w:t>
      </w:r>
      <w:r>
        <w:rPr>
          <w:rFonts w:ascii="Noto Serif" w:hAnsi="Noto Serif" w:eastAsia="Noto Serif"/>
          <w:sz w:val="18"/>
        </w:rPr>
        <w:t xml:space="preserve"> </w:t>
      </w:r>
      <w:r>
        <w:rPr>
          <w:rFonts w:ascii="Noto Serif" w:hAnsi="Noto Serif" w:eastAsia="Noto Serif"/>
          <w:sz w:val="18"/>
        </w:rPr>
        <w:t xml:space="preserve">agencies, programs, rights, rules, grants, scientific systems, and international capabilities that were unlawfully or recklessly disabled.</w:t>
      </w:r>
    </w:p>
    <w:p>
      <w:pPr>
        <w:pStyle w:val="Compact"/>
        <w:widowControl/>
        <w:numPr>
          <w:ilvl w:val="0"/>
          <w:numId w:val="1002"/>
        </w:numPr>
        <w:spacing w:after="30" w:line="245" w:lineRule="auto"/>
      </w:pPr>
      <w:r>
        <w:rPr>
          <w:rFonts w:ascii="Noto Serif" w:hAnsi="Noto Serif" w:eastAsia="Noto Serif"/>
          <w:b/>
          <w:bCs/>
          <w:sz w:val="18"/>
        </w:rPr>
        <w:t xml:space="preserve">Reviews every covered rollback action</w:t>
      </w:r>
      <w:r>
        <w:rPr>
          <w:rFonts w:ascii="Noto Serif" w:hAnsi="Noto Serif" w:eastAsia="Noto Serif"/>
          <w:sz w:val="18"/>
        </w:rPr>
        <w:t xml:space="preserve"> </w:t>
      </w:r>
      <w:r>
        <w:rPr>
          <w:rFonts w:ascii="Noto Serif" w:hAnsi="Noto Serif" w:eastAsia="Noto Serif"/>
          <w:sz w:val="18"/>
        </w:rPr>
        <w:t xml:space="preserve">through a public, time-limited inventory and adjudication process rather than relying on an incomplete list of named orders.</w:t>
      </w:r>
    </w:p>
    <w:p>
      <w:pPr>
        <w:pStyle w:val="Compact"/>
        <w:widowControl/>
        <w:numPr>
          <w:ilvl w:val="0"/>
          <w:numId w:val="1002"/>
        </w:numPr>
        <w:spacing w:after="30" w:line="245" w:lineRule="auto"/>
      </w:pPr>
      <w:r>
        <w:rPr>
          <w:rFonts w:ascii="Noto Serif" w:hAnsi="Noto Serif" w:eastAsia="Noto Serif"/>
          <w:b/>
          <w:bCs/>
          <w:sz w:val="18"/>
        </w:rPr>
        <w:t xml:space="preserve">Repairs the legal weak points</w:t>
      </w:r>
      <w:r>
        <w:rPr>
          <w:rFonts w:ascii="Noto Serif" w:hAnsi="Noto Serif" w:eastAsia="Noto Serif"/>
          <w:sz w:val="18"/>
        </w:rPr>
        <w:t xml:space="preserve"> </w:t>
      </w:r>
      <w:r>
        <w:rPr>
          <w:rFonts w:ascii="Noto Serif" w:hAnsi="Noto Serif" w:eastAsia="Noto Serif"/>
          <w:sz w:val="18"/>
        </w:rPr>
        <w:t xml:space="preserve">that permitted abrupt dismantling, impoundment, partisan civil-service conversion, unlogged access to sensitive data, and ideologically selective grant cancellation.</w:t>
      </w:r>
    </w:p>
    <w:p>
      <w:pPr>
        <w:pStyle w:val="Compact"/>
        <w:widowControl/>
        <w:numPr>
          <w:ilvl w:val="0"/>
          <w:numId w:val="1002"/>
        </w:numPr>
        <w:spacing w:after="30" w:line="245" w:lineRule="auto"/>
      </w:pPr>
      <w:r>
        <w:rPr>
          <w:rFonts w:ascii="Noto Serif" w:hAnsi="Noto Serif" w:eastAsia="Noto Serif"/>
          <w:b/>
          <w:bCs/>
          <w:sz w:val="18"/>
        </w:rPr>
        <w:t xml:space="preserve">Rebuilds public capacity</w:t>
      </w:r>
      <w:r>
        <w:rPr>
          <w:rFonts w:ascii="Noto Serif" w:hAnsi="Noto Serif" w:eastAsia="Noto Serif"/>
          <w:sz w:val="18"/>
        </w:rPr>
        <w:t xml:space="preserve">, including USAID, the Department of Education, EPA, HHS, labor and consumer enforcement, civil-rights offices, inspectors general, and independent statistical and scientific functions.</w:t>
      </w:r>
    </w:p>
    <w:p>
      <w:pPr>
        <w:pStyle w:val="Compact"/>
        <w:widowControl/>
        <w:numPr>
          <w:ilvl w:val="0"/>
          <w:numId w:val="1002"/>
        </w:numPr>
        <w:spacing w:after="30" w:line="245" w:lineRule="auto"/>
      </w:pPr>
      <w:r>
        <w:rPr>
          <w:rFonts w:ascii="Noto Serif" w:hAnsi="Noto Serif" w:eastAsia="Noto Serif"/>
          <w:b/>
          <w:bCs/>
          <w:sz w:val="18"/>
        </w:rPr>
        <w:t xml:space="preserve">Creates durable public-interest floors</w:t>
      </w:r>
      <w:r>
        <w:rPr>
          <w:rFonts w:ascii="Noto Serif" w:hAnsi="Noto Serif" w:eastAsia="Noto Serif"/>
          <w:sz w:val="18"/>
        </w:rPr>
        <w:t xml:space="preserve"> </w:t>
      </w:r>
      <w:r>
        <w:rPr>
          <w:rFonts w:ascii="Noto Serif" w:hAnsi="Noto Serif" w:eastAsia="Noto Serif"/>
          <w:sz w:val="18"/>
        </w:rPr>
        <w:t xml:space="preserve">for voting, privacy, data centers, public lands, clean air and water, asylum and refugee protection, human rights in security assistance, and congressional control over spending, tariffs, emergencies, and military integration.</w:t>
      </w:r>
    </w:p>
    <w:p>
      <w:pPr>
        <w:pStyle w:val="Compact"/>
        <w:widowControl/>
        <w:numPr>
          <w:ilvl w:val="0"/>
          <w:numId w:val="1002"/>
        </w:numPr>
        <w:spacing w:after="30" w:line="245" w:lineRule="auto"/>
      </w:pPr>
      <w:r>
        <w:rPr>
          <w:rFonts w:ascii="Noto Serif" w:hAnsi="Noto Serif" w:eastAsia="Noto Serif"/>
          <w:b/>
          <w:bCs/>
          <w:sz w:val="18"/>
        </w:rPr>
        <w:t xml:space="preserve">Requires a 15-year comprehensive review without an automatic sunset</w:t>
      </w:r>
      <w:r>
        <w:rPr>
          <w:rFonts w:ascii="Noto Serif" w:hAnsi="Noto Serif" w:eastAsia="Noto Serif"/>
          <w:sz w:val="18"/>
        </w:rPr>
        <w:t xml:space="preserve">, with earlier performance reviews in years 3 and 7.</w:t>
      </w:r>
    </w:p>
    <w:bookmarkEnd w:id="22"/>
    <w:bookmarkStart w:id="23" w:name="assumptions"/>
    <w:p>
      <w:pPr>
        <w:pStyle w:val="Heading2"/>
        <w:keepNext/>
        <w:spacing w:before="160" w:after="60"/>
      </w:pPr>
      <w:r>
        <w:rPr>
          <w:rFonts w:ascii="Inter" w:hAnsi="Inter" w:eastAsia="Inter"/>
          <w:b/>
          <w:color w:val="1F3F5B"/>
          <w:sz w:val="23"/>
        </w:rPr>
        <w:t xml:space="preserve">Assumptions</w:t>
      </w:r>
    </w:p>
    <w:p>
      <w:pPr>
        <w:pStyle w:val="Compact"/>
        <w:widowControl/>
        <w:numPr>
          <w:ilvl w:val="0"/>
          <w:numId w:val="1003"/>
        </w:numPr>
        <w:spacing w:after="30" w:line="245" w:lineRule="auto"/>
      </w:pPr>
      <w:r>
        <w:rPr>
          <w:rFonts w:ascii="Noto Serif" w:hAnsi="Noto Serif" w:eastAsia="Noto Serif"/>
          <w:sz w:val="18"/>
        </w:rPr>
        <w:t xml:space="preserve">Jurisdiction: United States federal government.</w:t>
      </w:r>
    </w:p>
    <w:p>
      <w:pPr>
        <w:pStyle w:val="Compact"/>
        <w:widowControl/>
        <w:numPr>
          <w:ilvl w:val="0"/>
          <w:numId w:val="1003"/>
        </w:numPr>
        <w:spacing w:after="30" w:line="245" w:lineRule="auto"/>
      </w:pPr>
      <w:r>
        <w:rPr>
          <w:rFonts w:ascii="Noto Serif" w:hAnsi="Noto Serif" w:eastAsia="Noto Serif"/>
          <w:sz w:val="18"/>
        </w:rPr>
        <w:t xml:space="preserve">Effective date: generally 180 days after enactment, with emergency restorations effective immediately.</w:t>
      </w:r>
    </w:p>
    <w:p>
      <w:pPr>
        <w:pStyle w:val="Compact"/>
        <w:widowControl/>
        <w:numPr>
          <w:ilvl w:val="0"/>
          <w:numId w:val="1003"/>
        </w:numPr>
        <w:spacing w:after="30" w:line="245" w:lineRule="auto"/>
      </w:pPr>
      <w:r>
        <w:rPr>
          <w:rFonts w:ascii="Noto Serif" w:hAnsi="Noto Serif" w:eastAsia="Noto Serif"/>
          <w:sz w:val="18"/>
        </w:rPr>
        <w:t xml:space="preserve">Enforcement: primarily administrative and civil; criminal liability is reserved for knowing corruption, obstruction, falsification, destruction of records, unlawful data access, or intentional rights violations already punishable under law or expressly defined in this Act.</w:t>
      </w:r>
    </w:p>
    <w:p>
      <w:pPr>
        <w:pStyle w:val="Compact"/>
        <w:widowControl/>
        <w:numPr>
          <w:ilvl w:val="0"/>
          <w:numId w:val="1003"/>
        </w:numPr>
        <w:spacing w:after="30" w:line="245" w:lineRule="auto"/>
      </w:pPr>
      <w:r>
        <w:rPr>
          <w:rFonts w:ascii="Noto Serif" w:hAnsi="Noto Serif" w:eastAsia="Noto Serif"/>
          <w:sz w:val="18"/>
        </w:rPr>
        <w:t xml:space="preserve">Review period: January 20, 2017 through January 20, 2021, and January 20, 2025 through enactment, plus materially similar future actions.</w:t>
      </w:r>
    </w:p>
    <w:p>
      <w:pPr>
        <w:pStyle w:val="Compact"/>
        <w:widowControl/>
        <w:numPr>
          <w:ilvl w:val="0"/>
          <w:numId w:val="1003"/>
        </w:numPr>
        <w:spacing w:after="30" w:line="245" w:lineRule="auto"/>
      </w:pPr>
      <w:r>
        <w:rPr>
          <w:rFonts w:ascii="Noto Serif" w:hAnsi="Noto Serif" w:eastAsia="Noto Serif"/>
          <w:sz w:val="18"/>
        </w:rPr>
        <w:t xml:space="preserve">Funding: authorizations are stated in constant 2026 dollars and remain subject to annual appropriations except where mandatory spending is expressly provided.</w:t>
      </w:r>
    </w:p>
    <w:bookmarkEnd w:id="23"/>
    <w:bookmarkStart w:id="24" w:name="Xc16190f80e602c9e53c61a67fe5cf23efa17737"/>
    <w:p>
      <w:pPr>
        <w:pStyle w:val="Heading2"/>
        <w:keepNext/>
        <w:spacing w:before="160" w:after="60"/>
      </w:pPr>
      <w:r>
        <w:rPr>
          <w:rFonts w:ascii="Inter" w:hAnsi="Inter" w:eastAsia="Inter"/>
          <w:b/>
          <w:color w:val="1F3F5B"/>
          <w:sz w:val="23"/>
        </w:rPr>
        <w:t xml:space="preserve">Relationship to prior project legislation</w:t>
      </w:r>
    </w:p>
    <w:p>
      <w:pPr>
        <w:pStyle w:val="FirstParagraph"/>
        <w:widowControl/>
        <w:spacing w:after="60" w:line="250" w:lineRule="auto"/>
      </w:pPr>
      <w:r>
        <w:rPr>
          <w:rFonts w:ascii="Noto Serif" w:hAnsi="Noto Serif" w:eastAsia="Noto Serif"/>
          <w:sz w:val="19"/>
        </w:rPr>
        <w:t xml:space="preserve">This Act is drafted as an</w:t>
      </w:r>
      <w:r>
        <w:rPr>
          <w:rFonts w:ascii="Noto Serif" w:hAnsi="Noto Serif" w:eastAsia="Noto Serif"/>
          <w:sz w:val="19"/>
        </w:rPr>
        <w:t xml:space="preserve"> </w:t>
      </w:r>
      <w:r>
        <w:rPr>
          <w:rFonts w:ascii="Noto Serif" w:hAnsi="Noto Serif" w:eastAsia="Noto Serif"/>
          <w:b/>
          <w:bCs/>
          <w:sz w:val="19"/>
        </w:rPr>
        <w:t xml:space="preserve">omnibus restoration and continuity statute</w:t>
      </w:r>
      <w:r>
        <w:rPr>
          <w:rFonts w:ascii="Noto Serif" w:hAnsi="Noto Serif" w:eastAsia="Noto Serif"/>
          <w:sz w:val="19"/>
        </w:rPr>
        <w:t xml:space="preserve">, not as a replacement for specialized legislation previously developed in this project. The following allocation of subject matter is intended to prevent duplication:</w:t>
      </w:r>
    </w:p>
    <w:p>
      <w:pPr>
        <w:pStyle w:val="BodyText"/>
        <w:widowControl/>
        <w:spacing w:after="60" w:line="250" w:lineRule="auto"/>
      </w:pPr>
      <w:r>
        <w:rPr>
          <w:rFonts w:ascii="Noto Serif" w:hAnsi="Noto Serif" w:eastAsia="Noto Serif"/>
          <w:b/>
          <w:bCs/>
          <w:sz w:val="19"/>
        </w:rPr>
        <w:t xml:space="preserve">American Vote Act.</w:t>
      </w:r>
      <w:r>
        <w:rPr>
          <w:rFonts w:ascii="Noto Serif" w:hAnsi="Noto Serif" w:eastAsia="Noto Serif"/>
          <w:sz w:val="19"/>
        </w:rPr>
        <w:t xml:space="preserve"> </w:t>
      </w:r>
      <w:r>
        <w:rPr>
          <w:rFonts w:ascii="Noto Serif" w:hAnsi="Noto Serif" w:eastAsia="Noto Serif"/>
          <w:sz w:val="19"/>
        </w:rPr>
        <w:t xml:space="preserve">Principally governs comprehensive Federal election access, registration, early and mail voting, audits, election security, anti-deception, preclearance, and campaign-finance architecture. This Act repeals hostile Federal actions, creates an interim national floor, restores election-administration capacity, and provides that the American Vote Act controls where stronger.</w:t>
      </w:r>
    </w:p>
    <w:p>
      <w:pPr>
        <w:pStyle w:val="BodyText"/>
        <w:widowControl/>
        <w:spacing w:after="60" w:line="250" w:lineRule="auto"/>
      </w:pPr>
      <w:r>
        <w:rPr>
          <w:rFonts w:ascii="Noto Serif" w:hAnsi="Noto Serif" w:eastAsia="Noto Serif"/>
          <w:b/>
          <w:bCs/>
          <w:sz w:val="19"/>
        </w:rPr>
        <w:t xml:space="preserve">Transparent Government Act.</w:t>
      </w:r>
      <w:r>
        <w:rPr>
          <w:rFonts w:ascii="Noto Serif" w:hAnsi="Noto Serif" w:eastAsia="Noto Serif"/>
          <w:sz w:val="19"/>
        </w:rPr>
        <w:t xml:space="preserve"> </w:t>
      </w:r>
      <w:r>
        <w:rPr>
          <w:rFonts w:ascii="Noto Serif" w:hAnsi="Noto Serif" w:eastAsia="Noto Serif"/>
          <w:sz w:val="19"/>
        </w:rPr>
        <w:t xml:space="preserve">Principally governs the public accountability portal, influence contacts, citizen questions, records, lobbying, conflicts, whistleblowers, and independent integrity enforcement. This Act uses that portal and integrity architecture by cross-reference and adds restoration-specific disclosures and anti-impoundment records.</w:t>
      </w:r>
    </w:p>
    <w:p>
      <w:pPr>
        <w:pStyle w:val="BodyText"/>
        <w:widowControl/>
        <w:spacing w:after="60" w:line="250" w:lineRule="auto"/>
      </w:pPr>
      <w:r>
        <w:rPr>
          <w:rFonts w:ascii="Noto Serif" w:hAnsi="Noto Serif" w:eastAsia="Noto Serif"/>
          <w:b/>
          <w:bCs/>
          <w:sz w:val="19"/>
        </w:rPr>
        <w:t xml:space="preserve">FAITH Act.</w:t>
      </w:r>
      <w:r>
        <w:rPr>
          <w:rFonts w:ascii="Noto Serif" w:hAnsi="Noto Serif" w:eastAsia="Noto Serif"/>
          <w:sz w:val="19"/>
        </w:rPr>
        <w:t xml:space="preserve"> </w:t>
      </w:r>
      <w:r>
        <w:rPr>
          <w:rFonts w:ascii="Noto Serif" w:hAnsi="Noto Serif" w:eastAsia="Noto Serif"/>
          <w:sz w:val="19"/>
        </w:rPr>
        <w:t xml:space="preserve">Principally governs freedom of conscience, institutional religious accountability, safeguarding, religion-politics safeguards, and religious-data protections. This Act preserves religious neutrality and individual conscience without duplicating institutional religious regulation.</w:t>
      </w:r>
    </w:p>
    <w:p>
      <w:pPr>
        <w:pStyle w:val="BodyText"/>
        <w:widowControl/>
        <w:spacing w:after="60" w:line="250" w:lineRule="auto"/>
      </w:pPr>
      <w:r>
        <w:rPr>
          <w:rFonts w:ascii="Noto Serif" w:hAnsi="Noto Serif" w:eastAsia="Noto Serif"/>
          <w:b/>
          <w:bCs/>
          <w:sz w:val="19"/>
        </w:rPr>
        <w:t xml:space="preserve">America’s Nature Act; American Environment Act; RESPONSIBILITY Act.</w:t>
      </w:r>
      <w:r>
        <w:rPr>
          <w:rFonts w:ascii="Noto Serif" w:hAnsi="Noto Serif" w:eastAsia="Noto Serif"/>
          <w:sz w:val="19"/>
        </w:rPr>
        <w:t xml:space="preserve"> </w:t>
      </w:r>
      <w:r>
        <w:rPr>
          <w:rFonts w:ascii="Noto Serif" w:hAnsi="Noto Serif" w:eastAsia="Noto Serif"/>
          <w:sz w:val="19"/>
        </w:rPr>
        <w:t xml:space="preserve">Principally govern permanent conservation, restoration, pollution liability, environmental crimes, and ecological enforcement. This Act restores Federal baselines, agency capacity, public lands, and air and water safeguards; the specialized environmental duties remain controlling.</w:t>
      </w:r>
    </w:p>
    <w:p>
      <w:pPr>
        <w:pStyle w:val="BodyText"/>
        <w:widowControl/>
        <w:spacing w:after="60" w:line="250" w:lineRule="auto"/>
      </w:pPr>
      <w:r>
        <w:rPr>
          <w:rFonts w:ascii="Noto Serif" w:hAnsi="Noto Serif" w:eastAsia="Noto Serif"/>
          <w:b/>
          <w:bCs/>
          <w:sz w:val="19"/>
        </w:rPr>
        <w:t xml:space="preserve">Enlightenment Act; $450 Education Act.</w:t>
      </w:r>
      <w:r>
        <w:rPr>
          <w:rFonts w:ascii="Noto Serif" w:hAnsi="Noto Serif" w:eastAsia="Noto Serif"/>
          <w:sz w:val="19"/>
        </w:rPr>
        <w:t xml:space="preserve"> </w:t>
      </w:r>
      <w:r>
        <w:rPr>
          <w:rFonts w:ascii="Noto Serif" w:hAnsi="Noto Serif" w:eastAsia="Noto Serif"/>
          <w:sz w:val="19"/>
        </w:rPr>
        <w:t xml:space="preserve">Principally govern education investment, teachers, facilities, evidence systems, tutoring, career pathways, and student supports. This Act restores the Department of Education, civil-rights enforcement, education statistics, grants, and continuity needed to administer those Acts.</w:t>
      </w:r>
    </w:p>
    <w:p>
      <w:pPr>
        <w:pStyle w:val="BodyText"/>
        <w:widowControl/>
        <w:spacing w:after="60" w:line="250" w:lineRule="auto"/>
      </w:pPr>
      <w:r>
        <w:rPr>
          <w:rFonts w:ascii="Noto Serif" w:hAnsi="Noto Serif" w:eastAsia="Noto Serif"/>
          <w:b/>
          <w:bCs/>
          <w:sz w:val="19"/>
        </w:rPr>
        <w:t xml:space="preserve">Human Species Well-Being and Cognitive Liberty Act.</w:t>
      </w:r>
      <w:r>
        <w:rPr>
          <w:rFonts w:ascii="Noto Serif" w:hAnsi="Noto Serif" w:eastAsia="Noto Serif"/>
          <w:sz w:val="19"/>
        </w:rPr>
        <w:t xml:space="preserve"> </w:t>
      </w:r>
      <w:r>
        <w:rPr>
          <w:rFonts w:ascii="Noto Serif" w:hAnsi="Noto Serif" w:eastAsia="Noto Serif"/>
          <w:sz w:val="19"/>
        </w:rPr>
        <w:t xml:space="preserve">Principally governs cognitive liberty, humane design, access to nature and movement, sleep, attention, surveillance limits, and the right to disconnect. This Act supplies an immediate Federal privacy and anti-surveillance floor; the specialized Act controls broader human-well-being policy.</w:t>
      </w:r>
    </w:p>
    <w:p>
      <w:pPr>
        <w:pStyle w:val="BodyText"/>
        <w:widowControl/>
        <w:spacing w:after="60" w:line="250" w:lineRule="auto"/>
      </w:pPr>
      <w:r>
        <w:rPr>
          <w:rFonts w:ascii="Noto Serif" w:hAnsi="Noto Serif" w:eastAsia="Noto Serif"/>
          <w:b/>
          <w:bCs/>
          <w:sz w:val="19"/>
        </w:rPr>
        <w:t xml:space="preserve">American Health Act.</w:t>
      </w:r>
      <w:r>
        <w:rPr>
          <w:rFonts w:ascii="Noto Serif" w:hAnsi="Noto Serif" w:eastAsia="Noto Serif"/>
          <w:sz w:val="19"/>
        </w:rPr>
        <w:t xml:space="preserve"> </w:t>
      </w:r>
      <w:r>
        <w:rPr>
          <w:rFonts w:ascii="Noto Serif" w:hAnsi="Noto Serif" w:eastAsia="Noto Serif"/>
          <w:sz w:val="19"/>
        </w:rPr>
        <w:t xml:space="preserve">Principally governs comprehensive health coverage, delivery, affordability, and public-health system reform. This Act restores HHS, health agencies, research, public-health readiness, global health, and evidence capacity without recreating the full health system.</w:t>
      </w:r>
    </w:p>
    <w:p>
      <w:pPr>
        <w:pStyle w:val="BodyText"/>
        <w:widowControl/>
        <w:spacing w:after="60" w:line="250" w:lineRule="auto"/>
      </w:pPr>
      <w:r>
        <w:rPr>
          <w:rFonts w:ascii="Noto Serif" w:hAnsi="Noto Serif" w:eastAsia="Noto Serif"/>
          <w:b/>
          <w:bCs/>
          <w:sz w:val="19"/>
        </w:rPr>
        <w:t xml:space="preserve">American Dignity Act.</w:t>
      </w:r>
      <w:r>
        <w:rPr>
          <w:rFonts w:ascii="Noto Serif" w:hAnsi="Noto Serif" w:eastAsia="Noto Serif"/>
          <w:sz w:val="19"/>
        </w:rPr>
        <w:t xml:space="preserve"> </w:t>
      </w:r>
      <w:r>
        <w:rPr>
          <w:rFonts w:ascii="Noto Serif" w:hAnsi="Noto Serif" w:eastAsia="Noto Serif"/>
          <w:sz w:val="19"/>
        </w:rPr>
        <w:t xml:space="preserve">Principally governs comprehensive social dignity and basic economic security. This Act restores administrative capacity and nondiscrimination without duplicating benefit entitlements.</w:t>
      </w:r>
    </w:p>
    <w:p>
      <w:pPr>
        <w:pStyle w:val="BodyText"/>
        <w:widowControl/>
        <w:spacing w:after="60" w:line="250" w:lineRule="auto"/>
      </w:pPr>
      <w:r>
        <w:rPr>
          <w:rFonts w:ascii="Noto Serif" w:hAnsi="Noto Serif" w:eastAsia="Noto Serif"/>
          <w:b/>
          <w:bCs/>
          <w:sz w:val="19"/>
        </w:rPr>
        <w:t xml:space="preserve">Homes for America Act.</w:t>
      </w:r>
      <w:r>
        <w:rPr>
          <w:rFonts w:ascii="Noto Serif" w:hAnsi="Noto Serif" w:eastAsia="Noto Serif"/>
          <w:sz w:val="19"/>
        </w:rPr>
        <w:t xml:space="preserve"> </w:t>
      </w:r>
      <w:r>
        <w:rPr>
          <w:rFonts w:ascii="Noto Serif" w:hAnsi="Noto Serif" w:eastAsia="Noto Serif"/>
          <w:sz w:val="19"/>
        </w:rPr>
        <w:t xml:space="preserve">Principally governs housing supply, affordability, tenant stability, and community development. This Act restores HUD programs and fair-housing enforcement; housing-system details remain in that Act.</w:t>
      </w:r>
    </w:p>
    <w:p>
      <w:pPr>
        <w:pStyle w:val="BodyText"/>
        <w:widowControl/>
        <w:spacing w:after="60" w:line="250" w:lineRule="auto"/>
      </w:pPr>
      <w:r>
        <w:rPr>
          <w:rFonts w:ascii="Noto Serif" w:hAnsi="Noto Serif" w:eastAsia="Noto Serif"/>
          <w:b/>
          <w:bCs/>
          <w:sz w:val="19"/>
        </w:rPr>
        <w:t xml:space="preserve">BANKING Act; PRICING Act.</w:t>
      </w:r>
      <w:r>
        <w:rPr>
          <w:rFonts w:ascii="Noto Serif" w:hAnsi="Noto Serif" w:eastAsia="Noto Serif"/>
          <w:sz w:val="19"/>
        </w:rPr>
        <w:t xml:space="preserve"> </w:t>
      </w:r>
      <w:r>
        <w:rPr>
          <w:rFonts w:ascii="Noto Serif" w:hAnsi="Noto Serif" w:eastAsia="Noto Serif"/>
          <w:sz w:val="19"/>
        </w:rPr>
        <w:t xml:space="preserve">Principally govern financial-system accountability and price and market fairness. This Act restores CFPB, FTC, antitrust, and enforcement capacity; sector-specific rules remain controlling.</w:t>
      </w:r>
    </w:p>
    <w:p>
      <w:pPr>
        <w:pStyle w:val="BodyText"/>
        <w:widowControl/>
        <w:spacing w:after="60" w:line="250" w:lineRule="auto"/>
      </w:pPr>
      <w:r>
        <w:rPr>
          <w:rFonts w:ascii="Noto Serif" w:hAnsi="Noto Serif" w:eastAsia="Noto Serif"/>
          <w:b/>
          <w:bCs/>
          <w:sz w:val="19"/>
        </w:rPr>
        <w:t xml:space="preserve">Public Comfort Act.</w:t>
      </w:r>
      <w:r>
        <w:rPr>
          <w:rFonts w:ascii="Noto Serif" w:hAnsi="Noto Serif" w:eastAsia="Noto Serif"/>
          <w:sz w:val="19"/>
        </w:rPr>
        <w:t xml:space="preserve"> </w:t>
      </w:r>
      <w:r>
        <w:rPr>
          <w:rFonts w:ascii="Noto Serif" w:hAnsi="Noto Serif" w:eastAsia="Noto Serif"/>
          <w:sz w:val="19"/>
        </w:rPr>
        <w:t xml:space="preserve">Principally governs public-space management, transit order, diversion, humane enforcement, and biometric constraints. This Act preserves and cross-references its civil-liberties safeguards without duplicating its local operating framework.</w:t>
      </w:r>
    </w:p>
    <w:p>
      <w:pPr>
        <w:pStyle w:val="BodyText"/>
        <w:widowControl/>
        <w:spacing w:after="60" w:line="250" w:lineRule="auto"/>
      </w:pPr>
      <w:r>
        <w:rPr>
          <w:rFonts w:ascii="Noto Serif" w:hAnsi="Noto Serif" w:eastAsia="Noto Serif"/>
          <w:b/>
          <w:bCs/>
          <w:sz w:val="19"/>
        </w:rPr>
        <w:t xml:space="preserve">Project 2029 integrity measures.</w:t>
      </w:r>
      <w:r>
        <w:rPr>
          <w:rFonts w:ascii="Noto Serif" w:hAnsi="Noto Serif" w:eastAsia="Noto Serif"/>
          <w:sz w:val="19"/>
        </w:rPr>
        <w:t xml:space="preserve"> </w:t>
      </w:r>
      <w:r>
        <w:rPr>
          <w:rFonts w:ascii="Noto Serif" w:hAnsi="Noto Serif" w:eastAsia="Noto Serif"/>
          <w:sz w:val="19"/>
        </w:rPr>
        <w:t xml:space="preserve">Principally govern the Federal data firewall, contractor neutrality, presidential integrity, judicial ethics, and independent integrity counsel. This Act establishes emergency minimums and a transition bridge; specialized integrity enactments control once effective.</w:t>
      </w:r>
    </w:p>
    <w:bookmarkEnd w:id="24"/>
    <w:bookmarkEnd w:id="25"/>
    <w:bookmarkStart w:id="26" w:name="executive-summary-of-the-bill"/>
    <w:p>
      <w:pPr>
        <w:pStyle w:val="Heading1"/>
        <w:keepNext/>
        <w:pageBreakBefore/>
        <w:spacing w:before="0" w:after="180"/>
        <w:pBdr>
          <w:bottom w:val="single" w:sz="8" w:space="4" w:color="9EB0BF"/>
        </w:pBdr>
      </w:pPr>
      <w:r>
        <w:rPr>
          <w:rFonts w:ascii="Inter" w:hAnsi="Inter" w:eastAsia="Inter"/>
          <w:b/>
          <w:color w:val="142D48"/>
          <w:sz w:val="34"/>
        </w:rPr>
        <w:t xml:space="preserve">EXECUTIVE SUMMARY OF THE BILL</w:t>
      </w:r>
    </w:p>
    <w:p>
      <w:pPr>
        <w:pStyle w:val="FirstParagraph"/>
        <w:widowControl/>
        <w:spacing w:after="60" w:line="250" w:lineRule="auto"/>
      </w:pPr>
      <w:r>
        <w:rPr>
          <w:rFonts w:ascii="Noto Serif" w:hAnsi="Noto Serif" w:eastAsia="Noto Serif"/>
          <w:sz w:val="19"/>
        </w:rPr>
        <w:t xml:space="preserve">The American Restoration Act establishes a Restoration Review Council, a public rollback inventory, enforceable anti-impoundment rules, a protected merit civil service, and a new Office of Public Efficiency and Integrity to replace ad hoc DOGE structures. It restores voting access, civil-rights enforcement, asylum and refugee systems, environmental and climate protections, USAID and global health, education and scientific institutions, labor and consumer enforcement, and independent oversight.</w:t>
      </w:r>
    </w:p>
    <w:p>
      <w:pPr>
        <w:pStyle w:val="BodyText"/>
        <w:widowControl/>
        <w:spacing w:after="60" w:line="250" w:lineRule="auto"/>
      </w:pPr>
      <w:r>
        <w:rPr>
          <w:rFonts w:ascii="Noto Serif" w:hAnsi="Noto Serif" w:eastAsia="Noto Serif"/>
          <w:sz w:val="19"/>
        </w:rPr>
        <w:t xml:space="preserve">The Act also creates new forward-looking rules for large data centers, government acquisition of sensitive personal data, public-land leasing, emergency tariffs, security assistance, human-rights compliance, and foreign military integration. A Restoration and Resilience Fund finances transition, remediation, workforce rebuilding, community repair, and data-system modernization. No core title automatically expires. Congress conducts a comprehensive review after 15 years.</w:t>
      </w:r>
    </w:p>
    <w:bookmarkEnd w:id="26"/>
    <w:bookmarkStart w:id="27" w:name="a-bill"/>
    <w:p>
      <w:pPr>
        <w:pStyle w:val="Heading1"/>
        <w:keepNext/>
        <w:pageBreakBefore/>
        <w:spacing w:before="0" w:after="180"/>
        <w:pBdr>
          <w:bottom w:val="single" w:sz="8" w:space="4" w:color="9EB0BF"/>
        </w:pBdr>
      </w:pPr>
      <w:r>
        <w:rPr>
          <w:rFonts w:ascii="Inter" w:hAnsi="Inter" w:eastAsia="Inter"/>
          <w:b/>
          <w:color w:val="142D48"/>
          <w:sz w:val="34"/>
        </w:rPr>
        <w:t xml:space="preserve">A BILL</w:t>
      </w:r>
    </w:p>
    <w:p>
      <w:pPr>
        <w:pStyle w:val="FirstParagraph"/>
        <w:widowControl/>
        <w:spacing w:after="160" w:line="250" w:lineRule="auto" w:before="160"/>
        <w:ind w:left="504" w:right="504"/>
        <w:jc w:val="both"/>
      </w:pPr>
      <w:r>
        <w:rPr>
          <w:rFonts w:ascii="Noto Serif" w:hAnsi="Noto Serif" w:eastAsia="Noto Serif"/>
          <w:b w:val="0"/>
          <w:i/>
          <w:color w:val="2D3740"/>
          <w:sz w:val="20"/>
        </w:rPr>
        <w:t xml:space="preserve">To restore constitutional governance, democratic participation, civil rights, scientific integrity, public institutions, clean air and water, protected lands, public health, education, international development and humanitarian leadership, lawful administration, and national sovereignty; to review and remedy covered rollback actions; to prevent recurrence of unlawful impoundment, politicized administration, indiscriminate surveillance, and unaccountable executive dismantling; and for other purposes.</w:t>
      </w:r>
    </w:p>
    <w:p>
      <w:pPr>
        <w:pStyle w:val="BodyText"/>
        <w:widowControl/>
        <w:spacing w:after="240" w:line="250" w:lineRule="auto" w:before="200"/>
        <w:ind w:left="504" w:right="504"/>
        <w:jc w:val="center"/>
      </w:pPr>
      <w:r>
        <w:rPr>
          <w:rFonts w:ascii="Noto Serif" w:hAnsi="Noto Serif" w:eastAsia="Noto Serif"/>
          <w:b/>
          <w:bCs/>
          <w:i/>
          <w:color w:val="1E2D3A"/>
          <w:sz w:val="20"/>
        </w:rPr>
        <w:t xml:space="preserve">Be it enacted by the Senate and House of Representatives of the United States of America in Congress assembled,</w:t>
      </w:r>
    </w:p>
    <w:bookmarkEnd w:id="27"/>
    <w:bookmarkStart w:id="40" w:name="title-i---general-provisions"/>
    <w:p>
      <w:pPr>
        <w:pStyle w:val="Heading1"/>
        <w:keepNext/>
        <w:pageBreakBefore/>
        <w:spacing w:before="0" w:after="180"/>
        <w:pBdr>
          <w:bottom w:val="single" w:sz="8" w:space="4" w:color="9EB0BF"/>
        </w:pBdr>
      </w:pPr>
      <w:r>
        <w:rPr>
          <w:rFonts w:ascii="Inter" w:hAnsi="Inter" w:eastAsia="Inter"/>
          <w:b/>
          <w:color w:val="142D48"/>
          <w:sz w:val="34"/>
        </w:rPr>
        <w:t xml:space="preserve">TITLE I - GENERAL PROVISIONS</w:t>
      </w:r>
    </w:p>
    <w:bookmarkStart w:id="28" w:name="sec.-101.-short-title."/>
    <w:p>
      <w:pPr>
        <w:pStyle w:val="Heading2"/>
        <w:keepNext/>
        <w:spacing w:before="160" w:after="60"/>
      </w:pPr>
      <w:r>
        <w:rPr>
          <w:rFonts w:ascii="Inter" w:hAnsi="Inter" w:eastAsia="Inter"/>
          <w:b/>
          <w:color w:val="1F3F5B"/>
          <w:sz w:val="23"/>
        </w:rPr>
        <w:t xml:space="preserve">SEC. 101. SHORT TITLE.</w:t>
      </w:r>
    </w:p>
    <w:p>
      <w:pPr>
        <w:pStyle w:val="FirstParagraph"/>
        <w:widowControl/>
        <w:spacing w:after="60" w:line="250" w:lineRule="auto"/>
      </w:pPr>
      <w:r>
        <w:rPr>
          <w:rFonts w:ascii="Noto Serif" w:hAnsi="Noto Serif" w:eastAsia="Noto Serif"/>
          <w:sz w:val="19"/>
        </w:rPr>
        <w:t xml:space="preserve">This Act may be cited as the</w:t>
      </w:r>
      <w:r>
        <w:rPr>
          <w:rFonts w:ascii="Noto Serif" w:hAnsi="Noto Serif" w:eastAsia="Noto Serif"/>
          <w:sz w:val="19"/>
        </w:rPr>
        <w:t xml:space="preserve"> </w:t>
      </w:r>
      <w:r>
        <w:rPr>
          <w:rFonts w:ascii="Noto Serif" w:hAnsi="Noto Serif" w:eastAsia="Noto Serif"/>
          <w:b/>
          <w:bCs/>
          <w:sz w:val="19"/>
        </w:rPr>
        <w:t xml:space="preserve">“</w:t>
      </w:r>
      <w:r>
        <w:rPr>
          <w:rFonts w:ascii="Noto Serif" w:hAnsi="Noto Serif" w:eastAsia="Noto Serif"/>
          <w:b/>
          <w:bCs/>
          <w:sz w:val="19"/>
        </w:rPr>
        <w:t xml:space="preserve">American Restoration Act of 2026</w:t>
      </w:r>
      <w:r>
        <w:rPr>
          <w:rFonts w:ascii="Noto Serif" w:hAnsi="Noto Serif" w:eastAsia="Noto Serif"/>
          <w:b/>
          <w:bCs/>
          <w:sz w:val="19"/>
        </w:rPr>
        <w:t xml:space="preserve">”</w:t>
      </w:r>
      <w:r>
        <w:rPr>
          <w:rFonts w:ascii="Noto Serif" w:hAnsi="Noto Serif" w:eastAsia="Noto Serif"/>
          <w:sz w:val="19"/>
        </w:rPr>
        <w:t xml:space="preserve">.</w:t>
      </w:r>
    </w:p>
    <w:bookmarkEnd w:id="28"/>
    <w:bookmarkStart w:id="29" w:name="sec.-102.-findings."/>
    <w:p>
      <w:pPr>
        <w:pStyle w:val="Heading2"/>
        <w:keepNext/>
        <w:spacing w:before="160" w:after="60"/>
      </w:pPr>
      <w:r>
        <w:rPr>
          <w:rFonts w:ascii="Inter" w:hAnsi="Inter" w:eastAsia="Inter"/>
          <w:b/>
          <w:color w:val="1F3F5B"/>
          <w:sz w:val="23"/>
        </w:rPr>
        <w:t xml:space="preserve">SEC. 102. FINDINGS.</w:t>
      </w:r>
    </w:p>
    <w:p>
      <w:pPr>
        <w:pStyle w:val="FirstParagraph"/>
        <w:widowControl/>
        <w:spacing w:after="60" w:line="250" w:lineRule="auto"/>
      </w:pPr>
      <w:r>
        <w:rPr>
          <w:rFonts w:ascii="Noto Serif" w:hAnsi="Noto Serif" w:eastAsia="Noto Serif"/>
          <w:sz w:val="19"/>
        </w:rPr>
        <w:t xml:space="preserve">Congress finds the following:</w:t>
      </w:r>
    </w:p>
    <w:p>
      <w:pPr>
        <w:pStyle w:val="Compact"/>
        <w:widowControl/>
        <w:numPr>
          <w:ilvl w:val="0"/>
          <w:numId w:val="1004"/>
        </w:numPr>
        <w:spacing w:after="30" w:line="245" w:lineRule="auto"/>
      </w:pPr>
      <w:r>
        <w:rPr>
          <w:rFonts w:ascii="Noto Serif" w:hAnsi="Noto Serif" w:eastAsia="Noto Serif"/>
          <w:sz w:val="18"/>
        </w:rPr>
        <w:t xml:space="preserve">The Constitution divides legislative, executive, and judicial power so that no President may suspend statutes, withhold enacted appropriations, abolish congressionally created functions, or impose personal political control over the lawful administration of the United States.</w:t>
      </w:r>
    </w:p>
    <w:p>
      <w:pPr>
        <w:pStyle w:val="Compact"/>
        <w:widowControl/>
        <w:numPr>
          <w:ilvl w:val="0"/>
          <w:numId w:val="1004"/>
        </w:numPr>
        <w:spacing w:after="30" w:line="245" w:lineRule="auto"/>
      </w:pPr>
      <w:r>
        <w:rPr>
          <w:rFonts w:ascii="Noto Serif" w:hAnsi="Noto Serif" w:eastAsia="Noto Serif"/>
          <w:sz w:val="18"/>
        </w:rPr>
        <w:t xml:space="preserve">The faithful execution of law requires a competent, merit-based, politically neutral civil service; independent inspectors general; reliable public records; protected scientific and statistical functions; and agencies with sufficient personnel and resources to perform statutory duties.</w:t>
      </w:r>
    </w:p>
    <w:p>
      <w:pPr>
        <w:pStyle w:val="Compact"/>
        <w:widowControl/>
        <w:numPr>
          <w:ilvl w:val="0"/>
          <w:numId w:val="1004"/>
        </w:numPr>
        <w:spacing w:after="30" w:line="245" w:lineRule="auto"/>
      </w:pPr>
      <w:r>
        <w:rPr>
          <w:rFonts w:ascii="Noto Serif" w:hAnsi="Noto Serif" w:eastAsia="Noto Serif"/>
          <w:sz w:val="18"/>
        </w:rPr>
        <w:t xml:space="preserve">Abrupt policy reversals can impose durable harm when they terminate lifesaving grants, dismantle expertise, expose sensitive data, close access to public benefits, impair elections, weaken environmental standards, abandon international partners, or transfer public assets without adequate review.</w:t>
      </w:r>
    </w:p>
    <w:p>
      <w:pPr>
        <w:pStyle w:val="Compact"/>
        <w:widowControl/>
        <w:numPr>
          <w:ilvl w:val="0"/>
          <w:numId w:val="1004"/>
        </w:numPr>
        <w:spacing w:after="30" w:line="245" w:lineRule="auto"/>
      </w:pPr>
      <w:r>
        <w:rPr>
          <w:rFonts w:ascii="Noto Serif" w:hAnsi="Noto Serif" w:eastAsia="Noto Serif"/>
          <w:sz w:val="18"/>
        </w:rPr>
        <w:t xml:space="preserve">The United States has a compelling interest in protecting the right of every eligible citizen to register and vote without unnecessary documentary, financial, geographic, linguistic, disability-related, or administrative burdens.</w:t>
      </w:r>
    </w:p>
    <w:p>
      <w:pPr>
        <w:pStyle w:val="Compact"/>
        <w:widowControl/>
        <w:numPr>
          <w:ilvl w:val="0"/>
          <w:numId w:val="1004"/>
        </w:numPr>
        <w:spacing w:after="30" w:line="245" w:lineRule="auto"/>
      </w:pPr>
      <w:r>
        <w:rPr>
          <w:rFonts w:ascii="Noto Serif" w:hAnsi="Noto Serif" w:eastAsia="Noto Serif"/>
          <w:sz w:val="18"/>
        </w:rPr>
        <w:t xml:space="preserve">Equal protection and equal dignity require vigorous enforcement of laws prohibiting discrimination on the basis of race, color, national origin, sex, pregnancy, sexual orientation, gender identity, disability, age, religion, and other protected characteristics, consistent with constitutional limits.</w:t>
      </w:r>
    </w:p>
    <w:p>
      <w:pPr>
        <w:pStyle w:val="Compact"/>
        <w:widowControl/>
        <w:numPr>
          <w:ilvl w:val="0"/>
          <w:numId w:val="1004"/>
        </w:numPr>
        <w:spacing w:after="30" w:line="245" w:lineRule="auto"/>
      </w:pPr>
      <w:r>
        <w:rPr>
          <w:rFonts w:ascii="Noto Serif" w:hAnsi="Noto Serif" w:eastAsia="Noto Serif"/>
          <w:sz w:val="18"/>
        </w:rPr>
        <w:t xml:space="preserve">Climate change, toxic pollution, habitat destruction, water scarcity, and poorly planned energy-intensive development impose national economic, security, health, and intergenerational costs.</w:t>
      </w:r>
    </w:p>
    <w:p>
      <w:pPr>
        <w:pStyle w:val="Compact"/>
        <w:widowControl/>
        <w:numPr>
          <w:ilvl w:val="0"/>
          <w:numId w:val="1004"/>
        </w:numPr>
        <w:spacing w:after="30" w:line="245" w:lineRule="auto"/>
      </w:pPr>
      <w:r>
        <w:rPr>
          <w:rFonts w:ascii="Noto Serif" w:hAnsi="Noto Serif" w:eastAsia="Noto Serif"/>
          <w:sz w:val="18"/>
        </w:rPr>
        <w:t xml:space="preserve">Large data centers and artificial-intelligence infrastructure can strengthen the economy, but may also impose substantial electricity, water, transmission, air-pollution, land-use, ratepayer, labor, and community burdens unless subject to transparent planning and fair cost allocation.</w:t>
      </w:r>
    </w:p>
    <w:p>
      <w:pPr>
        <w:pStyle w:val="Compact"/>
        <w:widowControl/>
        <w:numPr>
          <w:ilvl w:val="0"/>
          <w:numId w:val="1004"/>
        </w:numPr>
        <w:spacing w:after="30" w:line="245" w:lineRule="auto"/>
      </w:pPr>
      <w:r>
        <w:rPr>
          <w:rFonts w:ascii="Noto Serif" w:hAnsi="Noto Serif" w:eastAsia="Noto Serif"/>
          <w:sz w:val="18"/>
        </w:rPr>
        <w:t xml:space="preserve">International development, humanitarian relief, global health, diplomacy, and democratic assistance are instruments of national security and economic leadership that reduce instability, disease, displacement, famine, and strategic dependence on authoritarian states.</w:t>
      </w:r>
    </w:p>
    <w:p>
      <w:pPr>
        <w:pStyle w:val="Compact"/>
        <w:widowControl/>
        <w:numPr>
          <w:ilvl w:val="0"/>
          <w:numId w:val="1004"/>
        </w:numPr>
        <w:spacing w:after="30" w:line="245" w:lineRule="auto"/>
      </w:pPr>
      <w:r>
        <w:rPr>
          <w:rFonts w:ascii="Noto Serif" w:hAnsi="Noto Serif" w:eastAsia="Noto Serif"/>
          <w:sz w:val="18"/>
        </w:rPr>
        <w:t xml:space="preserve">Security assistance and military cooperation must remain subject to Congress, the Constitution, human-rights law, end-use monitoring, civilian-protection requirements, and the sovereign interests of the United States, without automatic favoritism or exemptions for any foreign country.</w:t>
      </w:r>
    </w:p>
    <w:p>
      <w:pPr>
        <w:pStyle w:val="Compact"/>
        <w:widowControl/>
        <w:numPr>
          <w:ilvl w:val="0"/>
          <w:numId w:val="1004"/>
        </w:numPr>
        <w:spacing w:after="30" w:line="245" w:lineRule="auto"/>
      </w:pPr>
      <w:r>
        <w:rPr>
          <w:rFonts w:ascii="Noto Serif" w:hAnsi="Noto Serif" w:eastAsia="Noto Serif"/>
          <w:sz w:val="18"/>
        </w:rPr>
        <w:t xml:space="preserve">A durable restoration must be prospective and rules-based. It must prevent future administrations of any party from repeating the same forms of unlawful dismantling, selective enforcement, impoundment, data abuse, ideological retaliation, or executive overreach.</w:t>
      </w:r>
    </w:p>
    <w:bookmarkEnd w:id="29"/>
    <w:bookmarkStart w:id="30" w:name="sec.-103.-purposes."/>
    <w:p>
      <w:pPr>
        <w:pStyle w:val="Heading2"/>
        <w:keepNext/>
        <w:spacing w:before="160" w:after="60"/>
      </w:pPr>
      <w:r>
        <w:rPr>
          <w:rFonts w:ascii="Inter" w:hAnsi="Inter" w:eastAsia="Inter"/>
          <w:b/>
          <w:color w:val="1F3F5B"/>
          <w:sz w:val="23"/>
        </w:rPr>
        <w:t xml:space="preserve">SEC. 103. PURPOSES.</w:t>
      </w:r>
    </w:p>
    <w:p>
      <w:pPr>
        <w:pStyle w:val="FirstParagraph"/>
        <w:widowControl/>
        <w:spacing w:after="60" w:line="250" w:lineRule="auto"/>
      </w:pPr>
      <w:r>
        <w:rPr>
          <w:rFonts w:ascii="Noto Serif" w:hAnsi="Noto Serif" w:eastAsia="Noto Serif"/>
          <w:sz w:val="19"/>
        </w:rPr>
        <w:t xml:space="preserve">The purposes of this Act are:</w:t>
      </w:r>
    </w:p>
    <w:p>
      <w:pPr>
        <w:pStyle w:val="Compact"/>
        <w:widowControl/>
        <w:numPr>
          <w:ilvl w:val="0"/>
          <w:numId w:val="1005"/>
        </w:numPr>
        <w:spacing w:after="30" w:line="245" w:lineRule="auto"/>
      </w:pPr>
      <w:r>
        <w:rPr>
          <w:rFonts w:ascii="Noto Serif" w:hAnsi="Noto Serif" w:eastAsia="Noto Serif"/>
          <w:sz w:val="18"/>
        </w:rPr>
        <w:t xml:space="preserve">to identify, suspend, rescind, replace, or remedy covered rollback actions under objective legal and public-interest standards;</w:t>
      </w:r>
    </w:p>
    <w:p>
      <w:pPr>
        <w:pStyle w:val="Compact"/>
        <w:widowControl/>
        <w:numPr>
          <w:ilvl w:val="0"/>
          <w:numId w:val="1005"/>
        </w:numPr>
        <w:spacing w:after="30" w:line="245" w:lineRule="auto"/>
      </w:pPr>
      <w:r>
        <w:rPr>
          <w:rFonts w:ascii="Noto Serif" w:hAnsi="Noto Serif" w:eastAsia="Noto Serif"/>
          <w:sz w:val="18"/>
        </w:rPr>
        <w:t xml:space="preserve">to restore statutory programs, agencies, workforces, grants, rules, and international commitments that were unlawfully or recklessly disabled;</w:t>
      </w:r>
    </w:p>
    <w:p>
      <w:pPr>
        <w:pStyle w:val="Compact"/>
        <w:widowControl/>
        <w:numPr>
          <w:ilvl w:val="0"/>
          <w:numId w:val="1005"/>
        </w:numPr>
        <w:spacing w:after="30" w:line="245" w:lineRule="auto"/>
      </w:pPr>
      <w:r>
        <w:rPr>
          <w:rFonts w:ascii="Noto Serif" w:hAnsi="Noto Serif" w:eastAsia="Noto Serif"/>
          <w:sz w:val="18"/>
        </w:rPr>
        <w:t xml:space="preserve">to reassert congressional control over appropriations, tariffs, emergencies, agency structure, and long-term military commitments;</w:t>
      </w:r>
    </w:p>
    <w:p>
      <w:pPr>
        <w:pStyle w:val="Compact"/>
        <w:widowControl/>
        <w:numPr>
          <w:ilvl w:val="0"/>
          <w:numId w:val="1005"/>
        </w:numPr>
        <w:spacing w:after="30" w:line="245" w:lineRule="auto"/>
      </w:pPr>
      <w:r>
        <w:rPr>
          <w:rFonts w:ascii="Noto Serif" w:hAnsi="Noto Serif" w:eastAsia="Noto Serif"/>
          <w:sz w:val="18"/>
        </w:rPr>
        <w:t xml:space="preserve">to establish durable safeguards for elections, civil rights, privacy, public health, education, workers, consumers, the environment, and scientific integrity;</w:t>
      </w:r>
    </w:p>
    <w:p>
      <w:pPr>
        <w:pStyle w:val="Compact"/>
        <w:widowControl/>
        <w:numPr>
          <w:ilvl w:val="0"/>
          <w:numId w:val="1005"/>
        </w:numPr>
        <w:spacing w:after="30" w:line="245" w:lineRule="auto"/>
      </w:pPr>
      <w:r>
        <w:rPr>
          <w:rFonts w:ascii="Noto Serif" w:hAnsi="Noto Serif" w:eastAsia="Noto Serif"/>
          <w:sz w:val="18"/>
        </w:rPr>
        <w:t xml:space="preserve">to create a lawful, professional, transparent government-efficiency institution focused on evidence, service quality, fraud prevention, and long-term public value;</w:t>
      </w:r>
    </w:p>
    <w:p>
      <w:pPr>
        <w:pStyle w:val="Compact"/>
        <w:widowControl/>
        <w:numPr>
          <w:ilvl w:val="0"/>
          <w:numId w:val="1005"/>
        </w:numPr>
        <w:spacing w:after="30" w:line="245" w:lineRule="auto"/>
      </w:pPr>
      <w:r>
        <w:rPr>
          <w:rFonts w:ascii="Noto Serif" w:hAnsi="Noto Serif" w:eastAsia="Noto Serif"/>
          <w:sz w:val="18"/>
        </w:rPr>
        <w:t xml:space="preserve">to provide restitution and remediation for persons, communities, employees, grantees, contractors, ecosystems, and institutions harmed by covered rollback actions; and</w:t>
      </w:r>
    </w:p>
    <w:p>
      <w:pPr>
        <w:pStyle w:val="Compact"/>
        <w:widowControl/>
        <w:numPr>
          <w:ilvl w:val="0"/>
          <w:numId w:val="1005"/>
        </w:numPr>
        <w:spacing w:after="30" w:line="245" w:lineRule="auto"/>
      </w:pPr>
      <w:r>
        <w:rPr>
          <w:rFonts w:ascii="Noto Serif" w:hAnsi="Noto Serif" w:eastAsia="Noto Serif"/>
          <w:sz w:val="18"/>
        </w:rPr>
        <w:t xml:space="preserve">to preserve stronger protections established by companion legislation, State law, Tribal law, or other Federal law.</w:t>
      </w:r>
    </w:p>
    <w:bookmarkEnd w:id="30"/>
    <w:bookmarkStart w:id="31" w:name="sec.-104.-constitutional-authority."/>
    <w:p>
      <w:pPr>
        <w:pStyle w:val="Heading2"/>
        <w:keepNext/>
        <w:spacing w:before="160" w:after="60"/>
      </w:pPr>
      <w:r>
        <w:rPr>
          <w:rFonts w:ascii="Inter" w:hAnsi="Inter" w:eastAsia="Inter"/>
          <w:b/>
          <w:color w:val="1F3F5B"/>
          <w:sz w:val="23"/>
        </w:rPr>
        <w:t xml:space="preserve">SEC. 104. CONSTITUTIONAL AUTHORITY.</w:t>
      </w:r>
    </w:p>
    <w:p>
      <w:pPr>
        <w:pStyle w:val="FirstParagraph"/>
        <w:widowControl/>
        <w:spacing w:after="60" w:line="250" w:lineRule="auto"/>
      </w:pPr>
      <w:r>
        <w:rPr>
          <w:rFonts w:ascii="Noto Serif" w:hAnsi="Noto Serif" w:eastAsia="Noto Serif"/>
          <w:sz w:val="19"/>
        </w:rPr>
        <w:t xml:space="preserve">Congress enacts this Act pursuant to its powers under article I of the Constitution, including the powers to regulate interstate and foreign commerce, tax and spend for the general welfare, establish rules governing naturalization and bankruptcy, provide for the common defense, regulate the Armed Forces, create inferior offices and departments, protect Federal elections, enforce the Reconstruction Amendments and other constitutional rights, govern Federal property, and make all laws necessary and proper for carrying those powers into execution.</w:t>
      </w:r>
    </w:p>
    <w:bookmarkEnd w:id="31"/>
    <w:bookmarkStart w:id="32" w:name="sec.-105.-definitions."/>
    <w:p>
      <w:pPr>
        <w:pStyle w:val="Heading2"/>
        <w:keepNext/>
        <w:spacing w:before="160" w:after="60"/>
      </w:pPr>
      <w:r>
        <w:rPr>
          <w:rFonts w:ascii="Inter" w:hAnsi="Inter" w:eastAsia="Inter"/>
          <w:b/>
          <w:color w:val="1F3F5B"/>
          <w:sz w:val="23"/>
        </w:rPr>
        <w:t xml:space="preserve">SEC. 105. DEFINITIONS.</w:t>
      </w:r>
    </w:p>
    <w:p>
      <w:pPr>
        <w:pStyle w:val="FirstParagraph"/>
        <w:widowControl/>
        <w:spacing w:after="60" w:line="250" w:lineRule="auto"/>
      </w:pPr>
      <w:r>
        <w:rPr>
          <w:rFonts w:ascii="Noto Serif" w:hAnsi="Noto Serif" w:eastAsia="Noto Serif"/>
          <w:sz w:val="19"/>
        </w:rPr>
        <w:t xml:space="preserve">In this Act:</w:t>
      </w:r>
    </w:p>
    <w:p>
      <w:pPr>
        <w:pStyle w:val="Compact"/>
        <w:widowControl/>
        <w:numPr>
          <w:ilvl w:val="0"/>
          <w:numId w:val="1006"/>
        </w:numPr>
        <w:spacing w:after="30" w:line="245" w:lineRule="auto"/>
      </w:pPr>
      <w:r>
        <w:rPr>
          <w:rFonts w:ascii="Noto Serif" w:hAnsi="Noto Serif" w:eastAsia="Noto Serif"/>
          <w:b/>
          <w:bCs/>
          <w:sz w:val="18"/>
        </w:rPr>
        <w:t xml:space="preserve">Agency</w:t>
      </w:r>
      <w:r>
        <w:rPr>
          <w:rFonts w:ascii="Noto Serif" w:hAnsi="Noto Serif" w:eastAsia="Noto Serif"/>
          <w:sz w:val="18"/>
        </w:rPr>
        <w:t xml:space="preserve"> </w:t>
      </w:r>
      <w:r>
        <w:rPr>
          <w:rFonts w:ascii="Noto Serif" w:hAnsi="Noto Serif" w:eastAsia="Noto Serif"/>
          <w:sz w:val="18"/>
        </w:rPr>
        <w:t xml:space="preserve">means an Executive department, Government corporation, Government-controlled corporation, independent establishment, or other establishment in the executive branch, including the Executive Office of the President, but excludes Congress and the Federal courts except where expressly stated.</w:t>
      </w:r>
    </w:p>
    <w:p>
      <w:pPr>
        <w:pStyle w:val="Compact"/>
        <w:widowControl/>
        <w:numPr>
          <w:ilvl w:val="0"/>
          <w:numId w:val="1006"/>
        </w:numPr>
        <w:spacing w:after="30" w:line="245" w:lineRule="auto"/>
      </w:pPr>
      <w:r>
        <w:rPr>
          <w:rFonts w:ascii="Noto Serif" w:hAnsi="Noto Serif" w:eastAsia="Noto Serif"/>
          <w:b/>
          <w:bCs/>
          <w:sz w:val="18"/>
        </w:rPr>
        <w:t xml:space="preserve">Covered rollback action</w:t>
      </w:r>
      <w:r>
        <w:rPr>
          <w:rFonts w:ascii="Noto Serif" w:hAnsi="Noto Serif" w:eastAsia="Noto Serif"/>
          <w:sz w:val="18"/>
        </w:rPr>
        <w:t xml:space="preserve"> </w:t>
      </w:r>
      <w:r>
        <w:rPr>
          <w:rFonts w:ascii="Noto Serif" w:hAnsi="Noto Serif" w:eastAsia="Noto Serif"/>
          <w:sz w:val="18"/>
        </w:rPr>
        <w:t xml:space="preserve">means an executive order, presidential memorandum, proclamation, management directive, reorganization, reduction in force, impoundment, grant termination, contract termination, regulatory action, enforcement policy, data-access arrangement, personnel classification, litigation position, international withdrawal, public-land disposition, or materially similar action that falls within section 201.</w:t>
      </w:r>
    </w:p>
    <w:p>
      <w:pPr>
        <w:pStyle w:val="Compact"/>
        <w:widowControl/>
        <w:numPr>
          <w:ilvl w:val="0"/>
          <w:numId w:val="1006"/>
        </w:numPr>
        <w:spacing w:after="30" w:line="245" w:lineRule="auto"/>
      </w:pPr>
      <w:r>
        <w:rPr>
          <w:rFonts w:ascii="Noto Serif" w:hAnsi="Noto Serif" w:eastAsia="Noto Serif"/>
          <w:b/>
          <w:bCs/>
          <w:sz w:val="18"/>
        </w:rPr>
        <w:t xml:space="preserve">Covered period</w:t>
      </w:r>
      <w:r>
        <w:rPr>
          <w:rFonts w:ascii="Noto Serif" w:hAnsi="Noto Serif" w:eastAsia="Noto Serif"/>
          <w:sz w:val="18"/>
        </w:rPr>
        <w:t xml:space="preserve"> </w:t>
      </w:r>
      <w:r>
        <w:rPr>
          <w:rFonts w:ascii="Noto Serif" w:hAnsi="Noto Serif" w:eastAsia="Noto Serif"/>
          <w:sz w:val="18"/>
        </w:rPr>
        <w:t xml:space="preserve">means January 20, 2017 through January 20, 2021; January 20, 2025 through the date of enactment; and any later period in which a materially similar action is taken.</w:t>
      </w:r>
    </w:p>
    <w:p>
      <w:pPr>
        <w:pStyle w:val="Compact"/>
        <w:widowControl/>
        <w:numPr>
          <w:ilvl w:val="0"/>
          <w:numId w:val="1006"/>
        </w:numPr>
        <w:spacing w:after="30" w:line="245" w:lineRule="auto"/>
      </w:pPr>
      <w:r>
        <w:rPr>
          <w:rFonts w:ascii="Noto Serif" w:hAnsi="Noto Serif" w:eastAsia="Noto Serif"/>
          <w:b/>
          <w:bCs/>
          <w:sz w:val="18"/>
        </w:rPr>
        <w:t xml:space="preserve">Restoration action</w:t>
      </w:r>
      <w:r>
        <w:rPr>
          <w:rFonts w:ascii="Noto Serif" w:hAnsi="Noto Serif" w:eastAsia="Noto Serif"/>
          <w:sz w:val="18"/>
        </w:rPr>
        <w:t xml:space="preserve"> </w:t>
      </w:r>
      <w:r>
        <w:rPr>
          <w:rFonts w:ascii="Noto Serif" w:hAnsi="Noto Serif" w:eastAsia="Noto Serif"/>
          <w:sz w:val="18"/>
        </w:rPr>
        <w:t xml:space="preserve">means rescission, reinstatement, reissuance, rulemaking, rehiring, recompetition, compensation, remediation, reprogramming, reorganization, reopening, or other lawful action required to cure a covered rollback action.</w:t>
      </w:r>
    </w:p>
    <w:p>
      <w:pPr>
        <w:pStyle w:val="Compact"/>
        <w:widowControl/>
        <w:numPr>
          <w:ilvl w:val="0"/>
          <w:numId w:val="1006"/>
        </w:numPr>
        <w:spacing w:after="30" w:line="245" w:lineRule="auto"/>
      </w:pPr>
      <w:r>
        <w:rPr>
          <w:rFonts w:ascii="Noto Serif" w:hAnsi="Noto Serif" w:eastAsia="Noto Serif"/>
          <w:b/>
          <w:bCs/>
          <w:sz w:val="18"/>
        </w:rPr>
        <w:t xml:space="preserve">Sensitive personal data</w:t>
      </w:r>
      <w:r>
        <w:rPr>
          <w:rFonts w:ascii="Noto Serif" w:hAnsi="Noto Serif" w:eastAsia="Noto Serif"/>
          <w:sz w:val="18"/>
        </w:rPr>
        <w:t xml:space="preserve"> </w:t>
      </w:r>
      <w:r>
        <w:rPr>
          <w:rFonts w:ascii="Noto Serif" w:hAnsi="Noto Serif" w:eastAsia="Noto Serif"/>
          <w:sz w:val="18"/>
        </w:rPr>
        <w:t xml:space="preserve">includes precise geolocation, biometric identifiers, communications content, browsing or search history, health information, reproductive information, financial information, immigration information, education records, disability information, sexual-orientation or gender-identity information, and any data capable of materially exposing a person to surveillance, discrimination, coercion, or physical risk.</w:t>
      </w:r>
    </w:p>
    <w:p>
      <w:pPr>
        <w:pStyle w:val="Compact"/>
        <w:widowControl/>
        <w:numPr>
          <w:ilvl w:val="0"/>
          <w:numId w:val="1006"/>
        </w:numPr>
        <w:spacing w:after="30" w:line="245" w:lineRule="auto"/>
      </w:pPr>
      <w:r>
        <w:rPr>
          <w:rFonts w:ascii="Noto Serif" w:hAnsi="Noto Serif" w:eastAsia="Noto Serif"/>
          <w:b/>
          <w:bCs/>
          <w:sz w:val="18"/>
        </w:rPr>
        <w:t xml:space="preserve">Substantial public-interest harm</w:t>
      </w:r>
      <w:r>
        <w:rPr>
          <w:rFonts w:ascii="Noto Serif" w:hAnsi="Noto Serif" w:eastAsia="Noto Serif"/>
          <w:sz w:val="18"/>
        </w:rPr>
        <w:t xml:space="preserve"> </w:t>
      </w:r>
      <w:r>
        <w:rPr>
          <w:rFonts w:ascii="Noto Serif" w:hAnsi="Noto Serif" w:eastAsia="Noto Serif"/>
          <w:sz w:val="18"/>
        </w:rPr>
        <w:t xml:space="preserve">means a material adverse effect on constitutional rights, statutory rights, life or health, environmental quality, public safety, economic security, public services, scientific integrity, democratic participation, national security, foreign relations, or the fiscal interests of the United States.</w:t>
      </w:r>
    </w:p>
    <w:p>
      <w:pPr>
        <w:pStyle w:val="Compact"/>
        <w:widowControl/>
        <w:numPr>
          <w:ilvl w:val="0"/>
          <w:numId w:val="1006"/>
        </w:numPr>
        <w:spacing w:after="30" w:line="245" w:lineRule="auto"/>
      </w:pPr>
      <w:r>
        <w:rPr>
          <w:rFonts w:ascii="Noto Serif" w:hAnsi="Noto Serif" w:eastAsia="Noto Serif"/>
          <w:b/>
          <w:bCs/>
          <w:sz w:val="18"/>
        </w:rPr>
        <w:t xml:space="preserve">Restoration Council</w:t>
      </w:r>
      <w:r>
        <w:rPr>
          <w:rFonts w:ascii="Noto Serif" w:hAnsi="Noto Serif" w:eastAsia="Noto Serif"/>
          <w:sz w:val="18"/>
        </w:rPr>
        <w:t xml:space="preserve"> </w:t>
      </w:r>
      <w:r>
        <w:rPr>
          <w:rFonts w:ascii="Noto Serif" w:hAnsi="Noto Serif" w:eastAsia="Noto Serif"/>
          <w:sz w:val="18"/>
        </w:rPr>
        <w:t xml:space="preserve">means the American Restoration Review Council established under section 202.</w:t>
      </w:r>
    </w:p>
    <w:p>
      <w:pPr>
        <w:pStyle w:val="Compact"/>
        <w:widowControl/>
        <w:numPr>
          <w:ilvl w:val="0"/>
          <w:numId w:val="1006"/>
        </w:numPr>
        <w:spacing w:after="30" w:line="245" w:lineRule="auto"/>
      </w:pPr>
      <w:r>
        <w:rPr>
          <w:rFonts w:ascii="Noto Serif" w:hAnsi="Noto Serif" w:eastAsia="Noto Serif"/>
          <w:b/>
          <w:bCs/>
          <w:sz w:val="18"/>
        </w:rPr>
        <w:t xml:space="preserve">OPEI</w:t>
      </w:r>
      <w:r>
        <w:rPr>
          <w:rFonts w:ascii="Noto Serif" w:hAnsi="Noto Serif" w:eastAsia="Noto Serif"/>
          <w:sz w:val="18"/>
        </w:rPr>
        <w:t xml:space="preserve"> </w:t>
      </w:r>
      <w:r>
        <w:rPr>
          <w:rFonts w:ascii="Noto Serif" w:hAnsi="Noto Serif" w:eastAsia="Noto Serif"/>
          <w:sz w:val="18"/>
        </w:rPr>
        <w:t xml:space="preserve">means the Office of Public Efficiency and Integrity established under section 501.</w:t>
      </w:r>
    </w:p>
    <w:p>
      <w:pPr>
        <w:pStyle w:val="Compact"/>
        <w:widowControl/>
        <w:numPr>
          <w:ilvl w:val="0"/>
          <w:numId w:val="1006"/>
        </w:numPr>
        <w:spacing w:after="30" w:line="245" w:lineRule="auto"/>
      </w:pPr>
      <w:r>
        <w:rPr>
          <w:rFonts w:ascii="Noto Serif" w:hAnsi="Noto Serif" w:eastAsia="Noto Serif"/>
          <w:b/>
          <w:bCs/>
          <w:sz w:val="18"/>
        </w:rPr>
        <w:t xml:space="preserve">Project companion Act</w:t>
      </w:r>
      <w:r>
        <w:rPr>
          <w:rFonts w:ascii="Noto Serif" w:hAnsi="Noto Serif" w:eastAsia="Noto Serif"/>
          <w:sz w:val="18"/>
        </w:rPr>
        <w:t xml:space="preserve"> </w:t>
      </w:r>
      <w:r>
        <w:rPr>
          <w:rFonts w:ascii="Noto Serif" w:hAnsi="Noto Serif" w:eastAsia="Noto Serif"/>
          <w:sz w:val="18"/>
        </w:rPr>
        <w:t xml:space="preserve">means a Federal bill or Act identified in section 108 or designated by Congress as part of the American Restoration legislative package.</w:t>
      </w:r>
    </w:p>
    <w:p>
      <w:pPr>
        <w:pStyle w:val="Compact"/>
        <w:widowControl/>
        <w:numPr>
          <w:ilvl w:val="0"/>
          <w:numId w:val="1006"/>
        </w:numPr>
        <w:spacing w:after="30" w:line="245" w:lineRule="auto"/>
      </w:pPr>
      <w:r>
        <w:rPr>
          <w:rFonts w:ascii="Noto Serif" w:hAnsi="Noto Serif" w:eastAsia="Noto Serif"/>
          <w:b/>
          <w:bCs/>
          <w:sz w:val="18"/>
        </w:rPr>
        <w:t xml:space="preserve">Qualified scientific evidence</w:t>
      </w:r>
      <w:r>
        <w:rPr>
          <w:rFonts w:ascii="Noto Serif" w:hAnsi="Noto Serif" w:eastAsia="Noto Serif"/>
          <w:sz w:val="18"/>
        </w:rPr>
        <w:t xml:space="preserve"> </w:t>
      </w:r>
      <w:r>
        <w:rPr>
          <w:rFonts w:ascii="Noto Serif" w:hAnsi="Noto Serif" w:eastAsia="Noto Serif"/>
          <w:sz w:val="18"/>
        </w:rPr>
        <w:t xml:space="preserve">means evidence produced or assessed through transparent, reproducible, professionally accepted methods, with conflicts disclosed and uncertainty honestly characterized.</w:t>
      </w:r>
    </w:p>
    <w:bookmarkEnd w:id="32"/>
    <w:bookmarkStart w:id="33" w:name="sec.-106.-rules-of-construction."/>
    <w:p>
      <w:pPr>
        <w:pStyle w:val="Heading2"/>
        <w:keepNext/>
        <w:spacing w:before="160" w:after="60"/>
      </w:pPr>
      <w:r>
        <w:rPr>
          <w:rFonts w:ascii="Inter" w:hAnsi="Inter" w:eastAsia="Inter"/>
          <w:b/>
          <w:color w:val="1F3F5B"/>
          <w:sz w:val="23"/>
        </w:rPr>
        <w:t xml:space="preserve">SEC. 106. RULES OF CONSTRUCTION.</w:t>
      </w:r>
    </w:p>
    <w:p>
      <w:pPr>
        <w:widowControl/>
        <w:numPr>
          <w:ilvl w:val="0"/>
          <w:numId w:val="1007"/>
        </w:numPr>
        <w:spacing w:after="30" w:line="245" w:lineRule="auto"/>
      </w:pPr>
      <w:r>
        <w:rPr>
          <w:rFonts w:ascii="Noto Serif" w:hAnsi="Noto Serif" w:eastAsia="Noto Serif"/>
          <w:b/>
          <w:bCs/>
          <w:sz w:val="18"/>
        </w:rPr>
        <w:t xml:space="preserve">Political neutrality.</w:t>
      </w:r>
      <w:r>
        <w:rPr>
          <w:rFonts w:ascii="Noto Serif" w:hAnsi="Noto Serif" w:eastAsia="Noto Serif"/>
          <w:sz w:val="18"/>
        </w:rPr>
        <w:t xml:space="preserve"> </w:t>
      </w:r>
      <w:r>
        <w:rPr>
          <w:rFonts w:ascii="Noto Serif" w:hAnsi="Noto Serif" w:eastAsia="Noto Serif"/>
          <w:sz w:val="18"/>
        </w:rPr>
        <w:t xml:space="preserve">This Act shall be administered without regard to the party, ideology, identity, or protected speech of any person. A policy is reviewable because of its legal effect or public-interest harm, not because it was adopted by a conservative, progressive, or other administration.</w:t>
      </w:r>
    </w:p>
    <w:p>
      <w:pPr>
        <w:widowControl/>
        <w:numPr>
          <w:ilvl w:val="0"/>
          <w:numId w:val="1007"/>
        </w:numPr>
        <w:spacing w:after="30" w:line="245" w:lineRule="auto"/>
      </w:pPr>
      <w:r>
        <w:rPr>
          <w:rFonts w:ascii="Noto Serif" w:hAnsi="Noto Serif" w:eastAsia="Noto Serif"/>
          <w:b/>
          <w:bCs/>
          <w:sz w:val="18"/>
        </w:rPr>
        <w:t xml:space="preserve">No regulation of belief.</w:t>
      </w:r>
      <w:r>
        <w:rPr>
          <w:rFonts w:ascii="Noto Serif" w:hAnsi="Noto Serif" w:eastAsia="Noto Serif"/>
          <w:sz w:val="18"/>
        </w:rPr>
        <w:t xml:space="preserve"> </w:t>
      </w:r>
      <w:r>
        <w:rPr>
          <w:rFonts w:ascii="Noto Serif" w:hAnsi="Noto Serif" w:eastAsia="Noto Serif"/>
          <w:sz w:val="18"/>
        </w:rPr>
        <w:t xml:space="preserve">Nothing in this Act authorizes the Federal Government to regulate political, religious, philosophical, or scientific belief as such.</w:t>
      </w:r>
    </w:p>
    <w:p>
      <w:pPr>
        <w:widowControl/>
        <w:numPr>
          <w:ilvl w:val="0"/>
          <w:numId w:val="1007"/>
        </w:numPr>
        <w:spacing w:after="30" w:line="245" w:lineRule="auto"/>
      </w:pPr>
      <w:r>
        <w:rPr>
          <w:rFonts w:ascii="Noto Serif" w:hAnsi="Noto Serif" w:eastAsia="Noto Serif"/>
          <w:b/>
          <w:bCs/>
          <w:sz w:val="18"/>
        </w:rPr>
        <w:t xml:space="preserve">No bill of attainder.</w:t>
      </w:r>
      <w:r>
        <w:rPr>
          <w:rFonts w:ascii="Noto Serif" w:hAnsi="Noto Serif" w:eastAsia="Noto Serif"/>
          <w:sz w:val="18"/>
        </w:rPr>
        <w:t xml:space="preserve"> </w:t>
      </w:r>
      <w:r>
        <w:rPr>
          <w:rFonts w:ascii="Noto Serif" w:hAnsi="Noto Serif" w:eastAsia="Noto Serif"/>
          <w:sz w:val="18"/>
        </w:rPr>
        <w:t xml:space="preserve">No person may be penalized solely because the person served in, advised, donated to, or supported an administration or political movement.</w:t>
      </w:r>
    </w:p>
    <w:p>
      <w:pPr>
        <w:widowControl/>
        <w:numPr>
          <w:ilvl w:val="0"/>
          <w:numId w:val="1007"/>
        </w:numPr>
        <w:spacing w:after="30" w:line="245" w:lineRule="auto"/>
      </w:pPr>
      <w:r>
        <w:rPr>
          <w:rFonts w:ascii="Noto Serif" w:hAnsi="Noto Serif" w:eastAsia="Noto Serif"/>
          <w:b/>
          <w:bCs/>
          <w:sz w:val="18"/>
        </w:rPr>
        <w:t xml:space="preserve">No compelled viewpoint.</w:t>
      </w:r>
      <w:r>
        <w:rPr>
          <w:rFonts w:ascii="Noto Serif" w:hAnsi="Noto Serif" w:eastAsia="Noto Serif"/>
          <w:sz w:val="18"/>
        </w:rPr>
        <w:t xml:space="preserve"> </w:t>
      </w:r>
      <w:r>
        <w:rPr>
          <w:rFonts w:ascii="Noto Serif" w:hAnsi="Noto Serif" w:eastAsia="Noto Serif"/>
          <w:sz w:val="18"/>
        </w:rPr>
        <w:t xml:space="preserve">Federal grants and employment may require lawful performance, nondiscrimination, professional competence, scientific integrity, and program fidelity, but may not require personal ideological affirmation unrelated to those duties.</w:t>
      </w:r>
    </w:p>
    <w:bookmarkEnd w:id="33"/>
    <w:bookmarkStart w:id="34" w:name="Xe49e57a81888d1ed24d1a5db543776f674b18ec"/>
    <w:p>
      <w:pPr>
        <w:pStyle w:val="Heading2"/>
        <w:keepNext/>
        <w:spacing w:before="160" w:after="60"/>
      </w:pPr>
      <w:r>
        <w:rPr>
          <w:rFonts w:ascii="Inter" w:hAnsi="Inter" w:eastAsia="Inter"/>
          <w:b/>
          <w:color w:val="1F3F5B"/>
          <w:sz w:val="23"/>
        </w:rPr>
        <w:t xml:space="preserve">SEC. 107. PRESERVATION OF VESTED RIGHTS AND DUE PROCESS.</w:t>
      </w:r>
    </w:p>
    <w:p>
      <w:pPr>
        <w:widowControl/>
        <w:numPr>
          <w:ilvl w:val="0"/>
          <w:numId w:val="1008"/>
        </w:numPr>
        <w:spacing w:after="30" w:line="245" w:lineRule="auto"/>
      </w:pPr>
      <w:r>
        <w:rPr>
          <w:rFonts w:ascii="Noto Serif" w:hAnsi="Noto Serif" w:eastAsia="Noto Serif"/>
          <w:sz w:val="18"/>
        </w:rPr>
        <w:t xml:space="preserve">A restoration action affecting a vested contract, permit, license, lease, grant, property interest, or employment right shall provide notice and an opportunity to be heard commensurate with the affected interest.</w:t>
      </w:r>
    </w:p>
    <w:p>
      <w:pPr>
        <w:widowControl/>
        <w:numPr>
          <w:ilvl w:val="0"/>
          <w:numId w:val="1008"/>
        </w:numPr>
        <w:spacing w:after="30" w:line="245" w:lineRule="auto"/>
      </w:pPr>
      <w:r>
        <w:rPr>
          <w:rFonts w:ascii="Noto Serif" w:hAnsi="Noto Serif" w:eastAsia="Noto Serif"/>
          <w:sz w:val="18"/>
        </w:rPr>
        <w:t xml:space="preserve">Nothing in this Act authorizes a taking without just compensation.</w:t>
      </w:r>
    </w:p>
    <w:p>
      <w:pPr>
        <w:widowControl/>
        <w:numPr>
          <w:ilvl w:val="0"/>
          <w:numId w:val="1008"/>
        </w:numPr>
        <w:spacing w:after="30" w:line="245" w:lineRule="auto"/>
      </w:pPr>
      <w:r>
        <w:rPr>
          <w:rFonts w:ascii="Noto Serif" w:hAnsi="Noto Serif" w:eastAsia="Noto Serif"/>
          <w:sz w:val="18"/>
        </w:rPr>
        <w:t xml:space="preserve">Fraudulently obtained, unlawfully issued, or ultra vires interests are not protected from cancellation merely because a document was executed.</w:t>
      </w:r>
    </w:p>
    <w:bookmarkEnd w:id="34"/>
    <w:bookmarkStart w:id="35" w:name="X62062b9af1e0c755163185073a7a770dc32c9d6"/>
    <w:p>
      <w:pPr>
        <w:pStyle w:val="Heading2"/>
        <w:keepNext/>
        <w:spacing w:before="160" w:after="60"/>
      </w:pPr>
      <w:r>
        <w:rPr>
          <w:rFonts w:ascii="Inter" w:hAnsi="Inter" w:eastAsia="Inter"/>
          <w:b/>
          <w:color w:val="1F3F5B"/>
          <w:sz w:val="23"/>
        </w:rPr>
        <w:t xml:space="preserve">SEC. 108. RELATIONSHIP TO PROJECT COMPANION ACTS.</w:t>
      </w:r>
    </w:p>
    <w:p>
      <w:pPr>
        <w:widowControl/>
        <w:numPr>
          <w:ilvl w:val="0"/>
          <w:numId w:val="1009"/>
        </w:numPr>
        <w:spacing w:after="30" w:line="245" w:lineRule="auto"/>
      </w:pPr>
      <w:r>
        <w:rPr>
          <w:rFonts w:ascii="Noto Serif" w:hAnsi="Noto Serif" w:eastAsia="Noto Serif"/>
          <w:sz w:val="18"/>
        </w:rPr>
        <w:t xml:space="preserve">The American Vote Act governs comprehensive election administration and voter-protection requirements.</w:t>
      </w:r>
    </w:p>
    <w:p>
      <w:pPr>
        <w:widowControl/>
        <w:numPr>
          <w:ilvl w:val="0"/>
          <w:numId w:val="1009"/>
        </w:numPr>
        <w:spacing w:after="30" w:line="245" w:lineRule="auto"/>
      </w:pPr>
      <w:r>
        <w:rPr>
          <w:rFonts w:ascii="Noto Serif" w:hAnsi="Noto Serif" w:eastAsia="Noto Serif"/>
          <w:sz w:val="18"/>
        </w:rPr>
        <w:t xml:space="preserve">The Transparent Government Act governs general public-integrity disclosure, citizen-question, influence-contact, and accountability systems.</w:t>
      </w:r>
    </w:p>
    <w:p>
      <w:pPr>
        <w:widowControl/>
        <w:numPr>
          <w:ilvl w:val="0"/>
          <w:numId w:val="1009"/>
        </w:numPr>
        <w:spacing w:after="30" w:line="245" w:lineRule="auto"/>
      </w:pPr>
      <w:r>
        <w:rPr>
          <w:rFonts w:ascii="Noto Serif" w:hAnsi="Noto Serif" w:eastAsia="Noto Serif"/>
          <w:sz w:val="18"/>
        </w:rPr>
        <w:t xml:space="preserve">The FAITH Act governs institutional religious accountability, freedom of conscience, and religion-politics safeguards.</w:t>
      </w:r>
    </w:p>
    <w:p>
      <w:pPr>
        <w:widowControl/>
        <w:numPr>
          <w:ilvl w:val="0"/>
          <w:numId w:val="1009"/>
        </w:numPr>
        <w:spacing w:after="30" w:line="245" w:lineRule="auto"/>
      </w:pPr>
      <w:r>
        <w:rPr>
          <w:rFonts w:ascii="Noto Serif" w:hAnsi="Noto Serif" w:eastAsia="Noto Serif"/>
          <w:sz w:val="18"/>
        </w:rPr>
        <w:t xml:space="preserve">America’s Nature Act, the American Environment Act, and the RESPONSIBILITY Act govern permanent ecological restoration, environmental liability, and environmental-crime provisions.</w:t>
      </w:r>
    </w:p>
    <w:p>
      <w:pPr>
        <w:widowControl/>
        <w:numPr>
          <w:ilvl w:val="0"/>
          <w:numId w:val="1009"/>
        </w:numPr>
        <w:spacing w:after="30" w:line="245" w:lineRule="auto"/>
      </w:pPr>
      <w:r>
        <w:rPr>
          <w:rFonts w:ascii="Noto Serif" w:hAnsi="Noto Serif" w:eastAsia="Noto Serif"/>
          <w:sz w:val="18"/>
        </w:rPr>
        <w:t xml:space="preserve">The Enlightenment Act and the $450 Education Act govern comprehensive education investment and program design.</w:t>
      </w:r>
    </w:p>
    <w:p>
      <w:pPr>
        <w:widowControl/>
        <w:numPr>
          <w:ilvl w:val="0"/>
          <w:numId w:val="1009"/>
        </w:numPr>
        <w:spacing w:after="30" w:line="245" w:lineRule="auto"/>
      </w:pPr>
      <w:r>
        <w:rPr>
          <w:rFonts w:ascii="Noto Serif" w:hAnsi="Noto Serif" w:eastAsia="Noto Serif"/>
          <w:sz w:val="18"/>
        </w:rPr>
        <w:t xml:space="preserve">The Human Species Well-Being and Cognitive Liberty Act governs comprehensive human-capacity and cognitive-liberty protections.</w:t>
      </w:r>
    </w:p>
    <w:p>
      <w:pPr>
        <w:widowControl/>
        <w:numPr>
          <w:ilvl w:val="0"/>
          <w:numId w:val="1009"/>
        </w:numPr>
        <w:spacing w:after="30" w:line="245" w:lineRule="auto"/>
      </w:pPr>
      <w:r>
        <w:rPr>
          <w:rFonts w:ascii="Noto Serif" w:hAnsi="Noto Serif" w:eastAsia="Noto Serif"/>
          <w:sz w:val="18"/>
        </w:rPr>
        <w:t xml:space="preserve">Other project companion Acts govern their specialized subjects. Where a companion Act provides a stronger or more specific protection, remedy, funding rule, or enforcement mechanism, that provision controls.</w:t>
      </w:r>
    </w:p>
    <w:bookmarkEnd w:id="35"/>
    <w:bookmarkStart w:id="36" w:name="X1f461824aa709b1e08ca3ef3739aa91ae701978"/>
    <w:p>
      <w:pPr>
        <w:pStyle w:val="Heading2"/>
        <w:keepNext/>
        <w:spacing w:before="160" w:after="60"/>
      </w:pPr>
      <w:r>
        <w:rPr>
          <w:rFonts w:ascii="Inter" w:hAnsi="Inter" w:eastAsia="Inter"/>
          <w:b/>
          <w:color w:val="1F3F5B"/>
          <w:sz w:val="23"/>
        </w:rPr>
        <w:t xml:space="preserve">SEC. 109. NO IMPLIED REPEAL; STRONGER PROTECTIONS PRESERVED.</w:t>
      </w:r>
    </w:p>
    <w:p>
      <w:pPr>
        <w:pStyle w:val="FirstParagraph"/>
        <w:widowControl/>
        <w:spacing w:after="60" w:line="250" w:lineRule="auto"/>
      </w:pPr>
      <w:r>
        <w:rPr>
          <w:rFonts w:ascii="Noto Serif" w:hAnsi="Noto Serif" w:eastAsia="Noto Serif"/>
          <w:sz w:val="19"/>
        </w:rPr>
        <w:t xml:space="preserve">Nothing in this Act shall be construed to preempt or limit a Federal, State, local, or Tribal law providing greater protection for civil rights, voting access, labor, consumers, privacy, public health, the environment, education, or human rights, unless Congress expressly states otherwise.</w:t>
      </w:r>
    </w:p>
    <w:bookmarkEnd w:id="36"/>
    <w:bookmarkStart w:id="37" w:name="Xa60126d06129f1d8ddace5340cbabb8653f2a99"/>
    <w:p>
      <w:pPr>
        <w:pStyle w:val="Heading2"/>
        <w:keepNext/>
        <w:spacing w:before="160" w:after="60"/>
      </w:pPr>
      <w:r>
        <w:rPr>
          <w:rFonts w:ascii="Inter" w:hAnsi="Inter" w:eastAsia="Inter"/>
          <w:b/>
          <w:color w:val="1F3F5B"/>
          <w:sz w:val="23"/>
        </w:rPr>
        <w:t xml:space="preserve">SEC. 110. RULE REGARDING JUDICIAL DECISIONS.</w:t>
      </w:r>
    </w:p>
    <w:p>
      <w:pPr>
        <w:widowControl/>
        <w:numPr>
          <w:ilvl w:val="0"/>
          <w:numId w:val="1010"/>
        </w:numPr>
        <w:spacing w:after="30" w:line="245" w:lineRule="auto"/>
      </w:pPr>
      <w:r>
        <w:rPr>
          <w:rFonts w:ascii="Noto Serif" w:hAnsi="Noto Serif" w:eastAsia="Noto Serif"/>
          <w:sz w:val="18"/>
        </w:rPr>
        <w:t xml:space="preserve">Nothing in this Act reopens a final judgment between parties except through a procedure otherwise authorized by law.</w:t>
      </w:r>
    </w:p>
    <w:p>
      <w:pPr>
        <w:widowControl/>
        <w:numPr>
          <w:ilvl w:val="0"/>
          <w:numId w:val="1010"/>
        </w:numPr>
        <w:spacing w:after="30" w:line="245" w:lineRule="auto"/>
      </w:pPr>
      <w:r>
        <w:rPr>
          <w:rFonts w:ascii="Noto Serif" w:hAnsi="Noto Serif" w:eastAsia="Noto Serif"/>
          <w:sz w:val="18"/>
        </w:rPr>
        <w:t xml:space="preserve">When a judicial decision rests on the meaning of a statute, Congress may amend that statute prospectively and may apply the amendment to pending cases to the extent constitutionally permissible.</w:t>
      </w:r>
    </w:p>
    <w:p>
      <w:pPr>
        <w:widowControl/>
        <w:numPr>
          <w:ilvl w:val="0"/>
          <w:numId w:val="1010"/>
        </w:numPr>
        <w:spacing w:after="30" w:line="245" w:lineRule="auto"/>
      </w:pPr>
      <w:r>
        <w:rPr>
          <w:rFonts w:ascii="Noto Serif" w:hAnsi="Noto Serif" w:eastAsia="Noto Serif"/>
          <w:sz w:val="18"/>
        </w:rPr>
        <w:t xml:space="preserve">When a judicial decision announces a constitutional limitation, this Act shall be construed to operate within that limitation and to preserve the maximum lawful protection of the public interest.</w:t>
      </w:r>
    </w:p>
    <w:bookmarkEnd w:id="37"/>
    <w:bookmarkStart w:id="38" w:name="sec.-111.-severability."/>
    <w:p>
      <w:pPr>
        <w:pStyle w:val="Heading2"/>
        <w:keepNext/>
        <w:spacing w:before="160" w:after="60"/>
      </w:pPr>
      <w:r>
        <w:rPr>
          <w:rFonts w:ascii="Inter" w:hAnsi="Inter" w:eastAsia="Inter"/>
          <w:b/>
          <w:color w:val="1F3F5B"/>
          <w:sz w:val="23"/>
        </w:rPr>
        <w:t xml:space="preserve">SEC. 111. SEVERABILITY.</w:t>
      </w:r>
    </w:p>
    <w:p>
      <w:pPr>
        <w:pStyle w:val="FirstParagraph"/>
        <w:widowControl/>
        <w:spacing w:after="60" w:line="250" w:lineRule="auto"/>
      </w:pPr>
      <w:r>
        <w:rPr>
          <w:rFonts w:ascii="Noto Serif" w:hAnsi="Noto Serif" w:eastAsia="Noto Serif"/>
          <w:sz w:val="19"/>
        </w:rPr>
        <w:t xml:space="preserve">If any provision of this Act or its application is held invalid, the remainder of the Act and other applications shall not be affected. The court shall preserve any narrower application that remains constitutional and administrable.</w:t>
      </w:r>
    </w:p>
    <w:bookmarkEnd w:id="38"/>
    <w:bookmarkStart w:id="39" w:name="sec.-112.-anti-evasion."/>
    <w:p>
      <w:pPr>
        <w:pStyle w:val="Heading2"/>
        <w:keepNext/>
        <w:spacing w:before="160" w:after="60"/>
      </w:pPr>
      <w:r>
        <w:rPr>
          <w:rFonts w:ascii="Inter" w:hAnsi="Inter" w:eastAsia="Inter"/>
          <w:b/>
          <w:color w:val="1F3F5B"/>
          <w:sz w:val="23"/>
        </w:rPr>
        <w:t xml:space="preserve">SEC. 112. ANTI-EVASION.</w:t>
      </w:r>
    </w:p>
    <w:p>
      <w:pPr>
        <w:pStyle w:val="FirstParagraph"/>
        <w:widowControl/>
        <w:spacing w:after="60" w:line="250" w:lineRule="auto"/>
      </w:pPr>
      <w:r>
        <w:rPr>
          <w:rFonts w:ascii="Noto Serif" w:hAnsi="Noto Serif" w:eastAsia="Noto Serif"/>
          <w:sz w:val="19"/>
        </w:rPr>
        <w:t xml:space="preserve">An agency may not accomplish indirectly, through a contractor, memorandum, litigation position, reclassification, reorganization, funding condition, data-sharing arrangement, or failure to act, what this Act prohibits directly.</w:t>
      </w:r>
    </w:p>
    <w:bookmarkEnd w:id="39"/>
    <w:bookmarkEnd w:id="40"/>
    <w:bookmarkStart w:id="53" w:name="X5c2b5a98a8158c89f8d7bd34880f429ec59e60d"/>
    <w:p>
      <w:pPr>
        <w:pStyle w:val="Heading1"/>
        <w:keepNext/>
        <w:pageBreakBefore/>
        <w:spacing w:before="0" w:after="180"/>
        <w:pBdr>
          <w:bottom w:val="single" w:sz="8" w:space="4" w:color="9EB0BF"/>
        </w:pBdr>
      </w:pPr>
      <w:r>
        <w:rPr>
          <w:rFonts w:ascii="Inter" w:hAnsi="Inter" w:eastAsia="Inter"/>
          <w:b/>
          <w:color w:val="142D48"/>
          <w:sz w:val="34"/>
        </w:rPr>
        <w:t xml:space="preserve">TITLE II - AMERICAN RESTORATION REVIEW AND ROLLBACK INVENTORY</w:t>
      </w:r>
    </w:p>
    <w:bookmarkStart w:id="41" w:name="sec.-201.-covered-rollback-actions."/>
    <w:p>
      <w:pPr>
        <w:pStyle w:val="Heading2"/>
        <w:keepNext/>
        <w:spacing w:before="160" w:after="60"/>
      </w:pPr>
      <w:r>
        <w:rPr>
          <w:rFonts w:ascii="Inter" w:hAnsi="Inter" w:eastAsia="Inter"/>
          <w:b/>
          <w:color w:val="1F3F5B"/>
          <w:sz w:val="23"/>
        </w:rPr>
        <w:t xml:space="preserve">SEC. 201. COVERED ROLLBACK ACTIONS.</w:t>
      </w:r>
    </w:p>
    <w:p>
      <w:pPr>
        <w:pStyle w:val="Compact"/>
        <w:widowControl/>
        <w:numPr>
          <w:ilvl w:val="0"/>
          <w:numId w:val="1011"/>
        </w:numPr>
        <w:spacing w:after="30" w:line="245" w:lineRule="auto"/>
      </w:pPr>
      <w:r>
        <w:rPr>
          <w:rFonts w:ascii="Noto Serif" w:hAnsi="Noto Serif" w:eastAsia="Noto Serif"/>
          <w:sz w:val="18"/>
        </w:rPr>
        <w:t xml:space="preserve">An action during a covered period is a covered rollback action if the Restoration Council determines, by written findings, that the action did one or more of the following:</w:t>
      </w:r>
    </w:p>
    <w:p>
      <w:pPr>
        <w:pStyle w:val="Compact"/>
        <w:widowControl/>
        <w:numPr>
          <w:ilvl w:val="0"/>
          <w:numId w:val="1012"/>
        </w:numPr>
        <w:spacing w:after="30" w:line="245" w:lineRule="auto"/>
      </w:pPr>
      <w:r>
        <w:rPr>
          <w:rFonts w:ascii="Noto Serif" w:hAnsi="Noto Serif" w:eastAsia="Noto Serif"/>
          <w:sz w:val="18"/>
        </w:rPr>
        <w:t xml:space="preserve">violated or materially evaded a statute, appropriation, court order, constitutional duty, or binding procedural requirement;</w:t>
      </w:r>
    </w:p>
    <w:p>
      <w:pPr>
        <w:pStyle w:val="Compact"/>
        <w:widowControl/>
        <w:numPr>
          <w:ilvl w:val="0"/>
          <w:numId w:val="1012"/>
        </w:numPr>
        <w:spacing w:after="30" w:line="245" w:lineRule="auto"/>
      </w:pPr>
      <w:r>
        <w:rPr>
          <w:rFonts w:ascii="Noto Serif" w:hAnsi="Noto Serif" w:eastAsia="Noto Serif"/>
          <w:sz w:val="18"/>
        </w:rPr>
        <w:t xml:space="preserve">abolished, disabled, transferred, or starved a congressionally created function without statutory authority;</w:t>
      </w:r>
    </w:p>
    <w:p>
      <w:pPr>
        <w:pStyle w:val="Compact"/>
        <w:widowControl/>
        <w:numPr>
          <w:ilvl w:val="0"/>
          <w:numId w:val="1012"/>
        </w:numPr>
        <w:spacing w:after="30" w:line="245" w:lineRule="auto"/>
      </w:pPr>
      <w:r>
        <w:rPr>
          <w:rFonts w:ascii="Noto Serif" w:hAnsi="Noto Serif" w:eastAsia="Noto Serif"/>
          <w:sz w:val="18"/>
        </w:rPr>
        <w:t xml:space="preserve">withheld, delayed, conditioned, or redirected appropriated funds contrary to law;</w:t>
      </w:r>
    </w:p>
    <w:p>
      <w:pPr>
        <w:pStyle w:val="Compact"/>
        <w:widowControl/>
        <w:numPr>
          <w:ilvl w:val="0"/>
          <w:numId w:val="1012"/>
        </w:numPr>
        <w:spacing w:after="30" w:line="245" w:lineRule="auto"/>
      </w:pPr>
      <w:r>
        <w:rPr>
          <w:rFonts w:ascii="Noto Serif" w:hAnsi="Noto Serif" w:eastAsia="Noto Serif"/>
          <w:sz w:val="18"/>
        </w:rPr>
        <w:t xml:space="preserve">converted merit-protected positions into political or at-will positions without adequate cause and procedure;</w:t>
      </w:r>
    </w:p>
    <w:p>
      <w:pPr>
        <w:pStyle w:val="Compact"/>
        <w:widowControl/>
        <w:numPr>
          <w:ilvl w:val="0"/>
          <w:numId w:val="1012"/>
        </w:numPr>
        <w:spacing w:after="30" w:line="245" w:lineRule="auto"/>
      </w:pPr>
      <w:r>
        <w:rPr>
          <w:rFonts w:ascii="Noto Serif" w:hAnsi="Noto Serif" w:eastAsia="Noto Serif"/>
          <w:sz w:val="18"/>
        </w:rPr>
        <w:t xml:space="preserve">imposed an unnecessary material burden on voting, benefits, immigration adjudication, civil rights, health care, education, labor rights, or access to justice;</w:t>
      </w:r>
    </w:p>
    <w:p>
      <w:pPr>
        <w:pStyle w:val="Compact"/>
        <w:widowControl/>
        <w:numPr>
          <w:ilvl w:val="0"/>
          <w:numId w:val="1012"/>
        </w:numPr>
        <w:spacing w:after="30" w:line="245" w:lineRule="auto"/>
      </w:pPr>
      <w:r>
        <w:rPr>
          <w:rFonts w:ascii="Noto Serif" w:hAnsi="Noto Serif" w:eastAsia="Noto Serif"/>
          <w:sz w:val="18"/>
        </w:rPr>
        <w:t xml:space="preserve">relied on materially false, suppressed, manipulated, or nontransparent evidence;</w:t>
      </w:r>
    </w:p>
    <w:p>
      <w:pPr>
        <w:pStyle w:val="Compact"/>
        <w:widowControl/>
        <w:numPr>
          <w:ilvl w:val="0"/>
          <w:numId w:val="1012"/>
        </w:numPr>
        <w:spacing w:after="30" w:line="245" w:lineRule="auto"/>
      </w:pPr>
      <w:r>
        <w:rPr>
          <w:rFonts w:ascii="Noto Serif" w:hAnsi="Noto Serif" w:eastAsia="Noto Serif"/>
          <w:sz w:val="18"/>
        </w:rPr>
        <w:t xml:space="preserve">eliminated an environmental, public-health, safety, consumer, labor, or civil-rights protection without a reasoned assessment of reliance interests and foreseeable harm;</w:t>
      </w:r>
    </w:p>
    <w:p>
      <w:pPr>
        <w:pStyle w:val="Compact"/>
        <w:widowControl/>
        <w:numPr>
          <w:ilvl w:val="0"/>
          <w:numId w:val="1012"/>
        </w:numPr>
        <w:spacing w:after="30" w:line="245" w:lineRule="auto"/>
      </w:pPr>
      <w:r>
        <w:rPr>
          <w:rFonts w:ascii="Noto Serif" w:hAnsi="Noto Serif" w:eastAsia="Noto Serif"/>
          <w:sz w:val="18"/>
        </w:rPr>
        <w:t xml:space="preserve">enabled unauthorized access, aggregation, transfer, or sale of sensitive personal data;</w:t>
      </w:r>
    </w:p>
    <w:p>
      <w:pPr>
        <w:pStyle w:val="Compact"/>
        <w:widowControl/>
        <w:numPr>
          <w:ilvl w:val="0"/>
          <w:numId w:val="1012"/>
        </w:numPr>
        <w:spacing w:after="30" w:line="245" w:lineRule="auto"/>
      </w:pPr>
      <w:r>
        <w:rPr>
          <w:rFonts w:ascii="Noto Serif" w:hAnsi="Noto Serif" w:eastAsia="Noto Serif"/>
          <w:sz w:val="18"/>
        </w:rPr>
        <w:t xml:space="preserve">terminated grants, contracts, or enforcement matters based on protected viewpoint, race, sex, religion, national origin, political retaliation, or an unpublished ideological test;</w:t>
      </w:r>
    </w:p>
    <w:p>
      <w:pPr>
        <w:pStyle w:val="Compact"/>
        <w:widowControl/>
        <w:numPr>
          <w:ilvl w:val="0"/>
          <w:numId w:val="1012"/>
        </w:numPr>
        <w:spacing w:after="30" w:line="245" w:lineRule="auto"/>
      </w:pPr>
      <w:r>
        <w:rPr>
          <w:rFonts w:ascii="Noto Serif" w:hAnsi="Noto Serif" w:eastAsia="Noto Serif"/>
          <w:sz w:val="18"/>
        </w:rPr>
        <w:t xml:space="preserve">transferred or encumbered Federal land, minerals, water, wildlife, public infrastructure, or other public assets on materially below-market or inadequately reviewed terms;</w:t>
      </w:r>
    </w:p>
    <w:p>
      <w:pPr>
        <w:pStyle w:val="Compact"/>
        <w:widowControl/>
        <w:numPr>
          <w:ilvl w:val="0"/>
          <w:numId w:val="1012"/>
        </w:numPr>
        <w:spacing w:after="30" w:line="245" w:lineRule="auto"/>
      </w:pPr>
      <w:r>
        <w:rPr>
          <w:rFonts w:ascii="Noto Serif" w:hAnsi="Noto Serif" w:eastAsia="Noto Serif"/>
          <w:sz w:val="18"/>
        </w:rPr>
        <w:t xml:space="preserve">withdrew from an international institution or program in a manner inconsistent with statute, treaty obligations, appropriations, or a reasoned national-interest assessment;</w:t>
      </w:r>
    </w:p>
    <w:p>
      <w:pPr>
        <w:pStyle w:val="Compact"/>
        <w:widowControl/>
        <w:numPr>
          <w:ilvl w:val="0"/>
          <w:numId w:val="1012"/>
        </w:numPr>
        <w:spacing w:after="30" w:line="245" w:lineRule="auto"/>
      </w:pPr>
      <w:r>
        <w:rPr>
          <w:rFonts w:ascii="Noto Serif" w:hAnsi="Noto Serif" w:eastAsia="Noto Serif"/>
          <w:sz w:val="18"/>
        </w:rPr>
        <w:t xml:space="preserve">created a substantial public-interest harm grossly disproportionate to any demonstrated benefit; or</w:t>
      </w:r>
    </w:p>
    <w:p>
      <w:pPr>
        <w:pStyle w:val="Compact"/>
        <w:widowControl/>
        <w:numPr>
          <w:ilvl w:val="0"/>
          <w:numId w:val="1012"/>
        </w:numPr>
        <w:spacing w:after="30" w:line="245" w:lineRule="auto"/>
      </w:pPr>
      <w:r>
        <w:rPr>
          <w:rFonts w:ascii="Noto Serif" w:hAnsi="Noto Serif" w:eastAsia="Noto Serif"/>
          <w:sz w:val="18"/>
        </w:rPr>
        <w:t xml:space="preserve">is listed in Schedule A and has not been affirmatively ratified by an Act of Congress enacted after the action.</w:t>
      </w:r>
    </w:p>
    <w:p>
      <w:pPr>
        <w:pStyle w:val="Compact"/>
        <w:widowControl/>
        <w:numPr>
          <w:ilvl w:val="0"/>
          <w:numId w:val="1013"/>
        </w:numPr>
        <w:spacing w:after="30" w:line="245" w:lineRule="auto"/>
      </w:pPr>
      <w:r>
        <w:rPr>
          <w:rFonts w:ascii="Noto Serif" w:hAnsi="Noto Serif" w:eastAsia="Noto Serif"/>
          <w:sz w:val="18"/>
        </w:rPr>
        <w:t xml:space="preserve">A lawful policy disagreement, standing alone, is insufficient. The Council must identify the legal defect, evidentiary failure, or substantial public-interest harm supporting its classification.</w:t>
      </w:r>
    </w:p>
    <w:bookmarkEnd w:id="41"/>
    <w:bookmarkStart w:id="42" w:name="X6adc7fcf3855483c5e1a83c2636c74142b87702"/>
    <w:p>
      <w:pPr>
        <w:pStyle w:val="Heading2"/>
        <w:keepNext/>
        <w:spacing w:before="160" w:after="60"/>
      </w:pPr>
      <w:r>
        <w:rPr>
          <w:rFonts w:ascii="Inter" w:hAnsi="Inter" w:eastAsia="Inter"/>
          <w:b/>
          <w:color w:val="1F3F5B"/>
          <w:sz w:val="23"/>
        </w:rPr>
        <w:t xml:space="preserve">SEC. 202. AMERICAN RESTORATION REVIEW COUNCIL.</w:t>
      </w:r>
    </w:p>
    <w:p>
      <w:pPr>
        <w:widowControl/>
        <w:numPr>
          <w:ilvl w:val="0"/>
          <w:numId w:val="1014"/>
        </w:numPr>
        <w:spacing w:after="30" w:line="245" w:lineRule="auto"/>
      </w:pPr>
      <w:r>
        <w:rPr>
          <w:rFonts w:ascii="Noto Serif" w:hAnsi="Noto Serif" w:eastAsia="Noto Serif"/>
          <w:sz w:val="18"/>
        </w:rPr>
        <w:t xml:space="preserve">There is established an independent establishment in the executive branch known as the</w:t>
      </w:r>
      <w:r>
        <w:rPr>
          <w:rFonts w:ascii="Noto Serif" w:hAnsi="Noto Serif" w:eastAsia="Noto Serif"/>
          <w:sz w:val="18"/>
        </w:rPr>
        <w:t xml:space="preserve"> </w:t>
      </w:r>
      <w:r>
        <w:rPr>
          <w:rFonts w:ascii="Noto Serif" w:hAnsi="Noto Serif" w:eastAsia="Noto Serif"/>
          <w:b/>
          <w:bCs/>
          <w:sz w:val="18"/>
        </w:rPr>
        <w:t xml:space="preserve">American Restoration Review Council</w:t>
      </w:r>
      <w:r>
        <w:rPr>
          <w:rFonts w:ascii="Noto Serif" w:hAnsi="Noto Serif" w:eastAsia="Noto Serif"/>
          <w:sz w:val="18"/>
        </w:rPr>
        <w:t xml:space="preserve">.</w:t>
      </w:r>
    </w:p>
    <w:p>
      <w:pPr>
        <w:widowControl/>
        <w:numPr>
          <w:ilvl w:val="0"/>
          <w:numId w:val="1014"/>
        </w:numPr>
        <w:spacing w:after="30" w:line="245" w:lineRule="auto"/>
      </w:pPr>
      <w:r>
        <w:rPr>
          <w:rFonts w:ascii="Noto Serif" w:hAnsi="Noto Serif" w:eastAsia="Noto Serif"/>
          <w:sz w:val="18"/>
        </w:rPr>
        <w:t xml:space="preserve">The Council consists of 11 members:</w:t>
      </w:r>
    </w:p>
    <w:p>
      <w:pPr>
        <w:pStyle w:val="Compact"/>
        <w:widowControl/>
        <w:numPr>
          <w:ilvl w:val="0"/>
          <w:numId w:val="1015"/>
        </w:numPr>
        <w:spacing w:after="30" w:line="245" w:lineRule="auto"/>
      </w:pPr>
      <w:r>
        <w:rPr>
          <w:rFonts w:ascii="Noto Serif" w:hAnsi="Noto Serif" w:eastAsia="Noto Serif"/>
          <w:sz w:val="18"/>
        </w:rPr>
        <w:t xml:space="preserve">the Comptroller General or designee, serving as nonvoting chair;</w:t>
      </w:r>
    </w:p>
    <w:p>
      <w:pPr>
        <w:pStyle w:val="Compact"/>
        <w:widowControl/>
        <w:numPr>
          <w:ilvl w:val="0"/>
          <w:numId w:val="1015"/>
        </w:numPr>
        <w:spacing w:after="30" w:line="245" w:lineRule="auto"/>
      </w:pPr>
      <w:r>
        <w:rPr>
          <w:rFonts w:ascii="Noto Serif" w:hAnsi="Noto Serif" w:eastAsia="Noto Serif"/>
          <w:sz w:val="18"/>
        </w:rPr>
        <w:t xml:space="preserve">the Director of the Office of Management and Budget;</w:t>
      </w:r>
    </w:p>
    <w:p>
      <w:pPr>
        <w:pStyle w:val="Compact"/>
        <w:widowControl/>
        <w:numPr>
          <w:ilvl w:val="0"/>
          <w:numId w:val="1015"/>
        </w:numPr>
        <w:spacing w:after="30" w:line="245" w:lineRule="auto"/>
      </w:pPr>
      <w:r>
        <w:rPr>
          <w:rFonts w:ascii="Noto Serif" w:hAnsi="Noto Serif" w:eastAsia="Noto Serif"/>
          <w:sz w:val="18"/>
        </w:rPr>
        <w:t xml:space="preserve">the Attorney General;</w:t>
      </w:r>
    </w:p>
    <w:p>
      <w:pPr>
        <w:pStyle w:val="Compact"/>
        <w:widowControl/>
        <w:numPr>
          <w:ilvl w:val="0"/>
          <w:numId w:val="1015"/>
        </w:numPr>
        <w:spacing w:after="30" w:line="245" w:lineRule="auto"/>
      </w:pPr>
      <w:r>
        <w:rPr>
          <w:rFonts w:ascii="Noto Serif" w:hAnsi="Noto Serif" w:eastAsia="Noto Serif"/>
          <w:sz w:val="18"/>
        </w:rPr>
        <w:t xml:space="preserve">the Director of the Office of Personnel Management;</w:t>
      </w:r>
    </w:p>
    <w:p>
      <w:pPr>
        <w:pStyle w:val="Compact"/>
        <w:widowControl/>
        <w:numPr>
          <w:ilvl w:val="0"/>
          <w:numId w:val="1015"/>
        </w:numPr>
        <w:spacing w:after="30" w:line="245" w:lineRule="auto"/>
      </w:pPr>
      <w:r>
        <w:rPr>
          <w:rFonts w:ascii="Noto Serif" w:hAnsi="Noto Serif" w:eastAsia="Noto Serif"/>
          <w:sz w:val="18"/>
        </w:rPr>
        <w:t xml:space="preserve">the Administrator of the Office of Information and Regulatory Affairs;</w:t>
      </w:r>
    </w:p>
    <w:p>
      <w:pPr>
        <w:pStyle w:val="Compact"/>
        <w:widowControl/>
        <w:numPr>
          <w:ilvl w:val="0"/>
          <w:numId w:val="1015"/>
        </w:numPr>
        <w:spacing w:after="30" w:line="245" w:lineRule="auto"/>
      </w:pPr>
      <w:r>
        <w:rPr>
          <w:rFonts w:ascii="Noto Serif" w:hAnsi="Noto Serif" w:eastAsia="Noto Serif"/>
          <w:sz w:val="18"/>
        </w:rPr>
        <w:t xml:space="preserve">one member appointed by the President from a list jointly submitted by State attorneys general;</w:t>
      </w:r>
    </w:p>
    <w:p>
      <w:pPr>
        <w:pStyle w:val="Compact"/>
        <w:widowControl/>
        <w:numPr>
          <w:ilvl w:val="0"/>
          <w:numId w:val="1015"/>
        </w:numPr>
        <w:spacing w:after="30" w:line="245" w:lineRule="auto"/>
      </w:pPr>
      <w:r>
        <w:rPr>
          <w:rFonts w:ascii="Noto Serif" w:hAnsi="Noto Serif" w:eastAsia="Noto Serif"/>
          <w:sz w:val="18"/>
        </w:rPr>
        <w:t xml:space="preserve">one member appointed by Tribal governments through a process established by the Secretary of the Interior;</w:t>
      </w:r>
    </w:p>
    <w:p>
      <w:pPr>
        <w:pStyle w:val="Compact"/>
        <w:widowControl/>
        <w:numPr>
          <w:ilvl w:val="0"/>
          <w:numId w:val="1015"/>
        </w:numPr>
        <w:spacing w:after="30" w:line="245" w:lineRule="auto"/>
      </w:pPr>
      <w:r>
        <w:rPr>
          <w:rFonts w:ascii="Noto Serif" w:hAnsi="Noto Serif" w:eastAsia="Noto Serif"/>
          <w:sz w:val="18"/>
        </w:rPr>
        <w:t xml:space="preserve">two members appointed by the Speaker and minority leader of the House, one each;</w:t>
      </w:r>
    </w:p>
    <w:p>
      <w:pPr>
        <w:pStyle w:val="Compact"/>
        <w:widowControl/>
        <w:numPr>
          <w:ilvl w:val="0"/>
          <w:numId w:val="1015"/>
        </w:numPr>
        <w:spacing w:after="30" w:line="245" w:lineRule="auto"/>
      </w:pPr>
      <w:r>
        <w:rPr>
          <w:rFonts w:ascii="Noto Serif" w:hAnsi="Noto Serif" w:eastAsia="Noto Serif"/>
          <w:sz w:val="18"/>
        </w:rPr>
        <w:t xml:space="preserve">two members appointed by the majority and minority leaders of the Senate, one each.</w:t>
      </w:r>
    </w:p>
    <w:p>
      <w:pPr>
        <w:widowControl/>
        <w:numPr>
          <w:ilvl w:val="0"/>
          <w:numId w:val="1016"/>
        </w:numPr>
        <w:spacing w:after="30" w:line="245" w:lineRule="auto"/>
      </w:pPr>
      <w:r>
        <w:rPr>
          <w:rFonts w:ascii="Noto Serif" w:hAnsi="Noto Serif" w:eastAsia="Noto Serif"/>
          <w:sz w:val="18"/>
        </w:rPr>
        <w:t xml:space="preserve">Appointed members shall have demonstrated expertise in administrative law, civil rights, economics, public administration, science, privacy, environmental protection, foreign affairs, or fiscal oversight, and may not have served as a registered lobbyist or foreign agent during the preceding 3 years.</w:t>
      </w:r>
    </w:p>
    <w:p>
      <w:pPr>
        <w:widowControl/>
        <w:numPr>
          <w:ilvl w:val="0"/>
          <w:numId w:val="1016"/>
        </w:numPr>
        <w:spacing w:after="30" w:line="245" w:lineRule="auto"/>
      </w:pPr>
      <w:r>
        <w:rPr>
          <w:rFonts w:ascii="Noto Serif" w:hAnsi="Noto Serif" w:eastAsia="Noto Serif"/>
          <w:sz w:val="18"/>
        </w:rPr>
        <w:t xml:space="preserve">Terms are 6 years, staggered. Members may be removed only for neglect of duty, malfeasance, incapacity, or substantial violation of ethics rules.</w:t>
      </w:r>
    </w:p>
    <w:p>
      <w:pPr>
        <w:widowControl/>
        <w:numPr>
          <w:ilvl w:val="0"/>
          <w:numId w:val="1016"/>
        </w:numPr>
        <w:spacing w:after="30" w:line="245" w:lineRule="auto"/>
      </w:pPr>
      <w:r>
        <w:rPr>
          <w:rFonts w:ascii="Noto Serif" w:hAnsi="Noto Serif" w:eastAsia="Noto Serif"/>
          <w:sz w:val="18"/>
        </w:rPr>
        <w:t xml:space="preserve">The Council shall maintain an Office of General Counsel, Office of Science and Evidence, Office of Civil Rights Review, Office of Fiscal and Program Integrity, Office of Public Participation, and Office of State and Tribal Affairs.</w:t>
      </w:r>
    </w:p>
    <w:bookmarkEnd w:id="42"/>
    <w:bookmarkStart w:id="43" w:name="sec.-203.-government-wide-inventory."/>
    <w:p>
      <w:pPr>
        <w:pStyle w:val="Heading2"/>
        <w:keepNext/>
        <w:spacing w:before="160" w:after="60"/>
      </w:pPr>
      <w:r>
        <w:rPr>
          <w:rFonts w:ascii="Inter" w:hAnsi="Inter" w:eastAsia="Inter"/>
          <w:b/>
          <w:color w:val="1F3F5B"/>
          <w:sz w:val="23"/>
        </w:rPr>
        <w:t xml:space="preserve">SEC. 203. GOVERNMENT-WIDE INVENTORY.</w:t>
      </w:r>
    </w:p>
    <w:p>
      <w:pPr>
        <w:widowControl/>
        <w:numPr>
          <w:ilvl w:val="0"/>
          <w:numId w:val="1017"/>
        </w:numPr>
        <w:spacing w:after="30" w:line="245" w:lineRule="auto"/>
      </w:pPr>
      <w:r>
        <w:rPr>
          <w:rFonts w:ascii="Noto Serif" w:hAnsi="Noto Serif" w:eastAsia="Noto Serif"/>
          <w:sz w:val="18"/>
        </w:rPr>
        <w:t xml:space="preserve">Within 30 days after enactment, every agency shall preserve all records concerning actions during the covered periods.</w:t>
      </w:r>
    </w:p>
    <w:p>
      <w:pPr>
        <w:widowControl/>
        <w:numPr>
          <w:ilvl w:val="0"/>
          <w:numId w:val="1017"/>
        </w:numPr>
        <w:spacing w:after="30" w:line="245" w:lineRule="auto"/>
      </w:pPr>
      <w:r>
        <w:rPr>
          <w:rFonts w:ascii="Noto Serif" w:hAnsi="Noto Serif" w:eastAsia="Noto Serif"/>
          <w:sz w:val="18"/>
        </w:rPr>
        <w:t xml:space="preserve">Within 90 days, every agency shall submit a machine-readable inventory of potentially covered rollback actions, including:</w:t>
      </w:r>
    </w:p>
    <w:p>
      <w:pPr>
        <w:pStyle w:val="Compact"/>
        <w:widowControl/>
        <w:numPr>
          <w:ilvl w:val="0"/>
          <w:numId w:val="1018"/>
        </w:numPr>
        <w:spacing w:after="30" w:line="245" w:lineRule="auto"/>
      </w:pPr>
      <w:r>
        <w:rPr>
          <w:rFonts w:ascii="Noto Serif" w:hAnsi="Noto Serif" w:eastAsia="Noto Serif"/>
          <w:sz w:val="18"/>
        </w:rPr>
        <w:t xml:space="preserve">legal authority asserted;</w:t>
      </w:r>
    </w:p>
    <w:p>
      <w:pPr>
        <w:pStyle w:val="Compact"/>
        <w:widowControl/>
        <w:numPr>
          <w:ilvl w:val="0"/>
          <w:numId w:val="1018"/>
        </w:numPr>
        <w:spacing w:after="30" w:line="245" w:lineRule="auto"/>
      </w:pPr>
      <w:r>
        <w:rPr>
          <w:rFonts w:ascii="Noto Serif" w:hAnsi="Noto Serif" w:eastAsia="Noto Serif"/>
          <w:sz w:val="18"/>
        </w:rPr>
        <w:t xml:space="preserve">officials and organizational units responsible;</w:t>
      </w:r>
    </w:p>
    <w:p>
      <w:pPr>
        <w:pStyle w:val="Compact"/>
        <w:widowControl/>
        <w:numPr>
          <w:ilvl w:val="0"/>
          <w:numId w:val="1018"/>
        </w:numPr>
        <w:spacing w:after="30" w:line="245" w:lineRule="auto"/>
      </w:pPr>
      <w:r>
        <w:rPr>
          <w:rFonts w:ascii="Noto Serif" w:hAnsi="Noto Serif" w:eastAsia="Noto Serif"/>
          <w:sz w:val="18"/>
        </w:rPr>
        <w:t xml:space="preserve">affected statutes, rules, programs, employees, grants, contracts, data systems, lands, or international commitments;</w:t>
      </w:r>
    </w:p>
    <w:p>
      <w:pPr>
        <w:pStyle w:val="Compact"/>
        <w:widowControl/>
        <w:numPr>
          <w:ilvl w:val="0"/>
          <w:numId w:val="1018"/>
        </w:numPr>
        <w:spacing w:after="30" w:line="245" w:lineRule="auto"/>
      </w:pPr>
      <w:r>
        <w:rPr>
          <w:rFonts w:ascii="Noto Serif" w:hAnsi="Noto Serif" w:eastAsia="Noto Serif"/>
          <w:sz w:val="18"/>
        </w:rPr>
        <w:t xml:space="preserve">estimated fiscal and operational effect;</w:t>
      </w:r>
    </w:p>
    <w:p>
      <w:pPr>
        <w:pStyle w:val="Compact"/>
        <w:widowControl/>
        <w:numPr>
          <w:ilvl w:val="0"/>
          <w:numId w:val="1018"/>
        </w:numPr>
        <w:spacing w:after="30" w:line="245" w:lineRule="auto"/>
      </w:pPr>
      <w:r>
        <w:rPr>
          <w:rFonts w:ascii="Noto Serif" w:hAnsi="Noto Serif" w:eastAsia="Noto Serif"/>
          <w:sz w:val="18"/>
        </w:rPr>
        <w:t xml:space="preserve">known litigation and compliance status;</w:t>
      </w:r>
    </w:p>
    <w:p>
      <w:pPr>
        <w:pStyle w:val="Compact"/>
        <w:widowControl/>
        <w:numPr>
          <w:ilvl w:val="0"/>
          <w:numId w:val="1018"/>
        </w:numPr>
        <w:spacing w:after="30" w:line="245" w:lineRule="auto"/>
      </w:pPr>
      <w:r>
        <w:rPr>
          <w:rFonts w:ascii="Noto Serif" w:hAnsi="Noto Serif" w:eastAsia="Noto Serif"/>
          <w:sz w:val="18"/>
        </w:rPr>
        <w:t xml:space="preserve">affected populations and geographic areas;</w:t>
      </w:r>
    </w:p>
    <w:p>
      <w:pPr>
        <w:pStyle w:val="Compact"/>
        <w:widowControl/>
        <w:numPr>
          <w:ilvl w:val="0"/>
          <w:numId w:val="1018"/>
        </w:numPr>
        <w:spacing w:after="30" w:line="245" w:lineRule="auto"/>
      </w:pPr>
      <w:r>
        <w:rPr>
          <w:rFonts w:ascii="Noto Serif" w:hAnsi="Noto Serif" w:eastAsia="Noto Serif"/>
          <w:sz w:val="18"/>
        </w:rPr>
        <w:t xml:space="preserve">reliance interests and vested rights; and</w:t>
      </w:r>
    </w:p>
    <w:p>
      <w:pPr>
        <w:pStyle w:val="Compact"/>
        <w:widowControl/>
        <w:numPr>
          <w:ilvl w:val="0"/>
          <w:numId w:val="1018"/>
        </w:numPr>
        <w:spacing w:after="30" w:line="245" w:lineRule="auto"/>
      </w:pPr>
      <w:r>
        <w:rPr>
          <w:rFonts w:ascii="Noto Serif" w:hAnsi="Noto Serif" w:eastAsia="Noto Serif"/>
          <w:sz w:val="18"/>
        </w:rPr>
        <w:t xml:space="preserve">recommended restoration action.</w:t>
      </w:r>
    </w:p>
    <w:p>
      <w:pPr>
        <w:widowControl/>
        <w:numPr>
          <w:ilvl w:val="0"/>
          <w:numId w:val="1019"/>
        </w:numPr>
        <w:spacing w:after="30" w:line="245" w:lineRule="auto"/>
      </w:pPr>
      <w:r>
        <w:rPr>
          <w:rFonts w:ascii="Noto Serif" w:hAnsi="Noto Serif" w:eastAsia="Noto Serif"/>
          <w:sz w:val="18"/>
        </w:rPr>
        <w:t xml:space="preserve">Failure to list an action does not immunize it from review.</w:t>
      </w:r>
    </w:p>
    <w:p>
      <w:pPr>
        <w:widowControl/>
        <w:numPr>
          <w:ilvl w:val="0"/>
          <w:numId w:val="1019"/>
        </w:numPr>
        <w:spacing w:after="30" w:line="245" w:lineRule="auto"/>
      </w:pPr>
      <w:r>
        <w:rPr>
          <w:rFonts w:ascii="Noto Serif" w:hAnsi="Noto Serif" w:eastAsia="Noto Serif"/>
          <w:sz w:val="18"/>
        </w:rPr>
        <w:t xml:space="preserve">Inspectors general, the Government Accountability Office, States, Tribes, local governments, affected persons, unions, grantees, contractors, and the public may nominate actions for review.</w:t>
      </w:r>
    </w:p>
    <w:bookmarkEnd w:id="43"/>
    <w:bookmarkStart w:id="44" w:name="sec.-204.-temporary-preservation-orders."/>
    <w:p>
      <w:pPr>
        <w:pStyle w:val="Heading2"/>
        <w:keepNext/>
        <w:spacing w:before="160" w:after="60"/>
      </w:pPr>
      <w:r>
        <w:rPr>
          <w:rFonts w:ascii="Inter" w:hAnsi="Inter" w:eastAsia="Inter"/>
          <w:b/>
          <w:color w:val="1F3F5B"/>
          <w:sz w:val="23"/>
        </w:rPr>
        <w:t xml:space="preserve">SEC. 204. TEMPORARY PRESERVATION ORDERS.</w:t>
      </w:r>
    </w:p>
    <w:p>
      <w:pPr>
        <w:widowControl/>
        <w:numPr>
          <w:ilvl w:val="0"/>
          <w:numId w:val="1020"/>
        </w:numPr>
        <w:spacing w:after="30" w:line="245" w:lineRule="auto"/>
      </w:pPr>
      <w:r>
        <w:rPr>
          <w:rFonts w:ascii="Noto Serif" w:hAnsi="Noto Serif" w:eastAsia="Noto Serif"/>
          <w:sz w:val="18"/>
        </w:rPr>
        <w:t xml:space="preserve">The Council may issue a temporary preservation order for not more than 180 days where continuation of an action presents a substantial risk of irreversible harm, destruction of evidence, dissipation of public assets, loss of life, unlawful disclosure of data, or inability to restore a program.</w:t>
      </w:r>
    </w:p>
    <w:p>
      <w:pPr>
        <w:widowControl/>
        <w:numPr>
          <w:ilvl w:val="0"/>
          <w:numId w:val="1020"/>
        </w:numPr>
        <w:spacing w:after="30" w:line="245" w:lineRule="auto"/>
      </w:pPr>
      <w:r>
        <w:rPr>
          <w:rFonts w:ascii="Noto Serif" w:hAnsi="Noto Serif" w:eastAsia="Noto Serif"/>
          <w:sz w:val="18"/>
        </w:rPr>
        <w:t xml:space="preserve">An order may pause implementation, preserve funds, prevent record destruction, suspend new leases or dispositions, or require temporary continuation of a grant or service.</w:t>
      </w:r>
    </w:p>
    <w:p>
      <w:pPr>
        <w:widowControl/>
        <w:numPr>
          <w:ilvl w:val="0"/>
          <w:numId w:val="1020"/>
        </w:numPr>
        <w:spacing w:after="30" w:line="245" w:lineRule="auto"/>
      </w:pPr>
      <w:r>
        <w:rPr>
          <w:rFonts w:ascii="Noto Serif" w:hAnsi="Noto Serif" w:eastAsia="Noto Serif"/>
          <w:sz w:val="18"/>
        </w:rPr>
        <w:t xml:space="preserve">Before issuance, the Council shall obtain a written legal opinion from its General Counsel. Emergency orders may issue without prior hearing but must receive a hearing within 14 days.</w:t>
      </w:r>
    </w:p>
    <w:p>
      <w:pPr>
        <w:widowControl/>
        <w:numPr>
          <w:ilvl w:val="0"/>
          <w:numId w:val="1020"/>
        </w:numPr>
        <w:spacing w:after="30" w:line="245" w:lineRule="auto"/>
      </w:pPr>
      <w:r>
        <w:rPr>
          <w:rFonts w:ascii="Noto Serif" w:hAnsi="Noto Serif" w:eastAsia="Noto Serif"/>
          <w:sz w:val="18"/>
        </w:rPr>
        <w:t xml:space="preserve">An affected person may seek expedited judicial review.</w:t>
      </w:r>
    </w:p>
    <w:bookmarkEnd w:id="44"/>
    <w:bookmarkStart w:id="45" w:name="sec.-205.-review-standards."/>
    <w:p>
      <w:pPr>
        <w:pStyle w:val="Heading2"/>
        <w:keepNext/>
        <w:spacing w:before="160" w:after="60"/>
      </w:pPr>
      <w:r>
        <w:rPr>
          <w:rFonts w:ascii="Inter" w:hAnsi="Inter" w:eastAsia="Inter"/>
          <w:b/>
          <w:color w:val="1F3F5B"/>
          <w:sz w:val="23"/>
        </w:rPr>
        <w:t xml:space="preserve">SEC. 205. REVIEW STANDARDS.</w:t>
      </w:r>
    </w:p>
    <w:p>
      <w:pPr>
        <w:pStyle w:val="FirstParagraph"/>
        <w:widowControl/>
        <w:spacing w:after="60" w:line="250" w:lineRule="auto"/>
      </w:pPr>
      <w:r>
        <w:rPr>
          <w:rFonts w:ascii="Noto Serif" w:hAnsi="Noto Serif" w:eastAsia="Noto Serif"/>
          <w:sz w:val="19"/>
        </w:rPr>
        <w:t xml:space="preserve">The Council shall evaluate each action under:</w:t>
      </w:r>
    </w:p>
    <w:p>
      <w:pPr>
        <w:pStyle w:val="Compact"/>
        <w:widowControl/>
        <w:numPr>
          <w:ilvl w:val="0"/>
          <w:numId w:val="1021"/>
        </w:numPr>
        <w:spacing w:after="30" w:line="245" w:lineRule="auto"/>
      </w:pPr>
      <w:r>
        <w:rPr>
          <w:rFonts w:ascii="Noto Serif" w:hAnsi="Noto Serif" w:eastAsia="Noto Serif"/>
          <w:sz w:val="18"/>
        </w:rPr>
        <w:t xml:space="preserve">statutory and constitutional authority;</w:t>
      </w:r>
    </w:p>
    <w:p>
      <w:pPr>
        <w:pStyle w:val="Compact"/>
        <w:widowControl/>
        <w:numPr>
          <w:ilvl w:val="0"/>
          <w:numId w:val="1021"/>
        </w:numPr>
        <w:spacing w:after="30" w:line="245" w:lineRule="auto"/>
      </w:pPr>
      <w:r>
        <w:rPr>
          <w:rFonts w:ascii="Noto Serif" w:hAnsi="Noto Serif" w:eastAsia="Noto Serif"/>
          <w:sz w:val="18"/>
        </w:rPr>
        <w:t xml:space="preserve">compliance with the Administrative Procedure Act and other procedural law;</w:t>
      </w:r>
    </w:p>
    <w:p>
      <w:pPr>
        <w:pStyle w:val="Compact"/>
        <w:widowControl/>
        <w:numPr>
          <w:ilvl w:val="0"/>
          <w:numId w:val="1021"/>
        </w:numPr>
        <w:spacing w:after="30" w:line="245" w:lineRule="auto"/>
      </w:pPr>
      <w:r>
        <w:rPr>
          <w:rFonts w:ascii="Noto Serif" w:hAnsi="Noto Serif" w:eastAsia="Noto Serif"/>
          <w:sz w:val="18"/>
        </w:rPr>
        <w:t xml:space="preserve">fidelity to appropriations and congressional purpose;</w:t>
      </w:r>
    </w:p>
    <w:p>
      <w:pPr>
        <w:pStyle w:val="Compact"/>
        <w:widowControl/>
        <w:numPr>
          <w:ilvl w:val="0"/>
          <w:numId w:val="1021"/>
        </w:numPr>
        <w:spacing w:after="30" w:line="245" w:lineRule="auto"/>
      </w:pPr>
      <w:r>
        <w:rPr>
          <w:rFonts w:ascii="Noto Serif" w:hAnsi="Noto Serif" w:eastAsia="Noto Serif"/>
          <w:sz w:val="18"/>
        </w:rPr>
        <w:t xml:space="preserve">quality and transparency of evidence;</w:t>
      </w:r>
    </w:p>
    <w:p>
      <w:pPr>
        <w:pStyle w:val="Compact"/>
        <w:widowControl/>
        <w:numPr>
          <w:ilvl w:val="0"/>
          <w:numId w:val="1021"/>
        </w:numPr>
        <w:spacing w:after="30" w:line="245" w:lineRule="auto"/>
      </w:pPr>
      <w:r>
        <w:rPr>
          <w:rFonts w:ascii="Noto Serif" w:hAnsi="Noto Serif" w:eastAsia="Noto Serif"/>
          <w:sz w:val="18"/>
        </w:rPr>
        <w:t xml:space="preserve">distributional effects and burdens on protected or vulnerable populations;</w:t>
      </w:r>
    </w:p>
    <w:p>
      <w:pPr>
        <w:pStyle w:val="Compact"/>
        <w:widowControl/>
        <w:numPr>
          <w:ilvl w:val="0"/>
          <w:numId w:val="1021"/>
        </w:numPr>
        <w:spacing w:after="30" w:line="245" w:lineRule="auto"/>
      </w:pPr>
      <w:r>
        <w:rPr>
          <w:rFonts w:ascii="Noto Serif" w:hAnsi="Noto Serif" w:eastAsia="Noto Serif"/>
          <w:sz w:val="18"/>
        </w:rPr>
        <w:t xml:space="preserve">effects on life, health, environment, national security, public services, competition, and fiscal sustainability;</w:t>
      </w:r>
    </w:p>
    <w:p>
      <w:pPr>
        <w:pStyle w:val="Compact"/>
        <w:widowControl/>
        <w:numPr>
          <w:ilvl w:val="0"/>
          <w:numId w:val="1021"/>
        </w:numPr>
        <w:spacing w:after="30" w:line="245" w:lineRule="auto"/>
      </w:pPr>
      <w:r>
        <w:rPr>
          <w:rFonts w:ascii="Noto Serif" w:hAnsi="Noto Serif" w:eastAsia="Noto Serif"/>
          <w:sz w:val="18"/>
        </w:rPr>
        <w:t xml:space="preserve">reasonable reliance interests;</w:t>
      </w:r>
    </w:p>
    <w:p>
      <w:pPr>
        <w:pStyle w:val="Compact"/>
        <w:widowControl/>
        <w:numPr>
          <w:ilvl w:val="0"/>
          <w:numId w:val="1021"/>
        </w:numPr>
        <w:spacing w:after="30" w:line="245" w:lineRule="auto"/>
      </w:pPr>
      <w:r>
        <w:rPr>
          <w:rFonts w:ascii="Noto Serif" w:hAnsi="Noto Serif" w:eastAsia="Noto Serif"/>
          <w:sz w:val="18"/>
        </w:rPr>
        <w:t xml:space="preserve">availability of less harmful alternatives;</w:t>
      </w:r>
    </w:p>
    <w:p>
      <w:pPr>
        <w:pStyle w:val="Compact"/>
        <w:widowControl/>
        <w:numPr>
          <w:ilvl w:val="0"/>
          <w:numId w:val="1021"/>
        </w:numPr>
        <w:spacing w:after="30" w:line="245" w:lineRule="auto"/>
      </w:pPr>
      <w:r>
        <w:rPr>
          <w:rFonts w:ascii="Noto Serif" w:hAnsi="Noto Serif" w:eastAsia="Noto Serif"/>
          <w:sz w:val="18"/>
        </w:rPr>
        <w:t xml:space="preserve">administrative feasibility and restoration cost; and</w:t>
      </w:r>
    </w:p>
    <w:p>
      <w:pPr>
        <w:pStyle w:val="Compact"/>
        <w:widowControl/>
        <w:numPr>
          <w:ilvl w:val="0"/>
          <w:numId w:val="1021"/>
        </w:numPr>
        <w:spacing w:after="30" w:line="245" w:lineRule="auto"/>
      </w:pPr>
      <w:r>
        <w:rPr>
          <w:rFonts w:ascii="Noto Serif" w:hAnsi="Noto Serif" w:eastAsia="Noto Serif"/>
          <w:sz w:val="18"/>
        </w:rPr>
        <w:t xml:space="preserve">consistency with project companion Acts.</w:t>
      </w:r>
    </w:p>
    <w:bookmarkEnd w:id="45"/>
    <w:bookmarkStart w:id="46" w:name="sec.-206.-classifications."/>
    <w:p>
      <w:pPr>
        <w:pStyle w:val="Heading2"/>
        <w:keepNext/>
        <w:spacing w:before="160" w:after="60"/>
      </w:pPr>
      <w:r>
        <w:rPr>
          <w:rFonts w:ascii="Inter" w:hAnsi="Inter" w:eastAsia="Inter"/>
          <w:b/>
          <w:color w:val="1F3F5B"/>
          <w:sz w:val="23"/>
        </w:rPr>
        <w:t xml:space="preserve">SEC. 206. CLASSIFICATIONS.</w:t>
      </w:r>
    </w:p>
    <w:p>
      <w:pPr>
        <w:pStyle w:val="FirstParagraph"/>
        <w:widowControl/>
        <w:spacing w:after="60" w:line="250" w:lineRule="auto"/>
      </w:pPr>
      <w:r>
        <w:rPr>
          <w:rFonts w:ascii="Noto Serif" w:hAnsi="Noto Serif" w:eastAsia="Noto Serif"/>
          <w:sz w:val="19"/>
        </w:rPr>
        <w:t xml:space="preserve">Following notice and opportunity for comment, the Council shall classify an action as:</w:t>
      </w:r>
    </w:p>
    <w:p>
      <w:pPr>
        <w:pStyle w:val="Compact"/>
        <w:widowControl/>
        <w:numPr>
          <w:ilvl w:val="0"/>
          <w:numId w:val="1022"/>
        </w:numPr>
        <w:spacing w:after="30" w:line="245" w:lineRule="auto"/>
      </w:pPr>
      <w:r>
        <w:rPr>
          <w:rFonts w:ascii="Noto Serif" w:hAnsi="Noto Serif" w:eastAsia="Noto Serif"/>
          <w:b/>
          <w:bCs/>
          <w:sz w:val="18"/>
        </w:rPr>
        <w:t xml:space="preserve">Void or ultra vires</w:t>
      </w:r>
      <w:r>
        <w:rPr>
          <w:rFonts w:ascii="Noto Serif" w:hAnsi="Noto Serif" w:eastAsia="Noto Serif"/>
          <w:sz w:val="18"/>
        </w:rPr>
        <w:t xml:space="preserve">, requiring immediate cessation and referral for corrective action;</w:t>
      </w:r>
    </w:p>
    <w:p>
      <w:pPr>
        <w:pStyle w:val="Compact"/>
        <w:widowControl/>
        <w:numPr>
          <w:ilvl w:val="0"/>
          <w:numId w:val="1022"/>
        </w:numPr>
        <w:spacing w:after="30" w:line="245" w:lineRule="auto"/>
      </w:pPr>
      <w:r>
        <w:rPr>
          <w:rFonts w:ascii="Noto Serif" w:hAnsi="Noto Serif" w:eastAsia="Noto Serif"/>
          <w:b/>
          <w:bCs/>
          <w:sz w:val="18"/>
        </w:rPr>
        <w:t xml:space="preserve">Presumptively rescinded</w:t>
      </w:r>
      <w:r>
        <w:rPr>
          <w:rFonts w:ascii="Noto Serif" w:hAnsi="Noto Serif" w:eastAsia="Noto Serif"/>
          <w:sz w:val="18"/>
        </w:rPr>
        <w:t xml:space="preserve">, requiring the responsible agency to restore the prior lawful baseline unless it completes replacement rulemaking within 270 days;</w:t>
      </w:r>
    </w:p>
    <w:p>
      <w:pPr>
        <w:pStyle w:val="Compact"/>
        <w:widowControl/>
        <w:numPr>
          <w:ilvl w:val="0"/>
          <w:numId w:val="1022"/>
        </w:numPr>
        <w:spacing w:after="30" w:line="245" w:lineRule="auto"/>
      </w:pPr>
      <w:r>
        <w:rPr>
          <w:rFonts w:ascii="Noto Serif" w:hAnsi="Noto Serif" w:eastAsia="Noto Serif"/>
          <w:b/>
          <w:bCs/>
          <w:sz w:val="18"/>
        </w:rPr>
        <w:t xml:space="preserve">Remediable</w:t>
      </w:r>
      <w:r>
        <w:rPr>
          <w:rFonts w:ascii="Noto Serif" w:hAnsi="Noto Serif" w:eastAsia="Noto Serif"/>
          <w:sz w:val="18"/>
        </w:rPr>
        <w:t xml:space="preserve">, requiring specified corrective steps, compensation, safeguards, or renewed review;</w:t>
      </w:r>
    </w:p>
    <w:p>
      <w:pPr>
        <w:pStyle w:val="Compact"/>
        <w:widowControl/>
        <w:numPr>
          <w:ilvl w:val="0"/>
          <w:numId w:val="1022"/>
        </w:numPr>
        <w:spacing w:after="30" w:line="245" w:lineRule="auto"/>
      </w:pPr>
      <w:r>
        <w:rPr>
          <w:rFonts w:ascii="Noto Serif" w:hAnsi="Noto Serif" w:eastAsia="Noto Serif"/>
          <w:b/>
          <w:bCs/>
          <w:sz w:val="18"/>
        </w:rPr>
        <w:t xml:space="preserve">Lawful but superseded</w:t>
      </w:r>
      <w:r>
        <w:rPr>
          <w:rFonts w:ascii="Noto Serif" w:hAnsi="Noto Serif" w:eastAsia="Noto Serif"/>
          <w:sz w:val="18"/>
        </w:rPr>
        <w:t xml:space="preserve">, meaning Congress has established a different prospective rule in this Act;</w:t>
      </w:r>
    </w:p>
    <w:p>
      <w:pPr>
        <w:pStyle w:val="Compact"/>
        <w:widowControl/>
        <w:numPr>
          <w:ilvl w:val="0"/>
          <w:numId w:val="1022"/>
        </w:numPr>
        <w:spacing w:after="30" w:line="245" w:lineRule="auto"/>
      </w:pPr>
      <w:r>
        <w:rPr>
          <w:rFonts w:ascii="Noto Serif" w:hAnsi="Noto Serif" w:eastAsia="Noto Serif"/>
          <w:b/>
          <w:bCs/>
          <w:sz w:val="18"/>
        </w:rPr>
        <w:t xml:space="preserve">Lawful and retained</w:t>
      </w:r>
      <w:r>
        <w:rPr>
          <w:rFonts w:ascii="Noto Serif" w:hAnsi="Noto Serif" w:eastAsia="Noto Serif"/>
          <w:sz w:val="18"/>
        </w:rPr>
        <w:t xml:space="preserve">, supported by substantial evidence and consistent with this Act; or</w:t>
      </w:r>
    </w:p>
    <w:p>
      <w:pPr>
        <w:pStyle w:val="Compact"/>
        <w:widowControl/>
        <w:numPr>
          <w:ilvl w:val="0"/>
          <w:numId w:val="1022"/>
        </w:numPr>
        <w:spacing w:after="30" w:line="245" w:lineRule="auto"/>
      </w:pPr>
      <w:r>
        <w:rPr>
          <w:rFonts w:ascii="Noto Serif" w:hAnsi="Noto Serif" w:eastAsia="Noto Serif"/>
          <w:b/>
          <w:bCs/>
          <w:sz w:val="18"/>
        </w:rPr>
        <w:t xml:space="preserve">Unresolved</w:t>
      </w:r>
      <w:r>
        <w:rPr>
          <w:rFonts w:ascii="Noto Serif" w:hAnsi="Noto Serif" w:eastAsia="Noto Serif"/>
          <w:sz w:val="18"/>
        </w:rPr>
        <w:t xml:space="preserve">, requiring further record development.</w:t>
      </w:r>
    </w:p>
    <w:bookmarkEnd w:id="46"/>
    <w:bookmarkStart w:id="47" w:name="X3444cec78bd88e6a41595d07c7c9e8de420cb25"/>
    <w:p>
      <w:pPr>
        <w:pStyle w:val="Heading2"/>
        <w:keepNext/>
        <w:spacing w:before="160" w:after="60"/>
      </w:pPr>
      <w:r>
        <w:rPr>
          <w:rFonts w:ascii="Inter" w:hAnsi="Inter" w:eastAsia="Inter"/>
          <w:b/>
          <w:color w:val="1F3F5B"/>
          <w:sz w:val="23"/>
        </w:rPr>
        <w:t xml:space="preserve">SEC. 207. RESTORATION ORDERS AND AGENCY DUTIES.</w:t>
      </w:r>
    </w:p>
    <w:p>
      <w:pPr>
        <w:widowControl/>
        <w:numPr>
          <w:ilvl w:val="0"/>
          <w:numId w:val="1023"/>
        </w:numPr>
        <w:spacing w:after="30" w:line="245" w:lineRule="auto"/>
      </w:pPr>
      <w:r>
        <w:rPr>
          <w:rFonts w:ascii="Noto Serif" w:hAnsi="Noto Serif" w:eastAsia="Noto Serif"/>
          <w:sz w:val="18"/>
        </w:rPr>
        <w:t xml:space="preserve">Within 30 days after a final classification, the responsible agency shall publish a restoration plan with deadlines, responsible officials, budget needs, legal instruments, workforce needs, and measurable outcomes.</w:t>
      </w:r>
    </w:p>
    <w:p>
      <w:pPr>
        <w:widowControl/>
        <w:numPr>
          <w:ilvl w:val="0"/>
          <w:numId w:val="1023"/>
        </w:numPr>
        <w:spacing w:after="30" w:line="245" w:lineRule="auto"/>
      </w:pPr>
      <w:r>
        <w:rPr>
          <w:rFonts w:ascii="Noto Serif" w:hAnsi="Noto Serif" w:eastAsia="Noto Serif"/>
          <w:sz w:val="18"/>
        </w:rPr>
        <w:t xml:space="preserve">A restoration order may require:</w:t>
      </w:r>
    </w:p>
    <w:p>
      <w:pPr>
        <w:pStyle w:val="Compact"/>
        <w:widowControl/>
        <w:numPr>
          <w:ilvl w:val="0"/>
          <w:numId w:val="1024"/>
        </w:numPr>
        <w:spacing w:after="30" w:line="245" w:lineRule="auto"/>
      </w:pPr>
      <w:r>
        <w:rPr>
          <w:rFonts w:ascii="Noto Serif" w:hAnsi="Noto Serif" w:eastAsia="Noto Serif"/>
          <w:sz w:val="18"/>
        </w:rPr>
        <w:t xml:space="preserve">reinstatement or reissuance of a rule, guidance, grant, contract, designation, program, advisory committee, scientific report, or international activity;</w:t>
      </w:r>
    </w:p>
    <w:p>
      <w:pPr>
        <w:pStyle w:val="Compact"/>
        <w:widowControl/>
        <w:numPr>
          <w:ilvl w:val="0"/>
          <w:numId w:val="1024"/>
        </w:numPr>
        <w:spacing w:after="30" w:line="245" w:lineRule="auto"/>
      </w:pPr>
      <w:r>
        <w:rPr>
          <w:rFonts w:ascii="Noto Serif" w:hAnsi="Noto Serif" w:eastAsia="Noto Serif"/>
          <w:sz w:val="18"/>
        </w:rPr>
        <w:t xml:space="preserve">lawful rehiring, priority reemployment, or compensation;</w:t>
      </w:r>
    </w:p>
    <w:p>
      <w:pPr>
        <w:pStyle w:val="Compact"/>
        <w:widowControl/>
        <w:numPr>
          <w:ilvl w:val="0"/>
          <w:numId w:val="1024"/>
        </w:numPr>
        <w:spacing w:after="30" w:line="245" w:lineRule="auto"/>
      </w:pPr>
      <w:r>
        <w:rPr>
          <w:rFonts w:ascii="Noto Serif" w:hAnsi="Noto Serif" w:eastAsia="Noto Serif"/>
          <w:sz w:val="18"/>
        </w:rPr>
        <w:t xml:space="preserve">new notice-and-comment rulemaking;</w:t>
      </w:r>
    </w:p>
    <w:p>
      <w:pPr>
        <w:pStyle w:val="Compact"/>
        <w:widowControl/>
        <w:numPr>
          <w:ilvl w:val="0"/>
          <w:numId w:val="1024"/>
        </w:numPr>
        <w:spacing w:after="30" w:line="245" w:lineRule="auto"/>
      </w:pPr>
      <w:r>
        <w:rPr>
          <w:rFonts w:ascii="Noto Serif" w:hAnsi="Noto Serif" w:eastAsia="Noto Serif"/>
          <w:sz w:val="18"/>
        </w:rPr>
        <w:t xml:space="preserve">reopening of applications, claims, permits, benefits, or enforcement matters;</w:t>
      </w:r>
    </w:p>
    <w:p>
      <w:pPr>
        <w:pStyle w:val="Compact"/>
        <w:widowControl/>
        <w:numPr>
          <w:ilvl w:val="0"/>
          <w:numId w:val="1024"/>
        </w:numPr>
        <w:spacing w:after="30" w:line="245" w:lineRule="auto"/>
      </w:pPr>
      <w:r>
        <w:rPr>
          <w:rFonts w:ascii="Noto Serif" w:hAnsi="Noto Serif" w:eastAsia="Noto Serif"/>
          <w:sz w:val="18"/>
        </w:rPr>
        <w:t xml:space="preserve">environmental or community remediation;</w:t>
      </w:r>
    </w:p>
    <w:p>
      <w:pPr>
        <w:pStyle w:val="Compact"/>
        <w:widowControl/>
        <w:numPr>
          <w:ilvl w:val="0"/>
          <w:numId w:val="1024"/>
        </w:numPr>
        <w:spacing w:after="30" w:line="245" w:lineRule="auto"/>
      </w:pPr>
      <w:r>
        <w:rPr>
          <w:rFonts w:ascii="Noto Serif" w:hAnsi="Noto Serif" w:eastAsia="Noto Serif"/>
          <w:sz w:val="18"/>
        </w:rPr>
        <w:t xml:space="preserve">deletion, segregation, or return of unlawfully obtained data;</w:t>
      </w:r>
    </w:p>
    <w:p>
      <w:pPr>
        <w:pStyle w:val="Compact"/>
        <w:widowControl/>
        <w:numPr>
          <w:ilvl w:val="0"/>
          <w:numId w:val="1024"/>
        </w:numPr>
        <w:spacing w:after="30" w:line="245" w:lineRule="auto"/>
      </w:pPr>
      <w:r>
        <w:rPr>
          <w:rFonts w:ascii="Noto Serif" w:hAnsi="Noto Serif" w:eastAsia="Noto Serif"/>
          <w:sz w:val="18"/>
        </w:rPr>
        <w:t xml:space="preserve">repayment or reobligation of funds;</w:t>
      </w:r>
    </w:p>
    <w:p>
      <w:pPr>
        <w:pStyle w:val="Compact"/>
        <w:widowControl/>
        <w:numPr>
          <w:ilvl w:val="0"/>
          <w:numId w:val="1024"/>
        </w:numPr>
        <w:spacing w:after="30" w:line="245" w:lineRule="auto"/>
      </w:pPr>
      <w:r>
        <w:rPr>
          <w:rFonts w:ascii="Noto Serif" w:hAnsi="Noto Serif" w:eastAsia="Noto Serif"/>
          <w:sz w:val="18"/>
        </w:rPr>
        <w:t xml:space="preserve">restitution to affected persons; and</w:t>
      </w:r>
    </w:p>
    <w:p>
      <w:pPr>
        <w:pStyle w:val="Compact"/>
        <w:widowControl/>
        <w:numPr>
          <w:ilvl w:val="0"/>
          <w:numId w:val="1024"/>
        </w:numPr>
        <w:spacing w:after="30" w:line="245" w:lineRule="auto"/>
      </w:pPr>
      <w:r>
        <w:rPr>
          <w:rFonts w:ascii="Noto Serif" w:hAnsi="Noto Serif" w:eastAsia="Noto Serif"/>
          <w:sz w:val="18"/>
        </w:rPr>
        <w:t xml:space="preserve">referral to an inspector general, the Office of Special Counsel, the Department of Justice, or Congress.</w:t>
      </w:r>
    </w:p>
    <w:p>
      <w:pPr>
        <w:pStyle w:val="Compact"/>
        <w:widowControl/>
        <w:numPr>
          <w:ilvl w:val="0"/>
          <w:numId w:val="1025"/>
        </w:numPr>
        <w:spacing w:after="30" w:line="245" w:lineRule="auto"/>
      </w:pPr>
      <w:r>
        <w:rPr>
          <w:rFonts w:ascii="Noto Serif" w:hAnsi="Noto Serif" w:eastAsia="Noto Serif"/>
          <w:sz w:val="18"/>
        </w:rPr>
        <w:t xml:space="preserve">An agency may propose an equivalent or stronger alternative. The Council may approve the alternative only by written findings.</w:t>
      </w:r>
    </w:p>
    <w:bookmarkEnd w:id="47"/>
    <w:bookmarkStart w:id="48" w:name="sec.-208.-emergency-waivers."/>
    <w:p>
      <w:pPr>
        <w:pStyle w:val="Heading2"/>
        <w:keepNext/>
        <w:spacing w:before="160" w:after="60"/>
      </w:pPr>
      <w:r>
        <w:rPr>
          <w:rFonts w:ascii="Inter" w:hAnsi="Inter" w:eastAsia="Inter"/>
          <w:b/>
          <w:color w:val="1F3F5B"/>
          <w:sz w:val="23"/>
        </w:rPr>
        <w:t xml:space="preserve">SEC. 208. EMERGENCY WAIVERS.</w:t>
      </w:r>
    </w:p>
    <w:p>
      <w:pPr>
        <w:widowControl/>
        <w:numPr>
          <w:ilvl w:val="0"/>
          <w:numId w:val="1026"/>
        </w:numPr>
        <w:spacing w:after="30" w:line="245" w:lineRule="auto"/>
      </w:pPr>
      <w:r>
        <w:rPr>
          <w:rFonts w:ascii="Noto Serif" w:hAnsi="Noto Serif" w:eastAsia="Noto Serif"/>
          <w:sz w:val="18"/>
        </w:rPr>
        <w:t xml:space="preserve">An agency head may request a temporary waiver where compliance would create an imminent and substantial threat to life, national security, cybersecurity, financial stability, or disaster response.</w:t>
      </w:r>
    </w:p>
    <w:p>
      <w:pPr>
        <w:widowControl/>
        <w:numPr>
          <w:ilvl w:val="0"/>
          <w:numId w:val="1026"/>
        </w:numPr>
        <w:spacing w:after="30" w:line="245" w:lineRule="auto"/>
      </w:pPr>
      <w:r>
        <w:rPr>
          <w:rFonts w:ascii="Noto Serif" w:hAnsi="Noto Serif" w:eastAsia="Noto Serif"/>
          <w:sz w:val="18"/>
        </w:rPr>
        <w:t xml:space="preserve">A waiver must be narrowly tailored, published to the maximum extent possible, and expire after 60 days unless renewed by the Council after public findings.</w:t>
      </w:r>
    </w:p>
    <w:p>
      <w:pPr>
        <w:widowControl/>
        <w:numPr>
          <w:ilvl w:val="0"/>
          <w:numId w:val="1026"/>
        </w:numPr>
        <w:spacing w:after="30" w:line="245" w:lineRule="auto"/>
      </w:pPr>
      <w:r>
        <w:rPr>
          <w:rFonts w:ascii="Noto Serif" w:hAnsi="Noto Serif" w:eastAsia="Noto Serif"/>
          <w:sz w:val="18"/>
        </w:rPr>
        <w:t xml:space="preserve">No waiver may authorize torture, discrimination, suspension of habeas corpus, unlawful surveillance, or expenditure of funds without appropriation.</w:t>
      </w:r>
    </w:p>
    <w:bookmarkEnd w:id="48"/>
    <w:bookmarkStart w:id="49" w:name="sec.-209.-restoration-portal."/>
    <w:p>
      <w:pPr>
        <w:pStyle w:val="Heading2"/>
        <w:keepNext/>
        <w:spacing w:before="160" w:after="60"/>
      </w:pPr>
      <w:r>
        <w:rPr>
          <w:rFonts w:ascii="Inter" w:hAnsi="Inter" w:eastAsia="Inter"/>
          <w:b/>
          <w:color w:val="1F3F5B"/>
          <w:sz w:val="23"/>
        </w:rPr>
        <w:t xml:space="preserve">SEC. 209. RESTORATION PORTAL.</w:t>
      </w:r>
    </w:p>
    <w:p>
      <w:pPr>
        <w:pStyle w:val="FirstParagraph"/>
        <w:widowControl/>
        <w:spacing w:after="60" w:line="250" w:lineRule="auto"/>
      </w:pPr>
      <w:r>
        <w:rPr>
          <w:rFonts w:ascii="Noto Serif" w:hAnsi="Noto Serif" w:eastAsia="Noto Serif"/>
          <w:sz w:val="19"/>
        </w:rPr>
        <w:t xml:space="preserve">The Council shall maintain a searchable, accessible, machine-readable public portal containing the inventory, nominations, evidence summaries, hearing materials, classifications, restoration plans, implementation status, spending, litigation, and outcome measures. Classified and personally identifying information shall be protected, but each withholding shall be logged and periodically reviewed.</w:t>
      </w:r>
    </w:p>
    <w:bookmarkEnd w:id="49"/>
    <w:bookmarkStart w:id="50" w:name="Xc84d105024cd5aeb5e89497ea279c247029bfbe"/>
    <w:p>
      <w:pPr>
        <w:pStyle w:val="Heading2"/>
        <w:keepNext/>
        <w:spacing w:before="160" w:after="60"/>
      </w:pPr>
      <w:r>
        <w:rPr>
          <w:rFonts w:ascii="Inter" w:hAnsi="Inter" w:eastAsia="Inter"/>
          <w:b/>
          <w:color w:val="1F3F5B"/>
          <w:sz w:val="23"/>
        </w:rPr>
        <w:t xml:space="preserve">SEC. 210. PETITIONS BY STATES, TRIBES, LOCAL GOVERNMENTS, AND AFFECTED PERSONS.</w:t>
      </w:r>
    </w:p>
    <w:p>
      <w:pPr>
        <w:widowControl/>
        <w:numPr>
          <w:ilvl w:val="0"/>
          <w:numId w:val="1027"/>
        </w:numPr>
        <w:spacing w:after="30" w:line="245" w:lineRule="auto"/>
      </w:pPr>
      <w:r>
        <w:rPr>
          <w:rFonts w:ascii="Noto Serif" w:hAnsi="Noto Serif" w:eastAsia="Noto Serif"/>
          <w:sz w:val="18"/>
        </w:rPr>
        <w:t xml:space="preserve">A petition demonstrating a plausible covered rollback action shall receive an initial determination within 45 days.</w:t>
      </w:r>
    </w:p>
    <w:p>
      <w:pPr>
        <w:widowControl/>
        <w:numPr>
          <w:ilvl w:val="0"/>
          <w:numId w:val="1027"/>
        </w:numPr>
        <w:spacing w:after="30" w:line="245" w:lineRule="auto"/>
      </w:pPr>
      <w:r>
        <w:rPr>
          <w:rFonts w:ascii="Noto Serif" w:hAnsi="Noto Serif" w:eastAsia="Noto Serif"/>
          <w:sz w:val="18"/>
        </w:rPr>
        <w:t xml:space="preserve">A petition supported by 5 or more States, 10 or more Tribal governments, or 50,000 verified affected persons shall receive priority review and a public hearing, absent a written finding that the petition is duplicative or facially outside the Act.</w:t>
      </w:r>
    </w:p>
    <w:p>
      <w:pPr>
        <w:widowControl/>
        <w:numPr>
          <w:ilvl w:val="0"/>
          <w:numId w:val="1027"/>
        </w:numPr>
        <w:spacing w:after="30" w:line="245" w:lineRule="auto"/>
      </w:pPr>
      <w:r>
        <w:rPr>
          <w:rFonts w:ascii="Noto Serif" w:hAnsi="Noto Serif" w:eastAsia="Noto Serif"/>
          <w:sz w:val="18"/>
        </w:rPr>
        <w:t xml:space="preserve">Retaliation against a petitioner is prohibited.</w:t>
      </w:r>
    </w:p>
    <w:bookmarkEnd w:id="50"/>
    <w:bookmarkStart w:id="51" w:name="sec.-211.-judicial-review."/>
    <w:p>
      <w:pPr>
        <w:pStyle w:val="Heading2"/>
        <w:keepNext/>
        <w:spacing w:before="160" w:after="60"/>
      </w:pPr>
      <w:r>
        <w:rPr>
          <w:rFonts w:ascii="Inter" w:hAnsi="Inter" w:eastAsia="Inter"/>
          <w:b/>
          <w:color w:val="1F3F5B"/>
          <w:sz w:val="23"/>
        </w:rPr>
        <w:t xml:space="preserve">SEC. 211. JUDICIAL REVIEW.</w:t>
      </w:r>
    </w:p>
    <w:p>
      <w:pPr>
        <w:pStyle w:val="FirstParagraph"/>
        <w:widowControl/>
        <w:spacing w:after="60" w:line="250" w:lineRule="auto"/>
      </w:pPr>
      <w:r>
        <w:rPr>
          <w:rFonts w:ascii="Noto Serif" w:hAnsi="Noto Serif" w:eastAsia="Noto Serif"/>
          <w:sz w:val="19"/>
        </w:rPr>
        <w:t xml:space="preserve">A person suffering legal wrong from a final Council order may seek review in the United States Court of Appeals for the District of Columbia Circuit or the circuit where the principal injury occurred. The court shall review legal questions de novo and factual findings for substantial evidence.</w:t>
      </w:r>
    </w:p>
    <w:bookmarkEnd w:id="51"/>
    <w:bookmarkStart w:id="52" w:name="sec.-212.-completion-deadlines."/>
    <w:p>
      <w:pPr>
        <w:pStyle w:val="Heading2"/>
        <w:keepNext/>
        <w:spacing w:before="160" w:after="60"/>
      </w:pPr>
      <w:r>
        <w:rPr>
          <w:rFonts w:ascii="Inter" w:hAnsi="Inter" w:eastAsia="Inter"/>
          <w:b/>
          <w:color w:val="1F3F5B"/>
          <w:sz w:val="23"/>
        </w:rPr>
        <w:t xml:space="preserve">SEC. 212. COMPLETION DEADLINES.</w:t>
      </w:r>
    </w:p>
    <w:p>
      <w:pPr>
        <w:widowControl/>
        <w:numPr>
          <w:ilvl w:val="0"/>
          <w:numId w:val="1028"/>
        </w:numPr>
        <w:spacing w:after="30" w:line="245" w:lineRule="auto"/>
      </w:pPr>
      <w:r>
        <w:rPr>
          <w:rFonts w:ascii="Noto Serif" w:hAnsi="Noto Serif" w:eastAsia="Noto Serif"/>
          <w:sz w:val="18"/>
        </w:rPr>
        <w:t xml:space="preserve">The initial inventory shall be complete within 12 months.</w:t>
      </w:r>
    </w:p>
    <w:p>
      <w:pPr>
        <w:widowControl/>
        <w:numPr>
          <w:ilvl w:val="0"/>
          <w:numId w:val="1028"/>
        </w:numPr>
        <w:spacing w:after="30" w:line="245" w:lineRule="auto"/>
      </w:pPr>
      <w:r>
        <w:rPr>
          <w:rFonts w:ascii="Noto Serif" w:hAnsi="Noto Serif" w:eastAsia="Noto Serif"/>
          <w:sz w:val="18"/>
        </w:rPr>
        <w:t xml:space="preserve">High-risk actions affecting life, voting, civil rights, sensitive data, public lands, appropriated funds, or international humanitarian operations shall be reviewed within 18 months.</w:t>
      </w:r>
    </w:p>
    <w:p>
      <w:pPr>
        <w:widowControl/>
        <w:numPr>
          <w:ilvl w:val="0"/>
          <w:numId w:val="1028"/>
        </w:numPr>
        <w:spacing w:after="30" w:line="245" w:lineRule="auto"/>
      </w:pPr>
      <w:r>
        <w:rPr>
          <w:rFonts w:ascii="Noto Serif" w:hAnsi="Noto Serif" w:eastAsia="Noto Serif"/>
          <w:sz w:val="18"/>
        </w:rPr>
        <w:t xml:space="preserve">All other inventoried actions shall receive a final classification within 36 months, unless Congress extends the deadline for a specified category.</w:t>
      </w:r>
    </w:p>
    <w:bookmarkEnd w:id="52"/>
    <w:bookmarkEnd w:id="53"/>
    <w:bookmarkStart w:id="66" w:name="Xc357a172231fdafe5993792b407e503bdc72a7e"/>
    <w:p>
      <w:pPr>
        <w:pStyle w:val="Heading1"/>
        <w:keepNext/>
        <w:pageBreakBefore/>
        <w:spacing w:before="0" w:after="180"/>
        <w:pBdr>
          <w:bottom w:val="single" w:sz="8" w:space="4" w:color="9EB0BF"/>
        </w:pBdr>
      </w:pPr>
      <w:r>
        <w:rPr>
          <w:rFonts w:ascii="Inter" w:hAnsi="Inter" w:eastAsia="Inter"/>
          <w:b/>
          <w:color w:val="142D48"/>
          <w:sz w:val="34"/>
        </w:rPr>
        <w:t xml:space="preserve">TITLE III - CONGRESSIONAL POWER OF THE PURSE, LAWFUL ADMINISTRATION, AND SEPARATION OF POWERS</w:t>
      </w:r>
    </w:p>
    <w:bookmarkStart w:id="54" w:name="Xb7d7ca7a8509a4558648ee1829030654b4a4c80"/>
    <w:p>
      <w:pPr>
        <w:pStyle w:val="Heading2"/>
        <w:keepNext/>
        <w:spacing w:before="160" w:after="60"/>
      </w:pPr>
      <w:r>
        <w:rPr>
          <w:rFonts w:ascii="Inter" w:hAnsi="Inter" w:eastAsia="Inter"/>
          <w:b/>
          <w:color w:val="1F3F5B"/>
          <w:sz w:val="23"/>
        </w:rPr>
        <w:t xml:space="preserve">SEC. 301. DUTY TO OBLIGATE AND EXPEND APPROPRIATIONS.</w:t>
      </w:r>
    </w:p>
    <w:p>
      <w:pPr>
        <w:widowControl/>
        <w:numPr>
          <w:ilvl w:val="0"/>
          <w:numId w:val="1029"/>
        </w:numPr>
        <w:spacing w:after="30" w:line="245" w:lineRule="auto"/>
      </w:pPr>
      <w:r>
        <w:rPr>
          <w:rFonts w:ascii="Noto Serif" w:hAnsi="Noto Serif" w:eastAsia="Noto Serif"/>
          <w:sz w:val="18"/>
        </w:rPr>
        <w:t xml:space="preserve">An officer or employee shall obligate and expend budget authority in accordance with the purpose, amount, period of availability, and conditions enacted by Congress.</w:t>
      </w:r>
    </w:p>
    <w:p>
      <w:pPr>
        <w:widowControl/>
        <w:numPr>
          <w:ilvl w:val="0"/>
          <w:numId w:val="1029"/>
        </w:numPr>
        <w:spacing w:after="30" w:line="245" w:lineRule="auto"/>
      </w:pPr>
      <w:r>
        <w:rPr>
          <w:rFonts w:ascii="Noto Serif" w:hAnsi="Noto Serif" w:eastAsia="Noto Serif"/>
          <w:sz w:val="18"/>
        </w:rPr>
        <w:t xml:space="preserve">Policy disagreement with Congress is not a lawful basis to withhold funds.</w:t>
      </w:r>
    </w:p>
    <w:p>
      <w:pPr>
        <w:widowControl/>
        <w:numPr>
          <w:ilvl w:val="0"/>
          <w:numId w:val="1029"/>
        </w:numPr>
        <w:spacing w:after="30" w:line="245" w:lineRule="auto"/>
      </w:pPr>
      <w:r>
        <w:rPr>
          <w:rFonts w:ascii="Noto Serif" w:hAnsi="Noto Serif" w:eastAsia="Noto Serif"/>
          <w:sz w:val="18"/>
        </w:rPr>
        <w:t xml:space="preserve">No Executive order, management memorandum, apportionment footnote, or administrative delay may amend or nullify an appropriation.</w:t>
      </w:r>
    </w:p>
    <w:bookmarkEnd w:id="54"/>
    <w:bookmarkStart w:id="55" w:name="X58529a3717c4d63e669ff0775c886ed7bb11f05"/>
    <w:p>
      <w:pPr>
        <w:pStyle w:val="Heading2"/>
        <w:keepNext/>
        <w:spacing w:before="160" w:after="60"/>
      </w:pPr>
      <w:r>
        <w:rPr>
          <w:rFonts w:ascii="Inter" w:hAnsi="Inter" w:eastAsia="Inter"/>
          <w:b/>
          <w:color w:val="1F3F5B"/>
          <w:sz w:val="23"/>
        </w:rPr>
        <w:t xml:space="preserve">SEC. 302. IMPOUNDMENT CONTROL ACT ENFORCEMENT.</w:t>
      </w:r>
    </w:p>
    <w:p>
      <w:pPr>
        <w:widowControl/>
        <w:numPr>
          <w:ilvl w:val="0"/>
          <w:numId w:val="1030"/>
        </w:numPr>
        <w:spacing w:after="30" w:line="245" w:lineRule="auto"/>
      </w:pPr>
      <w:r>
        <w:rPr>
          <w:rFonts w:ascii="Noto Serif" w:hAnsi="Noto Serif" w:eastAsia="Noto Serif"/>
          <w:sz w:val="18"/>
        </w:rPr>
        <w:t xml:space="preserve">The Comptroller General may bring a civil action to compel obligation or expenditure of unlawfully withheld funds.</w:t>
      </w:r>
    </w:p>
    <w:p>
      <w:pPr>
        <w:widowControl/>
        <w:numPr>
          <w:ilvl w:val="0"/>
          <w:numId w:val="1030"/>
        </w:numPr>
        <w:spacing w:after="30" w:line="245" w:lineRule="auto"/>
      </w:pPr>
      <w:r>
        <w:rPr>
          <w:rFonts w:ascii="Noto Serif" w:hAnsi="Noto Serif" w:eastAsia="Noto Serif"/>
          <w:sz w:val="18"/>
        </w:rPr>
        <w:t xml:space="preserve">A State, Tribe, local government, grantee, contractor, beneficiary, or other intended recipient suffering concrete injury may seek declaratory and injunctive relief after 15 days’ notice to the Comptroller General.</w:t>
      </w:r>
    </w:p>
    <w:p>
      <w:pPr>
        <w:widowControl/>
        <w:numPr>
          <w:ilvl w:val="0"/>
          <w:numId w:val="1030"/>
        </w:numPr>
        <w:spacing w:after="30" w:line="245" w:lineRule="auto"/>
      </w:pPr>
      <w:r>
        <w:rPr>
          <w:rFonts w:ascii="Noto Serif" w:hAnsi="Noto Serif" w:eastAsia="Noto Serif"/>
          <w:sz w:val="18"/>
        </w:rPr>
        <w:t xml:space="preserve">Courts shall expedite actions under this section and may order provisional obligation to prevent expiration of budget authority.</w:t>
      </w:r>
    </w:p>
    <w:p>
      <w:pPr>
        <w:widowControl/>
        <w:numPr>
          <w:ilvl w:val="0"/>
          <w:numId w:val="1030"/>
        </w:numPr>
        <w:spacing w:after="30" w:line="245" w:lineRule="auto"/>
      </w:pPr>
      <w:r>
        <w:rPr>
          <w:rFonts w:ascii="Noto Serif" w:hAnsi="Noto Serif" w:eastAsia="Noto Serif"/>
          <w:sz w:val="18"/>
        </w:rPr>
        <w:t xml:space="preserve">Knowing concealment of an impoundment from Congress is subject to a civil penalty of not more than $250,000 per responsible official, adjusted for inflation, after notice and hearing.</w:t>
      </w:r>
    </w:p>
    <w:bookmarkEnd w:id="55"/>
    <w:bookmarkStart w:id="56" w:name="Xefcf0a28cf26eeae753fc56a8c135dbda3fbe98"/>
    <w:p>
      <w:pPr>
        <w:pStyle w:val="Heading2"/>
        <w:keepNext/>
        <w:spacing w:before="160" w:after="60"/>
      </w:pPr>
      <w:r>
        <w:rPr>
          <w:rFonts w:ascii="Inter" w:hAnsi="Inter" w:eastAsia="Inter"/>
          <w:b/>
          <w:color w:val="1F3F5B"/>
          <w:sz w:val="23"/>
        </w:rPr>
        <w:t xml:space="preserve">SEC. 303. RESCISSION, DEFERRAL, TRANSFER, AND REPROGRAMMING.</w:t>
      </w:r>
    </w:p>
    <w:p>
      <w:pPr>
        <w:widowControl/>
        <w:numPr>
          <w:ilvl w:val="0"/>
          <w:numId w:val="1031"/>
        </w:numPr>
        <w:spacing w:after="30" w:line="245" w:lineRule="auto"/>
      </w:pPr>
      <w:r>
        <w:rPr>
          <w:rFonts w:ascii="Noto Serif" w:hAnsi="Noto Serif" w:eastAsia="Noto Serif"/>
          <w:sz w:val="18"/>
        </w:rPr>
        <w:t xml:space="preserve">A proposed rescission or deferral has no legal effect unless authorized under the Impoundment Control Act.</w:t>
      </w:r>
    </w:p>
    <w:p>
      <w:pPr>
        <w:widowControl/>
        <w:numPr>
          <w:ilvl w:val="0"/>
          <w:numId w:val="1031"/>
        </w:numPr>
        <w:spacing w:after="30" w:line="245" w:lineRule="auto"/>
      </w:pPr>
      <w:r>
        <w:rPr>
          <w:rFonts w:ascii="Noto Serif" w:hAnsi="Noto Serif" w:eastAsia="Noto Serif"/>
          <w:sz w:val="18"/>
        </w:rPr>
        <w:t xml:space="preserve">Transfers and reprogrammings above thresholds established in appropriations law require advance notice to the appropriations committees and may not be divided to evade a threshold.</w:t>
      </w:r>
    </w:p>
    <w:p>
      <w:pPr>
        <w:widowControl/>
        <w:numPr>
          <w:ilvl w:val="0"/>
          <w:numId w:val="1031"/>
        </w:numPr>
        <w:spacing w:after="30" w:line="245" w:lineRule="auto"/>
      </w:pPr>
      <w:r>
        <w:rPr>
          <w:rFonts w:ascii="Noto Serif" w:hAnsi="Noto Serif" w:eastAsia="Noto Serif"/>
          <w:sz w:val="18"/>
        </w:rPr>
        <w:t xml:space="preserve">No agency shall terminate an entire statutory program by transferring its personnel, records, or funds elsewhere.</w:t>
      </w:r>
    </w:p>
    <w:bookmarkEnd w:id="56"/>
    <w:bookmarkStart w:id="57" w:name="sec.-304.-program-closure-notice."/>
    <w:p>
      <w:pPr>
        <w:pStyle w:val="Heading2"/>
        <w:keepNext/>
        <w:spacing w:before="160" w:after="60"/>
      </w:pPr>
      <w:r>
        <w:rPr>
          <w:rFonts w:ascii="Inter" w:hAnsi="Inter" w:eastAsia="Inter"/>
          <w:b/>
          <w:color w:val="1F3F5B"/>
          <w:sz w:val="23"/>
        </w:rPr>
        <w:t xml:space="preserve">SEC. 304. PROGRAM-CLOSURE NOTICE.</w:t>
      </w:r>
    </w:p>
    <w:p>
      <w:pPr>
        <w:pStyle w:val="FirstParagraph"/>
        <w:widowControl/>
        <w:spacing w:after="60" w:line="250" w:lineRule="auto"/>
      </w:pPr>
      <w:r>
        <w:rPr>
          <w:rFonts w:ascii="Noto Serif" w:hAnsi="Noto Serif" w:eastAsia="Noto Serif"/>
          <w:sz w:val="19"/>
        </w:rPr>
        <w:t xml:space="preserve">Before closing an agency office, field location, laboratory, data series, grant program, or service channel that Congress has funded, the agency shall provide 90 days’ public notice, a continuity plan, a workforce-impact statement, and an explanation of statutory authority. Congress may enact a law altering or prohibiting the proposed action during that period. Nothing in this section creates a one-House or committee legislative veto.</w:t>
      </w:r>
    </w:p>
    <w:bookmarkEnd w:id="57"/>
    <w:bookmarkStart w:id="58" w:name="sec.-305.-independent-agencies."/>
    <w:p>
      <w:pPr>
        <w:pStyle w:val="Heading2"/>
        <w:keepNext/>
        <w:spacing w:before="160" w:after="60"/>
      </w:pPr>
      <w:r>
        <w:rPr>
          <w:rFonts w:ascii="Inter" w:hAnsi="Inter" w:eastAsia="Inter"/>
          <w:b/>
          <w:color w:val="1F3F5B"/>
          <w:sz w:val="23"/>
        </w:rPr>
        <w:t xml:space="preserve">SEC. 305. INDEPENDENT AGENCIES.</w:t>
      </w:r>
    </w:p>
    <w:p>
      <w:pPr>
        <w:widowControl/>
        <w:numPr>
          <w:ilvl w:val="0"/>
          <w:numId w:val="1032"/>
        </w:numPr>
        <w:spacing w:after="30" w:line="245" w:lineRule="auto"/>
      </w:pPr>
      <w:r>
        <w:rPr>
          <w:rFonts w:ascii="Noto Serif" w:hAnsi="Noto Serif" w:eastAsia="Noto Serif"/>
          <w:sz w:val="18"/>
        </w:rPr>
        <w:t xml:space="preserve">An independent agency shall submit significant regulatory actions for centralized review only to the extent consistent with its organic statute and independence.</w:t>
      </w:r>
    </w:p>
    <w:p>
      <w:pPr>
        <w:widowControl/>
        <w:numPr>
          <w:ilvl w:val="0"/>
          <w:numId w:val="1032"/>
        </w:numPr>
        <w:spacing w:after="30" w:line="245" w:lineRule="auto"/>
      </w:pPr>
      <w:r>
        <w:rPr>
          <w:rFonts w:ascii="Noto Serif" w:hAnsi="Noto Serif" w:eastAsia="Noto Serif"/>
          <w:sz w:val="18"/>
        </w:rPr>
        <w:t xml:space="preserve">The President may request coordination and may require public explanation, but may not direct an adjudicatory result, enforcement outcome, licensing decision, monetary-policy decision, or other function Congress made independent.</w:t>
      </w:r>
    </w:p>
    <w:p>
      <w:pPr>
        <w:widowControl/>
        <w:numPr>
          <w:ilvl w:val="0"/>
          <w:numId w:val="1032"/>
        </w:numPr>
        <w:spacing w:after="30" w:line="245" w:lineRule="auto"/>
      </w:pPr>
      <w:r>
        <w:rPr>
          <w:rFonts w:ascii="Noto Serif" w:hAnsi="Noto Serif" w:eastAsia="Noto Serif"/>
          <w:sz w:val="18"/>
        </w:rPr>
        <w:t xml:space="preserve">Removal protections remain governed by the Constitution and applicable statutes.</w:t>
      </w:r>
    </w:p>
    <w:bookmarkEnd w:id="58"/>
    <w:bookmarkStart w:id="59" w:name="sec.-306.-inspectors-general."/>
    <w:p>
      <w:pPr>
        <w:pStyle w:val="Heading2"/>
        <w:keepNext/>
        <w:spacing w:before="160" w:after="60"/>
      </w:pPr>
      <w:r>
        <w:rPr>
          <w:rFonts w:ascii="Inter" w:hAnsi="Inter" w:eastAsia="Inter"/>
          <w:b/>
          <w:color w:val="1F3F5B"/>
          <w:sz w:val="23"/>
        </w:rPr>
        <w:t xml:space="preserve">SEC. 306. INSPECTORS GENERAL.</w:t>
      </w:r>
    </w:p>
    <w:p>
      <w:pPr>
        <w:widowControl/>
        <w:numPr>
          <w:ilvl w:val="0"/>
          <w:numId w:val="1033"/>
        </w:numPr>
        <w:spacing w:after="30" w:line="245" w:lineRule="auto"/>
      </w:pPr>
      <w:r>
        <w:rPr>
          <w:rFonts w:ascii="Noto Serif" w:hAnsi="Noto Serif" w:eastAsia="Noto Serif"/>
          <w:sz w:val="18"/>
        </w:rPr>
        <w:t xml:space="preserve">An Inspector General may be removed or transferred only after 30 days’ notice to Congress stating specific, verifiable reasons.</w:t>
      </w:r>
    </w:p>
    <w:p>
      <w:pPr>
        <w:widowControl/>
        <w:numPr>
          <w:ilvl w:val="0"/>
          <w:numId w:val="1033"/>
        </w:numPr>
        <w:spacing w:after="30" w:line="245" w:lineRule="auto"/>
      </w:pPr>
      <w:r>
        <w:rPr>
          <w:rFonts w:ascii="Noto Serif" w:hAnsi="Noto Serif" w:eastAsia="Noto Serif"/>
          <w:sz w:val="18"/>
        </w:rPr>
        <w:t xml:space="preserve">During the notice period, the Inspector General remains in office unless a court finds continued service presents an imminent threat to national security or evidence integrity.</w:t>
      </w:r>
    </w:p>
    <w:p>
      <w:pPr>
        <w:widowControl/>
        <w:numPr>
          <w:ilvl w:val="0"/>
          <w:numId w:val="1033"/>
        </w:numPr>
        <w:spacing w:after="30" w:line="245" w:lineRule="auto"/>
      </w:pPr>
      <w:r>
        <w:rPr>
          <w:rFonts w:ascii="Noto Serif" w:hAnsi="Noto Serif" w:eastAsia="Noto Serif"/>
          <w:sz w:val="18"/>
        </w:rPr>
        <w:t xml:space="preserve">An acting Inspector General must be a senior career official from an Inspector General office and may serve not more than 210 days without Senate confirmation.</w:t>
      </w:r>
    </w:p>
    <w:p>
      <w:pPr>
        <w:widowControl/>
        <w:numPr>
          <w:ilvl w:val="0"/>
          <w:numId w:val="1033"/>
        </w:numPr>
        <w:spacing w:after="30" w:line="245" w:lineRule="auto"/>
      </w:pPr>
      <w:r>
        <w:rPr>
          <w:rFonts w:ascii="Noto Serif" w:hAnsi="Noto Serif" w:eastAsia="Noto Serif"/>
          <w:sz w:val="18"/>
        </w:rPr>
        <w:t xml:space="preserve">Withholding access to agency records from an Inspector General requires a written claim of privilege or statutory prohibition, transmitted to Congress and subject to expedited judicial review.</w:t>
      </w:r>
    </w:p>
    <w:bookmarkEnd w:id="59"/>
    <w:bookmarkStart w:id="60" w:name="sec.-307.-national-emergencies."/>
    <w:p>
      <w:pPr>
        <w:pStyle w:val="Heading2"/>
        <w:keepNext/>
        <w:spacing w:before="160" w:after="60"/>
      </w:pPr>
      <w:r>
        <w:rPr>
          <w:rFonts w:ascii="Inter" w:hAnsi="Inter" w:eastAsia="Inter"/>
          <w:b/>
          <w:color w:val="1F3F5B"/>
          <w:sz w:val="23"/>
        </w:rPr>
        <w:t xml:space="preserve">SEC. 307. NATIONAL EMERGENCIES.</w:t>
      </w:r>
    </w:p>
    <w:p>
      <w:pPr>
        <w:widowControl/>
        <w:numPr>
          <w:ilvl w:val="0"/>
          <w:numId w:val="1034"/>
        </w:numPr>
        <w:spacing w:after="30" w:line="245" w:lineRule="auto"/>
      </w:pPr>
      <w:r>
        <w:rPr>
          <w:rFonts w:ascii="Noto Serif" w:hAnsi="Noto Serif" w:eastAsia="Noto Serif"/>
          <w:sz w:val="18"/>
        </w:rPr>
        <w:t xml:space="preserve">A national emergency declared after enactment expires after 30 days unless Congress approves it by joint resolution.</w:t>
      </w:r>
    </w:p>
    <w:p>
      <w:pPr>
        <w:widowControl/>
        <w:numPr>
          <w:ilvl w:val="0"/>
          <w:numId w:val="1034"/>
        </w:numPr>
        <w:spacing w:after="30" w:line="245" w:lineRule="auto"/>
      </w:pPr>
      <w:r>
        <w:rPr>
          <w:rFonts w:ascii="Noto Serif" w:hAnsi="Noto Serif" w:eastAsia="Noto Serif"/>
          <w:sz w:val="18"/>
        </w:rPr>
        <w:t xml:space="preserve">An approved emergency expires after one year unless renewed by Congress.</w:t>
      </w:r>
    </w:p>
    <w:p>
      <w:pPr>
        <w:widowControl/>
        <w:numPr>
          <w:ilvl w:val="0"/>
          <w:numId w:val="1034"/>
        </w:numPr>
        <w:spacing w:after="30" w:line="245" w:lineRule="auto"/>
      </w:pPr>
      <w:r>
        <w:rPr>
          <w:rFonts w:ascii="Noto Serif" w:hAnsi="Noto Serif" w:eastAsia="Noto Serif"/>
          <w:sz w:val="18"/>
        </w:rPr>
        <w:t xml:space="preserve">Each emergency action must identify the specific statutory power used, estimated cost, affected rights, geographic scope, and exit conditions.</w:t>
      </w:r>
    </w:p>
    <w:p>
      <w:pPr>
        <w:widowControl/>
        <w:numPr>
          <w:ilvl w:val="0"/>
          <w:numId w:val="1034"/>
        </w:numPr>
        <w:spacing w:after="30" w:line="245" w:lineRule="auto"/>
      </w:pPr>
      <w:r>
        <w:rPr>
          <w:rFonts w:ascii="Noto Serif" w:hAnsi="Noto Serif" w:eastAsia="Noto Serif"/>
          <w:sz w:val="18"/>
        </w:rPr>
        <w:t xml:space="preserve">Emergency powers may not be used to impose a general tariff, suspend appropriations, alter Federal election eligibility, or abolish an agency unless a statute expressly authorizes that action.</w:t>
      </w:r>
    </w:p>
    <w:bookmarkEnd w:id="60"/>
    <w:bookmarkStart w:id="61" w:name="X9f73eee2753f133d6ee1f7473daa23aabd9d69f"/>
    <w:p>
      <w:pPr>
        <w:pStyle w:val="Heading2"/>
        <w:keepNext/>
        <w:spacing w:before="160" w:after="60"/>
      </w:pPr>
      <w:r>
        <w:rPr>
          <w:rFonts w:ascii="Inter" w:hAnsi="Inter" w:eastAsia="Inter"/>
          <w:b/>
          <w:color w:val="1F3F5B"/>
          <w:sz w:val="23"/>
        </w:rPr>
        <w:t xml:space="preserve">SEC. 308. FEDERAL REGISTER AND PUBLICATION REQUIREMENTS.</w:t>
      </w:r>
    </w:p>
    <w:p>
      <w:pPr>
        <w:pStyle w:val="FirstParagraph"/>
        <w:widowControl/>
        <w:spacing w:after="60" w:line="250" w:lineRule="auto"/>
      </w:pPr>
      <w:r>
        <w:rPr>
          <w:rFonts w:ascii="Noto Serif" w:hAnsi="Noto Serif" w:eastAsia="Noto Serif"/>
          <w:sz w:val="19"/>
        </w:rPr>
        <w:t xml:space="preserve">A directive of general applicability may not bind the public or materially alter rights, benefits, duties, grants, contracts, or enforcement unless published in the Federal Register or otherwise made publicly accessible as required by law. Secret law is prohibited.</w:t>
      </w:r>
    </w:p>
    <w:bookmarkEnd w:id="61"/>
    <w:bookmarkStart w:id="62" w:name="Xbab109de09bdb3dfa0cc2a868e1140bb24ce6fe"/>
    <w:p>
      <w:pPr>
        <w:pStyle w:val="Heading2"/>
        <w:keepNext/>
        <w:spacing w:before="160" w:after="60"/>
      </w:pPr>
      <w:r>
        <w:rPr>
          <w:rFonts w:ascii="Inter" w:hAnsi="Inter" w:eastAsia="Inter"/>
          <w:b/>
          <w:color w:val="1F3F5B"/>
          <w:sz w:val="23"/>
        </w:rPr>
        <w:t xml:space="preserve">SEC. 309. FEDERAL RECORDS AND COMMUNICATIONS.</w:t>
      </w:r>
    </w:p>
    <w:p>
      <w:pPr>
        <w:widowControl/>
        <w:numPr>
          <w:ilvl w:val="0"/>
          <w:numId w:val="1035"/>
        </w:numPr>
        <w:spacing w:after="30" w:line="245" w:lineRule="auto"/>
      </w:pPr>
      <w:r>
        <w:rPr>
          <w:rFonts w:ascii="Noto Serif" w:hAnsi="Noto Serif" w:eastAsia="Noto Serif"/>
          <w:sz w:val="18"/>
        </w:rPr>
        <w:t xml:space="preserve">Official business conducted through personal accounts, encrypted platforms, or disappearing-message applications must be forwarded to an official recordkeeping system within 24 hours.</w:t>
      </w:r>
    </w:p>
    <w:p>
      <w:pPr>
        <w:widowControl/>
        <w:numPr>
          <w:ilvl w:val="0"/>
          <w:numId w:val="1035"/>
        </w:numPr>
        <w:spacing w:after="30" w:line="245" w:lineRule="auto"/>
      </w:pPr>
      <w:r>
        <w:rPr>
          <w:rFonts w:ascii="Noto Serif" w:hAnsi="Noto Serif" w:eastAsia="Noto Serif"/>
          <w:sz w:val="18"/>
        </w:rPr>
        <w:t xml:space="preserve">Agencies shall deploy automatic preservation tools and immutable audit logs.</w:t>
      </w:r>
    </w:p>
    <w:p>
      <w:pPr>
        <w:widowControl/>
        <w:numPr>
          <w:ilvl w:val="0"/>
          <w:numId w:val="1035"/>
        </w:numPr>
        <w:spacing w:after="30" w:line="245" w:lineRule="auto"/>
      </w:pPr>
      <w:r>
        <w:rPr>
          <w:rFonts w:ascii="Noto Serif" w:hAnsi="Noto Serif" w:eastAsia="Noto Serif"/>
          <w:sz w:val="18"/>
        </w:rPr>
        <w:t xml:space="preserve">Knowing destruction, concealment, or falsification of a record material to oversight, litigation, benefits, grants, procurement, or enforcement is referred for prosecution under applicable law.</w:t>
      </w:r>
    </w:p>
    <w:bookmarkEnd w:id="62"/>
    <w:bookmarkStart w:id="63" w:name="X68975b2f635a292b59e868518e8f5200bc9098e"/>
    <w:p>
      <w:pPr>
        <w:pStyle w:val="Heading2"/>
        <w:keepNext/>
        <w:spacing w:before="160" w:after="60"/>
      </w:pPr>
      <w:r>
        <w:rPr>
          <w:rFonts w:ascii="Inter" w:hAnsi="Inter" w:eastAsia="Inter"/>
          <w:b/>
          <w:color w:val="1F3F5B"/>
          <w:sz w:val="23"/>
        </w:rPr>
        <w:t xml:space="preserve">SEC. 310. ACTING OFFICIALS AND VACANCIES.</w:t>
      </w:r>
    </w:p>
    <w:p>
      <w:pPr>
        <w:widowControl/>
        <w:numPr>
          <w:ilvl w:val="0"/>
          <w:numId w:val="1036"/>
        </w:numPr>
        <w:spacing w:after="30" w:line="245" w:lineRule="auto"/>
      </w:pPr>
      <w:r>
        <w:rPr>
          <w:rFonts w:ascii="Noto Serif" w:hAnsi="Noto Serif" w:eastAsia="Noto Serif"/>
          <w:sz w:val="18"/>
        </w:rPr>
        <w:t xml:space="preserve">No person may perform the exclusive functions and duties of a Senate-confirmed office beyond the time allowed by the Federal Vacancies Reform Act.</w:t>
      </w:r>
    </w:p>
    <w:p>
      <w:pPr>
        <w:widowControl/>
        <w:numPr>
          <w:ilvl w:val="0"/>
          <w:numId w:val="1036"/>
        </w:numPr>
        <w:spacing w:after="30" w:line="245" w:lineRule="auto"/>
      </w:pPr>
      <w:r>
        <w:rPr>
          <w:rFonts w:ascii="Noto Serif" w:hAnsi="Noto Serif" w:eastAsia="Noto Serif"/>
          <w:sz w:val="18"/>
        </w:rPr>
        <w:t xml:space="preserve">Repeated redesignation, delegation, title alteration, or use of a special-government-employee status may not evade confirmation requirements.</w:t>
      </w:r>
    </w:p>
    <w:p>
      <w:pPr>
        <w:widowControl/>
        <w:numPr>
          <w:ilvl w:val="0"/>
          <w:numId w:val="1036"/>
        </w:numPr>
        <w:spacing w:after="30" w:line="245" w:lineRule="auto"/>
      </w:pPr>
      <w:r>
        <w:rPr>
          <w:rFonts w:ascii="Noto Serif" w:hAnsi="Noto Serif" w:eastAsia="Noto Serif"/>
          <w:sz w:val="18"/>
        </w:rPr>
        <w:t xml:space="preserve">An action taken by an unlawfully serving official is voidable at the request of a person adversely affected, subject to equitable considerations and protection of innocent reliance interests.</w:t>
      </w:r>
    </w:p>
    <w:bookmarkEnd w:id="63"/>
    <w:bookmarkStart w:id="64" w:name="X6d007db36c78767b169cca4cf72234e35e7a092"/>
    <w:p>
      <w:pPr>
        <w:pStyle w:val="Heading2"/>
        <w:keepNext/>
        <w:spacing w:before="160" w:after="60"/>
      </w:pPr>
      <w:r>
        <w:rPr>
          <w:rFonts w:ascii="Inter" w:hAnsi="Inter" w:eastAsia="Inter"/>
          <w:b/>
          <w:color w:val="1F3F5B"/>
          <w:sz w:val="23"/>
        </w:rPr>
        <w:t xml:space="preserve">SEC. 311. CONGRESSIONAL TESTIMONY AND INFORMATION.</w:t>
      </w:r>
    </w:p>
    <w:p>
      <w:pPr>
        <w:widowControl/>
        <w:numPr>
          <w:ilvl w:val="0"/>
          <w:numId w:val="1037"/>
        </w:numPr>
        <w:spacing w:after="30" w:line="245" w:lineRule="auto"/>
      </w:pPr>
      <w:r>
        <w:rPr>
          <w:rFonts w:ascii="Noto Serif" w:hAnsi="Noto Serif" w:eastAsia="Noto Serif"/>
          <w:sz w:val="18"/>
        </w:rPr>
        <w:t xml:space="preserve">Agency heads shall respond to lawful congressional requests by the deadline specified or provide a written privilege claim identifying the legal basis and custodian.</w:t>
      </w:r>
    </w:p>
    <w:p>
      <w:pPr>
        <w:widowControl/>
        <w:numPr>
          <w:ilvl w:val="0"/>
          <w:numId w:val="1037"/>
        </w:numPr>
        <w:spacing w:after="30" w:line="245" w:lineRule="auto"/>
      </w:pPr>
      <w:r>
        <w:rPr>
          <w:rFonts w:ascii="Noto Serif" w:hAnsi="Noto Serif" w:eastAsia="Noto Serif"/>
          <w:sz w:val="18"/>
        </w:rPr>
        <w:t xml:space="preserve">Appropriated funds may not be used to instruct an employee to disregard a lawful subpoena without a written opinion of the Attorney General.</w:t>
      </w:r>
    </w:p>
    <w:p>
      <w:pPr>
        <w:widowControl/>
        <w:numPr>
          <w:ilvl w:val="0"/>
          <w:numId w:val="1037"/>
        </w:numPr>
        <w:spacing w:after="30" w:line="245" w:lineRule="auto"/>
      </w:pPr>
      <w:r>
        <w:rPr>
          <w:rFonts w:ascii="Noto Serif" w:hAnsi="Noto Serif" w:eastAsia="Noto Serif"/>
          <w:sz w:val="18"/>
        </w:rPr>
        <w:t xml:space="preserve">Whistleblowers retain the right to communicate with Congress.</w:t>
      </w:r>
    </w:p>
    <w:bookmarkEnd w:id="64"/>
    <w:bookmarkStart w:id="65" w:name="sec.-312.-enforcement-coordination."/>
    <w:p>
      <w:pPr>
        <w:pStyle w:val="Heading2"/>
        <w:keepNext/>
        <w:spacing w:before="160" w:after="60"/>
      </w:pPr>
      <w:r>
        <w:rPr>
          <w:rFonts w:ascii="Inter" w:hAnsi="Inter" w:eastAsia="Inter"/>
          <w:b/>
          <w:color w:val="1F3F5B"/>
          <w:sz w:val="23"/>
        </w:rPr>
        <w:t xml:space="preserve">SEC. 312. ENFORCEMENT COORDINATION.</w:t>
      </w:r>
    </w:p>
    <w:p>
      <w:pPr>
        <w:pStyle w:val="FirstParagraph"/>
        <w:widowControl/>
        <w:spacing w:after="60" w:line="250" w:lineRule="auto"/>
      </w:pPr>
      <w:r>
        <w:rPr>
          <w:rFonts w:ascii="Noto Serif" w:hAnsi="Noto Serif" w:eastAsia="Noto Serif"/>
          <w:sz w:val="19"/>
        </w:rPr>
        <w:t xml:space="preserve">The Comptroller General, Inspectors General, Office of Special Counsel, Office of Government Ethics, and Attorney General shall establish protocols for rapid referral of impoundment, records, vacancy, retaliation, and ultra vires administration cases.</w:t>
      </w:r>
    </w:p>
    <w:bookmarkEnd w:id="65"/>
    <w:bookmarkEnd w:id="66"/>
    <w:bookmarkStart w:id="78" w:name="X7b8ccb9717addd2014249e8fde190bcf1bf2c00"/>
    <w:p>
      <w:pPr>
        <w:pStyle w:val="Heading1"/>
        <w:keepNext/>
        <w:pageBreakBefore/>
        <w:spacing w:before="0" w:after="180"/>
        <w:pBdr>
          <w:bottom w:val="single" w:sz="8" w:space="4" w:color="9EB0BF"/>
        </w:pBdr>
      </w:pPr>
      <w:r>
        <w:rPr>
          <w:rFonts w:ascii="Inter" w:hAnsi="Inter" w:eastAsia="Inter"/>
          <w:b/>
          <w:color w:val="142D48"/>
          <w:sz w:val="34"/>
        </w:rPr>
        <w:t xml:space="preserve">TITLE IV - MERIT CIVIL SERVICE AND PUBLIC CAPACITY</w:t>
      </w:r>
    </w:p>
    <w:bookmarkStart w:id="67" w:name="sec.-401.-merit-system-guarantee."/>
    <w:p>
      <w:pPr>
        <w:pStyle w:val="Heading2"/>
        <w:keepNext/>
        <w:spacing w:before="160" w:after="60"/>
      </w:pPr>
      <w:r>
        <w:rPr>
          <w:rFonts w:ascii="Inter" w:hAnsi="Inter" w:eastAsia="Inter"/>
          <w:b/>
          <w:color w:val="1F3F5B"/>
          <w:sz w:val="23"/>
        </w:rPr>
        <w:t xml:space="preserve">SEC. 401. MERIT-SYSTEM GUARANTEE.</w:t>
      </w:r>
    </w:p>
    <w:p>
      <w:pPr>
        <w:pStyle w:val="FirstParagraph"/>
        <w:widowControl/>
        <w:spacing w:after="60" w:line="250" w:lineRule="auto"/>
      </w:pPr>
      <w:r>
        <w:rPr>
          <w:rFonts w:ascii="Noto Serif" w:hAnsi="Noto Serif" w:eastAsia="Noto Serif"/>
          <w:sz w:val="19"/>
        </w:rPr>
        <w:t xml:space="preserve">The Federal civil service shall be administered according to merit, competence, political neutrality, equal opportunity, veterans’ preference, due process, and faithful execution of law.</w:t>
      </w:r>
    </w:p>
    <w:bookmarkEnd w:id="67"/>
    <w:bookmarkStart w:id="68" w:name="X485913c9a8079d0b2dd2ab77c3d12e731389039"/>
    <w:p>
      <w:pPr>
        <w:pStyle w:val="Heading2"/>
        <w:keepNext/>
        <w:spacing w:before="160" w:after="60"/>
      </w:pPr>
      <w:r>
        <w:rPr>
          <w:rFonts w:ascii="Inter" w:hAnsi="Inter" w:eastAsia="Inter"/>
          <w:b/>
          <w:color w:val="1F3F5B"/>
          <w:sz w:val="23"/>
        </w:rPr>
        <w:t xml:space="preserve">SEC. 402. REPEAL OF POLICY-INFLUENCING AT-WILL CLASSIFICATIONS.</w:t>
      </w:r>
    </w:p>
    <w:p>
      <w:pPr>
        <w:widowControl/>
        <w:numPr>
          <w:ilvl w:val="0"/>
          <w:numId w:val="1038"/>
        </w:numPr>
        <w:spacing w:after="30" w:line="245" w:lineRule="auto"/>
      </w:pPr>
      <w:r>
        <w:rPr>
          <w:rFonts w:ascii="Noto Serif" w:hAnsi="Noto Serif" w:eastAsia="Noto Serif"/>
          <w:sz w:val="18"/>
        </w:rPr>
        <w:t xml:space="preserve">Any executive order, rule, or personnel action creating Schedule F, Schedule Policy/Career, or a materially similar category that removes ordinary civil-service protections because an employee influences policy is rescinded and without effect.</w:t>
      </w:r>
    </w:p>
    <w:p>
      <w:pPr>
        <w:widowControl/>
        <w:numPr>
          <w:ilvl w:val="0"/>
          <w:numId w:val="1038"/>
        </w:numPr>
        <w:spacing w:after="30" w:line="245" w:lineRule="auto"/>
      </w:pPr>
      <w:r>
        <w:rPr>
          <w:rFonts w:ascii="Noto Serif" w:hAnsi="Noto Serif" w:eastAsia="Noto Serif"/>
          <w:sz w:val="18"/>
        </w:rPr>
        <w:t xml:space="preserve">A position may be excepted from the competitive service only under a category authorized by statute or by a rule demonstrating a genuine operational necessity unrelated to political loyalty.</w:t>
      </w:r>
    </w:p>
    <w:p>
      <w:pPr>
        <w:widowControl/>
        <w:numPr>
          <w:ilvl w:val="0"/>
          <w:numId w:val="1038"/>
        </w:numPr>
        <w:spacing w:after="30" w:line="245" w:lineRule="auto"/>
      </w:pPr>
      <w:r>
        <w:rPr>
          <w:rFonts w:ascii="Noto Serif" w:hAnsi="Noto Serif" w:eastAsia="Noto Serif"/>
          <w:sz w:val="18"/>
        </w:rPr>
        <w:t xml:space="preserve">Employees converted, reassigned, or removed under a prohibited category are entitled to restoration review, priority reemployment, back pay where authorized, and a neutral adjudication.</w:t>
      </w:r>
    </w:p>
    <w:bookmarkEnd w:id="68"/>
    <w:bookmarkStart w:id="69" w:name="X38d4413e54c80e416e50a3d3c4fbfc5a4bf9000"/>
    <w:p>
      <w:pPr>
        <w:pStyle w:val="Heading2"/>
        <w:keepNext/>
        <w:spacing w:before="160" w:after="60"/>
      </w:pPr>
      <w:r>
        <w:rPr>
          <w:rFonts w:ascii="Inter" w:hAnsi="Inter" w:eastAsia="Inter"/>
          <w:b/>
          <w:color w:val="1F3F5B"/>
          <w:sz w:val="23"/>
        </w:rPr>
        <w:t xml:space="preserve">SEC. 403. REDUCTIONS IN FORCE AND REORGANIZATIONS.</w:t>
      </w:r>
    </w:p>
    <w:p>
      <w:pPr>
        <w:pStyle w:val="FirstParagraph"/>
        <w:widowControl/>
        <w:spacing w:after="60" w:line="250" w:lineRule="auto"/>
      </w:pPr>
      <w:r>
        <w:rPr>
          <w:rFonts w:ascii="Noto Serif" w:hAnsi="Noto Serif" w:eastAsia="Noto Serif"/>
          <w:sz w:val="19"/>
        </w:rPr>
        <w:t xml:space="preserve">Before a reduction in force affecting 50 or more employees or 10 percent of an organizational unit, an agency shall publish:</w:t>
      </w:r>
    </w:p>
    <w:p>
      <w:pPr>
        <w:pStyle w:val="Compact"/>
        <w:widowControl/>
        <w:numPr>
          <w:ilvl w:val="0"/>
          <w:numId w:val="1039"/>
        </w:numPr>
        <w:spacing w:after="30" w:line="245" w:lineRule="auto"/>
      </w:pPr>
      <w:r>
        <w:rPr>
          <w:rFonts w:ascii="Noto Serif" w:hAnsi="Noto Serif" w:eastAsia="Noto Serif"/>
          <w:sz w:val="18"/>
        </w:rPr>
        <w:t xml:space="preserve">the statutory mission analysis;</w:t>
      </w:r>
    </w:p>
    <w:p>
      <w:pPr>
        <w:pStyle w:val="Compact"/>
        <w:widowControl/>
        <w:numPr>
          <w:ilvl w:val="0"/>
          <w:numId w:val="1039"/>
        </w:numPr>
        <w:spacing w:after="30" w:line="245" w:lineRule="auto"/>
      </w:pPr>
      <w:r>
        <w:rPr>
          <w:rFonts w:ascii="Noto Serif" w:hAnsi="Noto Serif" w:eastAsia="Noto Serif"/>
          <w:sz w:val="18"/>
        </w:rPr>
        <w:t xml:space="preserve">workload and service-level data;</w:t>
      </w:r>
    </w:p>
    <w:p>
      <w:pPr>
        <w:pStyle w:val="Compact"/>
        <w:widowControl/>
        <w:numPr>
          <w:ilvl w:val="0"/>
          <w:numId w:val="1039"/>
        </w:numPr>
        <w:spacing w:after="30" w:line="245" w:lineRule="auto"/>
      </w:pPr>
      <w:r>
        <w:rPr>
          <w:rFonts w:ascii="Noto Serif" w:hAnsi="Noto Serif" w:eastAsia="Noto Serif"/>
          <w:sz w:val="18"/>
        </w:rPr>
        <w:t xml:space="preserve">alternatives considered;</w:t>
      </w:r>
    </w:p>
    <w:p>
      <w:pPr>
        <w:pStyle w:val="Compact"/>
        <w:widowControl/>
        <w:numPr>
          <w:ilvl w:val="0"/>
          <w:numId w:val="1039"/>
        </w:numPr>
        <w:spacing w:after="30" w:line="245" w:lineRule="auto"/>
      </w:pPr>
      <w:r>
        <w:rPr>
          <w:rFonts w:ascii="Noto Serif" w:hAnsi="Noto Serif" w:eastAsia="Noto Serif"/>
          <w:sz w:val="18"/>
        </w:rPr>
        <w:t xml:space="preserve">effects on civil rights, public health, safety, science, cybersecurity, inspections, grants, and field services;</w:t>
      </w:r>
    </w:p>
    <w:p>
      <w:pPr>
        <w:pStyle w:val="Compact"/>
        <w:widowControl/>
        <w:numPr>
          <w:ilvl w:val="0"/>
          <w:numId w:val="1039"/>
        </w:numPr>
        <w:spacing w:after="30" w:line="245" w:lineRule="auto"/>
      </w:pPr>
      <w:r>
        <w:rPr>
          <w:rFonts w:ascii="Noto Serif" w:hAnsi="Noto Serif" w:eastAsia="Noto Serif"/>
          <w:sz w:val="18"/>
        </w:rPr>
        <w:t xml:space="preserve">costs of separation, rehiring, contracting, delay, and lost expertise;</w:t>
      </w:r>
    </w:p>
    <w:p>
      <w:pPr>
        <w:pStyle w:val="Compact"/>
        <w:widowControl/>
        <w:numPr>
          <w:ilvl w:val="0"/>
          <w:numId w:val="1039"/>
        </w:numPr>
        <w:spacing w:after="30" w:line="245" w:lineRule="auto"/>
      </w:pPr>
      <w:r>
        <w:rPr>
          <w:rFonts w:ascii="Noto Serif" w:hAnsi="Noto Serif" w:eastAsia="Noto Serif"/>
          <w:sz w:val="18"/>
        </w:rPr>
        <w:t xml:space="preserve">bargaining obligations; and</w:t>
      </w:r>
    </w:p>
    <w:p>
      <w:pPr>
        <w:pStyle w:val="Compact"/>
        <w:widowControl/>
        <w:numPr>
          <w:ilvl w:val="0"/>
          <w:numId w:val="1039"/>
        </w:numPr>
        <w:spacing w:after="30" w:line="245" w:lineRule="auto"/>
      </w:pPr>
      <w:r>
        <w:rPr>
          <w:rFonts w:ascii="Noto Serif" w:hAnsi="Noto Serif" w:eastAsia="Noto Serif"/>
          <w:sz w:val="18"/>
        </w:rPr>
        <w:t xml:space="preserve">a continuity and reconstitution plan.</w:t>
      </w:r>
    </w:p>
    <w:p>
      <w:pPr>
        <w:pStyle w:val="FirstParagraph"/>
        <w:widowControl/>
        <w:spacing w:after="60" w:line="250" w:lineRule="auto"/>
      </w:pPr>
      <w:r>
        <w:rPr>
          <w:rFonts w:ascii="Noto Serif" w:hAnsi="Noto Serif" w:eastAsia="Noto Serif"/>
          <w:sz w:val="19"/>
        </w:rPr>
        <w:t xml:space="preserve">No reduction may be based on protected speech, party affiliation, lawful whistleblowing, scientific conclusions, or refusal to execute an unlawful order.</w:t>
      </w:r>
    </w:p>
    <w:bookmarkEnd w:id="69"/>
    <w:bookmarkStart w:id="70" w:name="sec.-404.-adverse-action-due-process."/>
    <w:p>
      <w:pPr>
        <w:pStyle w:val="Heading2"/>
        <w:keepNext/>
        <w:spacing w:before="160" w:after="60"/>
      </w:pPr>
      <w:r>
        <w:rPr>
          <w:rFonts w:ascii="Inter" w:hAnsi="Inter" w:eastAsia="Inter"/>
          <w:b/>
          <w:color w:val="1F3F5B"/>
          <w:sz w:val="23"/>
        </w:rPr>
        <w:t xml:space="preserve">SEC. 404. ADVERSE ACTION DUE PROCESS.</w:t>
      </w:r>
    </w:p>
    <w:p>
      <w:pPr>
        <w:widowControl/>
        <w:numPr>
          <w:ilvl w:val="0"/>
          <w:numId w:val="1040"/>
        </w:numPr>
        <w:spacing w:after="30" w:line="245" w:lineRule="auto"/>
      </w:pPr>
      <w:r>
        <w:rPr>
          <w:rFonts w:ascii="Noto Serif" w:hAnsi="Noto Serif" w:eastAsia="Noto Serif"/>
          <w:sz w:val="18"/>
        </w:rPr>
        <w:t xml:space="preserve">Career employees are entitled to notice, disclosure of evidence, a meaningful opportunity to respond, a reasoned decision by an impartial official, and review by the Merit Systems Protection Board or other lawful forum.</w:t>
      </w:r>
    </w:p>
    <w:p>
      <w:pPr>
        <w:widowControl/>
        <w:numPr>
          <w:ilvl w:val="0"/>
          <w:numId w:val="1040"/>
        </w:numPr>
        <w:spacing w:after="30" w:line="245" w:lineRule="auto"/>
      </w:pPr>
      <w:r>
        <w:rPr>
          <w:rFonts w:ascii="Noto Serif" w:hAnsi="Noto Serif" w:eastAsia="Noto Serif"/>
          <w:sz w:val="18"/>
        </w:rPr>
        <w:t xml:space="preserve">An agency may place an employee on paid nonduty status during a genuine emergency, subject to review within 15 days.</w:t>
      </w:r>
    </w:p>
    <w:p>
      <w:pPr>
        <w:widowControl/>
        <w:numPr>
          <w:ilvl w:val="0"/>
          <w:numId w:val="1040"/>
        </w:numPr>
        <w:spacing w:after="30" w:line="245" w:lineRule="auto"/>
      </w:pPr>
      <w:r>
        <w:rPr>
          <w:rFonts w:ascii="Noto Serif" w:hAnsi="Noto Serif" w:eastAsia="Noto Serif"/>
          <w:sz w:val="18"/>
        </w:rPr>
        <w:t xml:space="preserve">Political disagreement is not cause for removal.</w:t>
      </w:r>
    </w:p>
    <w:bookmarkEnd w:id="70"/>
    <w:bookmarkStart w:id="71" w:name="Xdaf985796c44eeee28dde0a904c70153a8f46e0"/>
    <w:p>
      <w:pPr>
        <w:pStyle w:val="Heading2"/>
        <w:keepNext/>
        <w:spacing w:before="160" w:after="60"/>
      </w:pPr>
      <w:r>
        <w:rPr>
          <w:rFonts w:ascii="Inter" w:hAnsi="Inter" w:eastAsia="Inter"/>
          <w:b/>
          <w:color w:val="1F3F5B"/>
          <w:sz w:val="23"/>
        </w:rPr>
        <w:t xml:space="preserve">SEC. 405. STAFFING FLOORS FOR ESSENTIAL FUNCTIONS.</w:t>
      </w:r>
    </w:p>
    <w:p>
      <w:pPr>
        <w:pStyle w:val="FirstParagraph"/>
        <w:widowControl/>
        <w:spacing w:after="60" w:line="250" w:lineRule="auto"/>
      </w:pPr>
      <w:r>
        <w:rPr>
          <w:rFonts w:ascii="Noto Serif" w:hAnsi="Noto Serif" w:eastAsia="Noto Serif"/>
          <w:sz w:val="19"/>
        </w:rPr>
        <w:t xml:space="preserve">OMB, in consultation with GAO and agency Inspectors General, shall establish workload-based staffing floors for civil-rights enforcement, food and drug safety, disease surveillance, aviation and rail safety, nuclear security, environmental enforcement, benefits processing, tax administration, asylum adjudication, election assistance, statistics, cybersecurity, and oversight. An agency may depart from a floor only through a public risk finding and continuity plan.</w:t>
      </w:r>
    </w:p>
    <w:bookmarkEnd w:id="71"/>
    <w:bookmarkStart w:id="72" w:name="X6eb50c8003f44e3005c611e31f13f16ca02c0dc"/>
    <w:p>
      <w:pPr>
        <w:pStyle w:val="Heading2"/>
        <w:keepNext/>
        <w:spacing w:before="160" w:after="60"/>
      </w:pPr>
      <w:r>
        <w:rPr>
          <w:rFonts w:ascii="Inter" w:hAnsi="Inter" w:eastAsia="Inter"/>
          <w:b/>
          <w:color w:val="1F3F5B"/>
          <w:sz w:val="23"/>
        </w:rPr>
        <w:t xml:space="preserve">SEC. 406. SCIENTIFIC, STATISTICAL, AND TECHNICAL INDEPENDENCE.</w:t>
      </w:r>
    </w:p>
    <w:p>
      <w:pPr>
        <w:widowControl/>
        <w:numPr>
          <w:ilvl w:val="0"/>
          <w:numId w:val="1041"/>
        </w:numPr>
        <w:spacing w:after="30" w:line="245" w:lineRule="auto"/>
      </w:pPr>
      <w:r>
        <w:rPr>
          <w:rFonts w:ascii="Noto Serif" w:hAnsi="Noto Serif" w:eastAsia="Noto Serif"/>
          <w:sz w:val="18"/>
        </w:rPr>
        <w:t xml:space="preserve">A scientific or statistical conclusion may not be altered by a political official without a public, signed explanation identifying the evidence and methodology.</w:t>
      </w:r>
    </w:p>
    <w:p>
      <w:pPr>
        <w:widowControl/>
        <w:numPr>
          <w:ilvl w:val="0"/>
          <w:numId w:val="1041"/>
        </w:numPr>
        <w:spacing w:after="30" w:line="245" w:lineRule="auto"/>
      </w:pPr>
      <w:r>
        <w:rPr>
          <w:rFonts w:ascii="Noto Serif" w:hAnsi="Noto Serif" w:eastAsia="Noto Serif"/>
          <w:sz w:val="18"/>
        </w:rPr>
        <w:t xml:space="preserve">Career scientists may communicate professional findings, subject to lawful protection of classified, deliberative, proprietary, and personal information.</w:t>
      </w:r>
    </w:p>
    <w:p>
      <w:pPr>
        <w:widowControl/>
        <w:numPr>
          <w:ilvl w:val="0"/>
          <w:numId w:val="1041"/>
        </w:numPr>
        <w:spacing w:after="30" w:line="245" w:lineRule="auto"/>
      </w:pPr>
      <w:r>
        <w:rPr>
          <w:rFonts w:ascii="Noto Serif" w:hAnsi="Noto Serif" w:eastAsia="Noto Serif"/>
          <w:sz w:val="18"/>
        </w:rPr>
        <w:t xml:space="preserve">Federal statistical agencies shall publish revision policies, data-quality standards, and logs of politically requested changes.</w:t>
      </w:r>
    </w:p>
    <w:bookmarkEnd w:id="72"/>
    <w:bookmarkStart w:id="73" w:name="X6a8761aea02a99831ed146b4fe52e04c2a0f901"/>
    <w:p>
      <w:pPr>
        <w:pStyle w:val="Heading2"/>
        <w:keepNext/>
        <w:spacing w:before="160" w:after="60"/>
      </w:pPr>
      <w:r>
        <w:rPr>
          <w:rFonts w:ascii="Inter" w:hAnsi="Inter" w:eastAsia="Inter"/>
          <w:b/>
          <w:color w:val="1F3F5B"/>
          <w:sz w:val="23"/>
        </w:rPr>
        <w:t xml:space="preserve">SEC. 407. COLLECTIVE BARGAINING AND EMPLOYEE REPRESENTATION.</w:t>
      </w:r>
    </w:p>
    <w:p>
      <w:pPr>
        <w:pStyle w:val="FirstParagraph"/>
        <w:widowControl/>
        <w:spacing w:after="60" w:line="250" w:lineRule="auto"/>
      </w:pPr>
      <w:r>
        <w:rPr>
          <w:rFonts w:ascii="Noto Serif" w:hAnsi="Noto Serif" w:eastAsia="Noto Serif"/>
          <w:sz w:val="19"/>
        </w:rPr>
        <w:t xml:space="preserve">Executive orders or directives categorically excluding agencies or occupations from collective bargaining shall be reviewed and rescinded unless the President makes an individualized, evidence-based national-security determination subject to judicial review. Existing statutory exclusions remain in effect.</w:t>
      </w:r>
    </w:p>
    <w:bookmarkEnd w:id="73"/>
    <w:bookmarkStart w:id="74" w:name="X7c9c471250063652c5c6076a430e69ca7441637"/>
    <w:p>
      <w:pPr>
        <w:pStyle w:val="Heading2"/>
        <w:keepNext/>
        <w:spacing w:before="160" w:after="60"/>
      </w:pPr>
      <w:r>
        <w:rPr>
          <w:rFonts w:ascii="Inter" w:hAnsi="Inter" w:eastAsia="Inter"/>
          <w:b/>
          <w:color w:val="1F3F5B"/>
          <w:sz w:val="23"/>
        </w:rPr>
        <w:t xml:space="preserve">SEC. 408. PROHIBITION ON IDEOLOGICAL LOYALTY TESTS.</w:t>
      </w:r>
    </w:p>
    <w:p>
      <w:pPr>
        <w:pStyle w:val="FirstParagraph"/>
        <w:widowControl/>
        <w:spacing w:after="60" w:line="250" w:lineRule="auto"/>
      </w:pPr>
      <w:r>
        <w:rPr>
          <w:rFonts w:ascii="Noto Serif" w:hAnsi="Noto Serif" w:eastAsia="Noto Serif"/>
          <w:sz w:val="19"/>
        </w:rPr>
        <w:t xml:space="preserve">No Federal appointment, promotion, clearance, grant-review assignment, scientific panel, or contract position may be conditioned on personal loyalty to a President, party, movement, donor, religious belief, or policy platform. This section does not prohibit lawful evaluation of competence, ethics, conflicts, program fidelity, or commitment to constitutional duties.</w:t>
      </w:r>
    </w:p>
    <w:bookmarkEnd w:id="74"/>
    <w:bookmarkStart w:id="75" w:name="X8b39f64ee1f53f007f01a5c825353342d2e56fa"/>
    <w:p>
      <w:pPr>
        <w:pStyle w:val="Heading2"/>
        <w:keepNext/>
        <w:spacing w:before="160" w:after="60"/>
      </w:pPr>
      <w:r>
        <w:rPr>
          <w:rFonts w:ascii="Inter" w:hAnsi="Inter" w:eastAsia="Inter"/>
          <w:b/>
          <w:color w:val="1F3F5B"/>
          <w:sz w:val="23"/>
        </w:rPr>
        <w:t xml:space="preserve">SEC. 409. WHISTLEBLOWER AND REFUSAL-OF-UNLAWFUL-ORDER PROTECTION.</w:t>
      </w:r>
    </w:p>
    <w:p>
      <w:pPr>
        <w:pStyle w:val="FirstParagraph"/>
        <w:widowControl/>
        <w:spacing w:after="60" w:line="250" w:lineRule="auto"/>
      </w:pPr>
      <w:r>
        <w:rPr>
          <w:rFonts w:ascii="Noto Serif" w:hAnsi="Noto Serif" w:eastAsia="Noto Serif"/>
          <w:sz w:val="19"/>
        </w:rPr>
        <w:t xml:space="preserve">An employee or contractor who reasonably believes an instruction violates law, wastes funds, endangers the public, falsifies evidence, or improperly accesses data may seek prompt review by an Inspector General or the Office of Special Counsel and is protected from retaliation. Interim relief shall be available where retaliation would cause irreparable harm.</w:t>
      </w:r>
    </w:p>
    <w:bookmarkEnd w:id="75"/>
    <w:bookmarkStart w:id="76" w:name="sec.-410.-reconstitution-corps."/>
    <w:p>
      <w:pPr>
        <w:pStyle w:val="Heading2"/>
        <w:keepNext/>
        <w:spacing w:before="160" w:after="60"/>
      </w:pPr>
      <w:r>
        <w:rPr>
          <w:rFonts w:ascii="Inter" w:hAnsi="Inter" w:eastAsia="Inter"/>
          <w:b/>
          <w:color w:val="1F3F5B"/>
          <w:sz w:val="23"/>
        </w:rPr>
        <w:t xml:space="preserve">SEC. 410. RECONSTITUTION CORPS.</w:t>
      </w:r>
    </w:p>
    <w:p>
      <w:pPr>
        <w:pStyle w:val="FirstParagraph"/>
        <w:widowControl/>
        <w:spacing w:after="60" w:line="250" w:lineRule="auto"/>
      </w:pPr>
      <w:r>
        <w:rPr>
          <w:rFonts w:ascii="Noto Serif" w:hAnsi="Noto Serif" w:eastAsia="Noto Serif"/>
          <w:sz w:val="19"/>
        </w:rPr>
        <w:t xml:space="preserve">OPM shall establish a five-year Public Service Reconstitution Corps to recruit former Federal employees, State and local experts, Tribal personnel, scientists, technologists, inspectors, benefits specialists, and recent graduates into hard-to-fill restoration roles. Hiring shall remain merit-based and shall include conflict, ethics, and security screening.</w:t>
      </w:r>
    </w:p>
    <w:bookmarkEnd w:id="76"/>
    <w:bookmarkStart w:id="77" w:name="sec.-411.-workforce-reporting."/>
    <w:p>
      <w:pPr>
        <w:pStyle w:val="Heading2"/>
        <w:keepNext/>
        <w:spacing w:before="160" w:after="60"/>
      </w:pPr>
      <w:r>
        <w:rPr>
          <w:rFonts w:ascii="Inter" w:hAnsi="Inter" w:eastAsia="Inter"/>
          <w:b/>
          <w:color w:val="1F3F5B"/>
          <w:sz w:val="23"/>
        </w:rPr>
        <w:t xml:space="preserve">SEC. 411. WORKFORCE REPORTING.</w:t>
      </w:r>
    </w:p>
    <w:p>
      <w:pPr>
        <w:pStyle w:val="FirstParagraph"/>
        <w:widowControl/>
        <w:spacing w:after="60" w:line="250" w:lineRule="auto"/>
      </w:pPr>
      <w:r>
        <w:rPr>
          <w:rFonts w:ascii="Noto Serif" w:hAnsi="Noto Serif" w:eastAsia="Noto Serif"/>
          <w:sz w:val="19"/>
        </w:rPr>
        <w:t xml:space="preserve">Every agency shall publish quarterly workforce data by mission, occupation, location, hiring, attrition, vacancy, processing backlog, contractor substitution, demographic indicators consistent with privacy, and service-level performance.</w:t>
      </w:r>
    </w:p>
    <w:bookmarkEnd w:id="77"/>
    <w:bookmarkEnd w:id="78"/>
    <w:bookmarkStart w:id="92" w:name="X61e8247bf53ed3e11f989c43c5f49563ac3d2a9"/>
    <w:p>
      <w:pPr>
        <w:pStyle w:val="Heading1"/>
        <w:keepNext/>
        <w:pageBreakBefore/>
        <w:spacing w:before="0" w:after="180"/>
        <w:pBdr>
          <w:bottom w:val="single" w:sz="8" w:space="4" w:color="9EB0BF"/>
        </w:pBdr>
      </w:pPr>
      <w:r>
        <w:rPr>
          <w:rFonts w:ascii="Inter" w:hAnsi="Inter" w:eastAsia="Inter"/>
          <w:b/>
          <w:color w:val="142D48"/>
          <w:sz w:val="34"/>
        </w:rPr>
        <w:t xml:space="preserve">TITLE V - OFFICE OF PUBLIC EFFICIENCY AND INTEGRITY</w:t>
      </w:r>
    </w:p>
    <w:bookmarkStart w:id="79" w:name="sec.-501.-establishment."/>
    <w:p>
      <w:pPr>
        <w:pStyle w:val="Heading2"/>
        <w:keepNext/>
        <w:spacing w:before="160" w:after="60"/>
      </w:pPr>
      <w:r>
        <w:rPr>
          <w:rFonts w:ascii="Inter" w:hAnsi="Inter" w:eastAsia="Inter"/>
          <w:b/>
          <w:color w:val="1F3F5B"/>
          <w:sz w:val="23"/>
        </w:rPr>
        <w:t xml:space="preserve">SEC. 501. ESTABLISHMENT.</w:t>
      </w:r>
    </w:p>
    <w:p>
      <w:pPr>
        <w:pStyle w:val="FirstParagraph"/>
        <w:widowControl/>
        <w:spacing w:after="60" w:line="250" w:lineRule="auto"/>
      </w:pPr>
      <w:r>
        <w:rPr>
          <w:rFonts w:ascii="Noto Serif" w:hAnsi="Noto Serif" w:eastAsia="Noto Serif"/>
          <w:sz w:val="19"/>
        </w:rPr>
        <w:t xml:space="preserve">There is established within the executive branch an independent establishment known as the</w:t>
      </w:r>
      <w:r>
        <w:rPr>
          <w:rFonts w:ascii="Noto Serif" w:hAnsi="Noto Serif" w:eastAsia="Noto Serif"/>
          <w:sz w:val="19"/>
        </w:rPr>
        <w:t xml:space="preserve"> </w:t>
      </w:r>
      <w:r>
        <w:rPr>
          <w:rFonts w:ascii="Noto Serif" w:hAnsi="Noto Serif" w:eastAsia="Noto Serif"/>
          <w:b/>
          <w:bCs/>
          <w:sz w:val="19"/>
        </w:rPr>
        <w:t xml:space="preserve">Office of Public Efficiency and Integrity</w:t>
      </w:r>
      <w:r>
        <w:rPr>
          <w:rFonts w:ascii="Noto Serif" w:hAnsi="Noto Serif" w:eastAsia="Noto Serif"/>
          <w:sz w:val="19"/>
        </w:rPr>
        <w:t xml:space="preserve">.</w:t>
      </w:r>
    </w:p>
    <w:bookmarkEnd w:id="79"/>
    <w:bookmarkStart w:id="80" w:name="X435e41c7a5b9c7c8c687ae38427f20587a97b38"/>
    <w:p>
      <w:pPr>
        <w:pStyle w:val="Heading2"/>
        <w:keepNext/>
        <w:spacing w:before="160" w:after="60"/>
      </w:pPr>
      <w:r>
        <w:rPr>
          <w:rFonts w:ascii="Inter" w:hAnsi="Inter" w:eastAsia="Inter"/>
          <w:b/>
          <w:color w:val="1F3F5B"/>
          <w:sz w:val="23"/>
        </w:rPr>
        <w:t xml:space="preserve">SEC. 502. REPLACEMENT OF AD HOC DOGE STRUCTURES.</w:t>
      </w:r>
    </w:p>
    <w:p>
      <w:pPr>
        <w:widowControl/>
        <w:numPr>
          <w:ilvl w:val="0"/>
          <w:numId w:val="1042"/>
        </w:numPr>
        <w:spacing w:after="30" w:line="245" w:lineRule="auto"/>
      </w:pPr>
      <w:r>
        <w:rPr>
          <w:rFonts w:ascii="Noto Serif" w:hAnsi="Noto Serif" w:eastAsia="Noto Serif"/>
          <w:sz w:val="18"/>
        </w:rPr>
        <w:t xml:space="preserve">The temporary United States DOGE Service organization, departmental DOGE teams, and successor structures created solely by executive action are terminated 90 days after enactment.</w:t>
      </w:r>
    </w:p>
    <w:p>
      <w:pPr>
        <w:widowControl/>
        <w:numPr>
          <w:ilvl w:val="0"/>
          <w:numId w:val="1042"/>
        </w:numPr>
        <w:spacing w:after="30" w:line="245" w:lineRule="auto"/>
      </w:pPr>
      <w:r>
        <w:rPr>
          <w:rFonts w:ascii="Noto Serif" w:hAnsi="Noto Serif" w:eastAsia="Noto Serif"/>
          <w:sz w:val="18"/>
        </w:rPr>
        <w:t xml:space="preserve">Their lawful records, systems, audits, and nonpartisan personnel may be transferred to OPEI after privacy, security, records, and conflict-of-interest review.</w:t>
      </w:r>
    </w:p>
    <w:p>
      <w:pPr>
        <w:widowControl/>
        <w:numPr>
          <w:ilvl w:val="0"/>
          <w:numId w:val="1042"/>
        </w:numPr>
        <w:spacing w:after="30" w:line="245" w:lineRule="auto"/>
      </w:pPr>
      <w:r>
        <w:rPr>
          <w:rFonts w:ascii="Noto Serif" w:hAnsi="Noto Serif" w:eastAsia="Noto Serif"/>
          <w:sz w:val="18"/>
        </w:rPr>
        <w:t xml:space="preserve">No transferred employee retains access to sensitive systems merely by virtue of prior DOGE service.</w:t>
      </w:r>
    </w:p>
    <w:bookmarkEnd w:id="80"/>
    <w:bookmarkStart w:id="81" w:name="sec.-503.-leadership-and-independence."/>
    <w:p>
      <w:pPr>
        <w:pStyle w:val="Heading2"/>
        <w:keepNext/>
        <w:spacing w:before="160" w:after="60"/>
      </w:pPr>
      <w:r>
        <w:rPr>
          <w:rFonts w:ascii="Inter" w:hAnsi="Inter" w:eastAsia="Inter"/>
          <w:b/>
          <w:color w:val="1F3F5B"/>
          <w:sz w:val="23"/>
        </w:rPr>
        <w:t xml:space="preserve">SEC. 503. LEADERSHIP AND INDEPENDENCE.</w:t>
      </w:r>
    </w:p>
    <w:p>
      <w:pPr>
        <w:widowControl/>
        <w:numPr>
          <w:ilvl w:val="0"/>
          <w:numId w:val="1043"/>
        </w:numPr>
        <w:spacing w:after="30" w:line="245" w:lineRule="auto"/>
      </w:pPr>
      <w:r>
        <w:rPr>
          <w:rFonts w:ascii="Noto Serif" w:hAnsi="Noto Serif" w:eastAsia="Noto Serif"/>
          <w:sz w:val="18"/>
        </w:rPr>
        <w:t xml:space="preserve">OPEI is headed by an Administrator appointed by the President, by and with the advice and consent of the Senate, for a term of 7 years.</w:t>
      </w:r>
    </w:p>
    <w:p>
      <w:pPr>
        <w:widowControl/>
        <w:numPr>
          <w:ilvl w:val="0"/>
          <w:numId w:val="1043"/>
        </w:numPr>
        <w:spacing w:after="30" w:line="245" w:lineRule="auto"/>
      </w:pPr>
      <w:r>
        <w:rPr>
          <w:rFonts w:ascii="Noto Serif" w:hAnsi="Noto Serif" w:eastAsia="Noto Serif"/>
          <w:sz w:val="18"/>
        </w:rPr>
        <w:t xml:space="preserve">The Administrator may be removed for neglect of duty, malfeasance, incapacity, or substantial violation of ethics rules.</w:t>
      </w:r>
    </w:p>
    <w:p>
      <w:pPr>
        <w:widowControl/>
        <w:numPr>
          <w:ilvl w:val="0"/>
          <w:numId w:val="1043"/>
        </w:numPr>
        <w:spacing w:after="30" w:line="245" w:lineRule="auto"/>
      </w:pPr>
      <w:r>
        <w:rPr>
          <w:rFonts w:ascii="Noto Serif" w:hAnsi="Noto Serif" w:eastAsia="Noto Serif"/>
          <w:sz w:val="18"/>
        </w:rPr>
        <w:t xml:space="preserve">The Administrator shall appoint a Chief Technologist, Chief Economist, Chief Privacy Officer, Chief Procurement Officer, Chief Human Capital Officer, and Chief Public-Service Officer.</w:t>
      </w:r>
    </w:p>
    <w:p>
      <w:pPr>
        <w:widowControl/>
        <w:numPr>
          <w:ilvl w:val="0"/>
          <w:numId w:val="1043"/>
        </w:numPr>
        <w:spacing w:after="30" w:line="245" w:lineRule="auto"/>
      </w:pPr>
      <w:r>
        <w:rPr>
          <w:rFonts w:ascii="Noto Serif" w:hAnsi="Noto Serif" w:eastAsia="Noto Serif"/>
          <w:sz w:val="18"/>
        </w:rPr>
        <w:t xml:space="preserve">No senior OPEI official may hold a financial interest in a Federal contractor or regulated entity materially affected by an active OPEI review.</w:t>
      </w:r>
    </w:p>
    <w:bookmarkEnd w:id="81"/>
    <w:bookmarkStart w:id="82" w:name="sec.-504.-mission."/>
    <w:p>
      <w:pPr>
        <w:pStyle w:val="Heading2"/>
        <w:keepNext/>
        <w:spacing w:before="160" w:after="60"/>
      </w:pPr>
      <w:r>
        <w:rPr>
          <w:rFonts w:ascii="Inter" w:hAnsi="Inter" w:eastAsia="Inter"/>
          <w:b/>
          <w:color w:val="1F3F5B"/>
          <w:sz w:val="23"/>
        </w:rPr>
        <w:t xml:space="preserve">SEC. 504. MISSION.</w:t>
      </w:r>
    </w:p>
    <w:p>
      <w:pPr>
        <w:pStyle w:val="FirstParagraph"/>
        <w:widowControl/>
        <w:spacing w:after="60" w:line="250" w:lineRule="auto"/>
      </w:pPr>
      <w:r>
        <w:rPr>
          <w:rFonts w:ascii="Noto Serif" w:hAnsi="Noto Serif" w:eastAsia="Noto Serif"/>
          <w:sz w:val="19"/>
        </w:rPr>
        <w:t xml:space="preserve">OPEI shall improve value, service quality, administrative simplicity, fraud prevention, procurement performance, technology resilience, payment accuracy, accessibility, and public trust. Cost reduction is a means, not the sole measure of efficiency.</w:t>
      </w:r>
    </w:p>
    <w:bookmarkEnd w:id="82"/>
    <w:bookmarkStart w:id="83" w:name="sec.-505.-authorized-methods."/>
    <w:p>
      <w:pPr>
        <w:pStyle w:val="Heading2"/>
        <w:keepNext/>
        <w:spacing w:before="160" w:after="60"/>
      </w:pPr>
      <w:r>
        <w:rPr>
          <w:rFonts w:ascii="Inter" w:hAnsi="Inter" w:eastAsia="Inter"/>
          <w:b/>
          <w:color w:val="1F3F5B"/>
          <w:sz w:val="23"/>
        </w:rPr>
        <w:t xml:space="preserve">SEC. 505. AUTHORIZED METHODS.</w:t>
      </w:r>
    </w:p>
    <w:p>
      <w:pPr>
        <w:pStyle w:val="FirstParagraph"/>
        <w:widowControl/>
        <w:spacing w:after="60" w:line="250" w:lineRule="auto"/>
      </w:pPr>
      <w:r>
        <w:rPr>
          <w:rFonts w:ascii="Noto Serif" w:hAnsi="Noto Serif" w:eastAsia="Noto Serif"/>
          <w:sz w:val="19"/>
        </w:rPr>
        <w:t xml:space="preserve">OPEI may:</w:t>
      </w:r>
    </w:p>
    <w:p>
      <w:pPr>
        <w:pStyle w:val="Compact"/>
        <w:widowControl/>
        <w:numPr>
          <w:ilvl w:val="0"/>
          <w:numId w:val="1044"/>
        </w:numPr>
        <w:spacing w:after="30" w:line="245" w:lineRule="auto"/>
      </w:pPr>
      <w:r>
        <w:rPr>
          <w:rFonts w:ascii="Noto Serif" w:hAnsi="Noto Serif" w:eastAsia="Noto Serif"/>
          <w:sz w:val="18"/>
        </w:rPr>
        <w:t xml:space="preserve">conduct performance audits and service-design reviews;</w:t>
      </w:r>
    </w:p>
    <w:p>
      <w:pPr>
        <w:pStyle w:val="Compact"/>
        <w:widowControl/>
        <w:numPr>
          <w:ilvl w:val="0"/>
          <w:numId w:val="1044"/>
        </w:numPr>
        <w:spacing w:after="30" w:line="245" w:lineRule="auto"/>
      </w:pPr>
      <w:r>
        <w:rPr>
          <w:rFonts w:ascii="Noto Serif" w:hAnsi="Noto Serif" w:eastAsia="Noto Serif"/>
          <w:sz w:val="18"/>
        </w:rPr>
        <w:t xml:space="preserve">identify duplicative forms, obsolete systems, improper payments, procurement bottlenecks, unnecessary real property, and avoidable contractor dependence;</w:t>
      </w:r>
    </w:p>
    <w:p>
      <w:pPr>
        <w:pStyle w:val="Compact"/>
        <w:widowControl/>
        <w:numPr>
          <w:ilvl w:val="0"/>
          <w:numId w:val="1044"/>
        </w:numPr>
        <w:spacing w:after="30" w:line="245" w:lineRule="auto"/>
      </w:pPr>
      <w:r>
        <w:rPr>
          <w:rFonts w:ascii="Noto Serif" w:hAnsi="Noto Serif" w:eastAsia="Noto Serif"/>
          <w:sz w:val="18"/>
        </w:rPr>
        <w:t xml:space="preserve">provide shared technology and cybersecurity services;</w:t>
      </w:r>
    </w:p>
    <w:p>
      <w:pPr>
        <w:pStyle w:val="Compact"/>
        <w:widowControl/>
        <w:numPr>
          <w:ilvl w:val="0"/>
          <w:numId w:val="1044"/>
        </w:numPr>
        <w:spacing w:after="30" w:line="245" w:lineRule="auto"/>
      </w:pPr>
      <w:r>
        <w:rPr>
          <w:rFonts w:ascii="Noto Serif" w:hAnsi="Noto Serif" w:eastAsia="Noto Serif"/>
          <w:sz w:val="18"/>
        </w:rPr>
        <w:t xml:space="preserve">run evidence-based pilots;</w:t>
      </w:r>
    </w:p>
    <w:p>
      <w:pPr>
        <w:pStyle w:val="Compact"/>
        <w:widowControl/>
        <w:numPr>
          <w:ilvl w:val="0"/>
          <w:numId w:val="1044"/>
        </w:numPr>
        <w:spacing w:after="30" w:line="245" w:lineRule="auto"/>
      </w:pPr>
      <w:r>
        <w:rPr>
          <w:rFonts w:ascii="Noto Serif" w:hAnsi="Noto Serif" w:eastAsia="Noto Serif"/>
          <w:sz w:val="18"/>
        </w:rPr>
        <w:t xml:space="preserve">recommend legislation, rulemaking, or budget changes;</w:t>
      </w:r>
    </w:p>
    <w:p>
      <w:pPr>
        <w:pStyle w:val="Compact"/>
        <w:widowControl/>
        <w:numPr>
          <w:ilvl w:val="0"/>
          <w:numId w:val="1044"/>
        </w:numPr>
        <w:spacing w:after="30" w:line="245" w:lineRule="auto"/>
      </w:pPr>
      <w:r>
        <w:rPr>
          <w:rFonts w:ascii="Noto Serif" w:hAnsi="Noto Serif" w:eastAsia="Noto Serif"/>
          <w:sz w:val="18"/>
        </w:rPr>
        <w:t xml:space="preserve">negotiate government-wide purchasing vehicles consistent with competition law;</w:t>
      </w:r>
    </w:p>
    <w:p>
      <w:pPr>
        <w:pStyle w:val="Compact"/>
        <w:widowControl/>
        <w:numPr>
          <w:ilvl w:val="0"/>
          <w:numId w:val="1044"/>
        </w:numPr>
        <w:spacing w:after="30" w:line="245" w:lineRule="auto"/>
      </w:pPr>
      <w:r>
        <w:rPr>
          <w:rFonts w:ascii="Noto Serif" w:hAnsi="Noto Serif" w:eastAsia="Noto Serif"/>
          <w:sz w:val="18"/>
        </w:rPr>
        <w:t xml:space="preserve">assist Inspectors General and agencies in fraud analytics; and</w:t>
      </w:r>
    </w:p>
    <w:p>
      <w:pPr>
        <w:pStyle w:val="Compact"/>
        <w:widowControl/>
        <w:numPr>
          <w:ilvl w:val="0"/>
          <w:numId w:val="1044"/>
        </w:numPr>
        <w:spacing w:after="30" w:line="245" w:lineRule="auto"/>
      </w:pPr>
      <w:r>
        <w:rPr>
          <w:rFonts w:ascii="Noto Serif" w:hAnsi="Noto Serif" w:eastAsia="Noto Serif"/>
          <w:sz w:val="18"/>
        </w:rPr>
        <w:t xml:space="preserve">publish total-cost-of-ownership and service-quality metrics.</w:t>
      </w:r>
    </w:p>
    <w:bookmarkEnd w:id="83"/>
    <w:bookmarkStart w:id="84" w:name="sec.-506.-limits-on-authority."/>
    <w:p>
      <w:pPr>
        <w:pStyle w:val="Heading2"/>
        <w:keepNext/>
        <w:spacing w:before="160" w:after="60"/>
      </w:pPr>
      <w:r>
        <w:rPr>
          <w:rFonts w:ascii="Inter" w:hAnsi="Inter" w:eastAsia="Inter"/>
          <w:b/>
          <w:color w:val="1F3F5B"/>
          <w:sz w:val="23"/>
        </w:rPr>
        <w:t xml:space="preserve">SEC. 506. LIMITS ON AUTHORITY.</w:t>
      </w:r>
    </w:p>
    <w:p>
      <w:pPr>
        <w:pStyle w:val="FirstParagraph"/>
        <w:widowControl/>
        <w:spacing w:after="60" w:line="250" w:lineRule="auto"/>
      </w:pPr>
      <w:r>
        <w:rPr>
          <w:rFonts w:ascii="Noto Serif" w:hAnsi="Noto Serif" w:eastAsia="Noto Serif"/>
          <w:sz w:val="19"/>
        </w:rPr>
        <w:t xml:space="preserve">OPEI may not:</w:t>
      </w:r>
    </w:p>
    <w:p>
      <w:pPr>
        <w:pStyle w:val="Compact"/>
        <w:widowControl/>
        <w:numPr>
          <w:ilvl w:val="0"/>
          <w:numId w:val="1045"/>
        </w:numPr>
        <w:spacing w:after="30" w:line="245" w:lineRule="auto"/>
      </w:pPr>
      <w:r>
        <w:rPr>
          <w:rFonts w:ascii="Noto Serif" w:hAnsi="Noto Serif" w:eastAsia="Noto Serif"/>
          <w:sz w:val="18"/>
        </w:rPr>
        <w:t xml:space="preserve">abolish or suspend a statutory function;</w:t>
      </w:r>
    </w:p>
    <w:p>
      <w:pPr>
        <w:pStyle w:val="Compact"/>
        <w:widowControl/>
        <w:numPr>
          <w:ilvl w:val="0"/>
          <w:numId w:val="1045"/>
        </w:numPr>
        <w:spacing w:after="30" w:line="245" w:lineRule="auto"/>
      </w:pPr>
      <w:r>
        <w:rPr>
          <w:rFonts w:ascii="Noto Serif" w:hAnsi="Noto Serif" w:eastAsia="Noto Serif"/>
          <w:sz w:val="18"/>
        </w:rPr>
        <w:t xml:space="preserve">impound or redirect appropriations;</w:t>
      </w:r>
    </w:p>
    <w:p>
      <w:pPr>
        <w:pStyle w:val="Compact"/>
        <w:widowControl/>
        <w:numPr>
          <w:ilvl w:val="0"/>
          <w:numId w:val="1045"/>
        </w:numPr>
        <w:spacing w:after="30" w:line="245" w:lineRule="auto"/>
      </w:pPr>
      <w:r>
        <w:rPr>
          <w:rFonts w:ascii="Noto Serif" w:hAnsi="Noto Serif" w:eastAsia="Noto Serif"/>
          <w:sz w:val="18"/>
        </w:rPr>
        <w:t xml:space="preserve">terminate a grant, contract, employee, rule, or benefit on its own authority;</w:t>
      </w:r>
    </w:p>
    <w:p>
      <w:pPr>
        <w:pStyle w:val="Compact"/>
        <w:widowControl/>
        <w:numPr>
          <w:ilvl w:val="0"/>
          <w:numId w:val="1045"/>
        </w:numPr>
        <w:spacing w:after="30" w:line="245" w:lineRule="auto"/>
      </w:pPr>
      <w:r>
        <w:rPr>
          <w:rFonts w:ascii="Noto Serif" w:hAnsi="Noto Serif" w:eastAsia="Noto Serif"/>
          <w:sz w:val="18"/>
        </w:rPr>
        <w:t xml:space="preserve">direct an adjudication, investigation, prosecution, monetary-policy decision, scientific conclusion, or licensing outcome;</w:t>
      </w:r>
    </w:p>
    <w:p>
      <w:pPr>
        <w:pStyle w:val="Compact"/>
        <w:widowControl/>
        <w:numPr>
          <w:ilvl w:val="0"/>
          <w:numId w:val="1045"/>
        </w:numPr>
        <w:spacing w:after="30" w:line="245" w:lineRule="auto"/>
      </w:pPr>
      <w:r>
        <w:rPr>
          <w:rFonts w:ascii="Noto Serif" w:hAnsi="Noto Serif" w:eastAsia="Noto Serif"/>
          <w:sz w:val="18"/>
        </w:rPr>
        <w:t xml:space="preserve">access sensitive personal data without a written data-access order meeting section 507;</w:t>
      </w:r>
    </w:p>
    <w:p>
      <w:pPr>
        <w:pStyle w:val="Compact"/>
        <w:widowControl/>
        <w:numPr>
          <w:ilvl w:val="0"/>
          <w:numId w:val="1045"/>
        </w:numPr>
        <w:spacing w:after="30" w:line="245" w:lineRule="auto"/>
      </w:pPr>
      <w:r>
        <w:rPr>
          <w:rFonts w:ascii="Noto Serif" w:hAnsi="Noto Serif" w:eastAsia="Noto Serif"/>
          <w:sz w:val="18"/>
        </w:rPr>
        <w:t xml:space="preserve">use private commercial systems to create undisclosed profiles of Federal employees or beneficiaries; or</w:t>
      </w:r>
    </w:p>
    <w:p>
      <w:pPr>
        <w:pStyle w:val="Compact"/>
        <w:widowControl/>
        <w:numPr>
          <w:ilvl w:val="0"/>
          <w:numId w:val="1045"/>
        </w:numPr>
        <w:spacing w:after="30" w:line="245" w:lineRule="auto"/>
      </w:pPr>
      <w:r>
        <w:rPr>
          <w:rFonts w:ascii="Noto Serif" w:hAnsi="Noto Serif" w:eastAsia="Noto Serif"/>
          <w:sz w:val="18"/>
        </w:rPr>
        <w:t xml:space="preserve">condition government service on political or ideological loyalty.</w:t>
      </w:r>
    </w:p>
    <w:bookmarkEnd w:id="84"/>
    <w:bookmarkStart w:id="85" w:name="sec.-507.-data-access-orders."/>
    <w:p>
      <w:pPr>
        <w:pStyle w:val="Heading2"/>
        <w:keepNext/>
        <w:spacing w:before="160" w:after="60"/>
      </w:pPr>
      <w:r>
        <w:rPr>
          <w:rFonts w:ascii="Inter" w:hAnsi="Inter" w:eastAsia="Inter"/>
          <w:b/>
          <w:color w:val="1F3F5B"/>
          <w:sz w:val="23"/>
        </w:rPr>
        <w:t xml:space="preserve">SEC. 507. DATA-ACCESS ORDERS.</w:t>
      </w:r>
    </w:p>
    <w:p>
      <w:pPr>
        <w:widowControl/>
        <w:numPr>
          <w:ilvl w:val="0"/>
          <w:numId w:val="1046"/>
        </w:numPr>
        <w:spacing w:after="30" w:line="245" w:lineRule="auto"/>
      </w:pPr>
      <w:r>
        <w:rPr>
          <w:rFonts w:ascii="Noto Serif" w:hAnsi="Noto Serif" w:eastAsia="Noto Serif"/>
          <w:sz w:val="18"/>
        </w:rPr>
        <w:t xml:space="preserve">OPEI access to an agency system requires a written order signed by the Administrator, the agency head, Chief Information Officer, Chief Privacy Officer, and Inspector General.</w:t>
      </w:r>
    </w:p>
    <w:p>
      <w:pPr>
        <w:widowControl/>
        <w:numPr>
          <w:ilvl w:val="0"/>
          <w:numId w:val="1046"/>
        </w:numPr>
        <w:spacing w:after="30" w:line="245" w:lineRule="auto"/>
      </w:pPr>
      <w:r>
        <w:rPr>
          <w:rFonts w:ascii="Noto Serif" w:hAnsi="Noto Serif" w:eastAsia="Noto Serif"/>
          <w:sz w:val="18"/>
        </w:rPr>
        <w:t xml:space="preserve">The order shall state purpose, data fields, legal authority, personnel, duration, security controls, minimization, retention, audit, and deletion requirements.</w:t>
      </w:r>
    </w:p>
    <w:p>
      <w:pPr>
        <w:widowControl/>
        <w:numPr>
          <w:ilvl w:val="0"/>
          <w:numId w:val="1046"/>
        </w:numPr>
        <w:spacing w:after="30" w:line="245" w:lineRule="auto"/>
      </w:pPr>
      <w:r>
        <w:rPr>
          <w:rFonts w:ascii="Noto Serif" w:hAnsi="Noto Serif" w:eastAsia="Noto Serif"/>
          <w:sz w:val="18"/>
        </w:rPr>
        <w:t xml:space="preserve">Read-only, de-identified, aggregated, or synthetic data shall be used where feasible.</w:t>
      </w:r>
    </w:p>
    <w:p>
      <w:pPr>
        <w:widowControl/>
        <w:numPr>
          <w:ilvl w:val="0"/>
          <w:numId w:val="1046"/>
        </w:numPr>
        <w:spacing w:after="30" w:line="245" w:lineRule="auto"/>
      </w:pPr>
      <w:r>
        <w:rPr>
          <w:rFonts w:ascii="Noto Serif" w:hAnsi="Noto Serif" w:eastAsia="Noto Serif"/>
          <w:sz w:val="18"/>
        </w:rPr>
        <w:t xml:space="preserve">Every query involving sensitive personal data shall be logged. Logs shall be preserved for 10 years and audited quarterly.</w:t>
      </w:r>
    </w:p>
    <w:p>
      <w:pPr>
        <w:widowControl/>
        <w:numPr>
          <w:ilvl w:val="0"/>
          <w:numId w:val="1046"/>
        </w:numPr>
        <w:spacing w:after="30" w:line="245" w:lineRule="auto"/>
      </w:pPr>
      <w:r>
        <w:rPr>
          <w:rFonts w:ascii="Noto Serif" w:hAnsi="Noto Serif" w:eastAsia="Noto Serif"/>
          <w:sz w:val="18"/>
        </w:rPr>
        <w:t xml:space="preserve">Access to tax return information, Social Security records, health records, immigration files, student records, classified information, or law-enforcement data remains subject to all specific statutory restrictions.</w:t>
      </w:r>
    </w:p>
    <w:bookmarkEnd w:id="85"/>
    <w:bookmarkStart w:id="86" w:name="sec.-508.-public-value-test."/>
    <w:p>
      <w:pPr>
        <w:pStyle w:val="Heading2"/>
        <w:keepNext/>
        <w:spacing w:before="160" w:after="60"/>
      </w:pPr>
      <w:r>
        <w:rPr>
          <w:rFonts w:ascii="Inter" w:hAnsi="Inter" w:eastAsia="Inter"/>
          <w:b/>
          <w:color w:val="1F3F5B"/>
          <w:sz w:val="23"/>
        </w:rPr>
        <w:t xml:space="preserve">SEC. 508. PUBLIC-VALUE TEST.</w:t>
      </w:r>
    </w:p>
    <w:p>
      <w:pPr>
        <w:pStyle w:val="FirstParagraph"/>
        <w:widowControl/>
        <w:spacing w:after="60" w:line="250" w:lineRule="auto"/>
      </w:pPr>
      <w:r>
        <w:rPr>
          <w:rFonts w:ascii="Noto Serif" w:hAnsi="Noto Serif" w:eastAsia="Noto Serif"/>
          <w:sz w:val="19"/>
        </w:rPr>
        <w:t xml:space="preserve">An OPEI recommendation projected to reduce expenditures by more than $100,000,000 over five years shall also estimate effects on service access, processing time, errors, workforce, contractors, cybersecurity, civil rights, local governments, regulated entities, and long-term liabilities. A recommendation may not be labeled a saving if it merely shifts cost to another public entity or future fiscal year.</w:t>
      </w:r>
    </w:p>
    <w:bookmarkEnd w:id="86"/>
    <w:bookmarkStart w:id="87" w:name="X70c6d33833424094330809f82e3bddc7200b390"/>
    <w:p>
      <w:pPr>
        <w:pStyle w:val="Heading2"/>
        <w:keepNext/>
        <w:spacing w:before="160" w:after="60"/>
      </w:pPr>
      <w:r>
        <w:rPr>
          <w:rFonts w:ascii="Inter" w:hAnsi="Inter" w:eastAsia="Inter"/>
          <w:b/>
          <w:color w:val="1F3F5B"/>
          <w:sz w:val="23"/>
        </w:rPr>
        <w:t xml:space="preserve">SEC. 509. PROCUREMENT AND CONTRACTOR INTEGRITY.</w:t>
      </w:r>
    </w:p>
    <w:p>
      <w:pPr>
        <w:widowControl/>
        <w:numPr>
          <w:ilvl w:val="0"/>
          <w:numId w:val="1047"/>
        </w:numPr>
        <w:spacing w:after="30" w:line="245" w:lineRule="auto"/>
      </w:pPr>
      <w:r>
        <w:rPr>
          <w:rFonts w:ascii="Noto Serif" w:hAnsi="Noto Serif" w:eastAsia="Noto Serif"/>
          <w:sz w:val="18"/>
        </w:rPr>
        <w:t xml:space="preserve">OPEI shall identify sole-source dependence, vendor lock-in, conflicts, overbilling, weak cybersecurity, and revolving-door risks.</w:t>
      </w:r>
    </w:p>
    <w:p>
      <w:pPr>
        <w:widowControl/>
        <w:numPr>
          <w:ilvl w:val="0"/>
          <w:numId w:val="1047"/>
        </w:numPr>
        <w:spacing w:after="30" w:line="245" w:lineRule="auto"/>
      </w:pPr>
      <w:r>
        <w:rPr>
          <w:rFonts w:ascii="Noto Serif" w:hAnsi="Noto Serif" w:eastAsia="Noto Serif"/>
          <w:sz w:val="18"/>
        </w:rPr>
        <w:t xml:space="preserve">Contractor access to Federal data shall require equivalent or stronger controls than Federal employee access.</w:t>
      </w:r>
    </w:p>
    <w:p>
      <w:pPr>
        <w:widowControl/>
        <w:numPr>
          <w:ilvl w:val="0"/>
          <w:numId w:val="1047"/>
        </w:numPr>
        <w:spacing w:after="30" w:line="245" w:lineRule="auto"/>
      </w:pPr>
      <w:r>
        <w:rPr>
          <w:rFonts w:ascii="Noto Serif" w:hAnsi="Noto Serif" w:eastAsia="Noto Serif"/>
          <w:sz w:val="18"/>
        </w:rPr>
        <w:t xml:space="preserve">A person substantially involved in selecting or auditing a contractor may not accept compensated employment from that contractor for two years, subject to narrow waivers published with reasons.</w:t>
      </w:r>
    </w:p>
    <w:bookmarkEnd w:id="87"/>
    <w:bookmarkStart w:id="88" w:name="Xe25b9d2116c84f1bf18fb6b202f8452ee044478"/>
    <w:p>
      <w:pPr>
        <w:pStyle w:val="Heading2"/>
        <w:keepNext/>
        <w:spacing w:before="160" w:after="60"/>
      </w:pPr>
      <w:r>
        <w:rPr>
          <w:rFonts w:ascii="Inter" w:hAnsi="Inter" w:eastAsia="Inter"/>
          <w:b/>
          <w:color w:val="1F3F5B"/>
          <w:sz w:val="23"/>
        </w:rPr>
        <w:t xml:space="preserve">SEC. 510. EMPLOYEE AND UNION PARTICIPATION.</w:t>
      </w:r>
    </w:p>
    <w:p>
      <w:pPr>
        <w:pStyle w:val="FirstParagraph"/>
        <w:widowControl/>
        <w:spacing w:after="60" w:line="250" w:lineRule="auto"/>
      </w:pPr>
      <w:r>
        <w:rPr>
          <w:rFonts w:ascii="Noto Serif" w:hAnsi="Noto Serif" w:eastAsia="Noto Serif"/>
          <w:sz w:val="19"/>
        </w:rPr>
        <w:t xml:space="preserve">Employees and recognized labor organizations shall receive notice and an opportunity to propose alternatives before a recommendation materially changes workload, staffing, bargaining-unit conditions, or service delivery. Protected disclosures may be submitted confidentially.</w:t>
      </w:r>
    </w:p>
    <w:bookmarkEnd w:id="88"/>
    <w:bookmarkStart w:id="89" w:name="sec.-511.-public-dashboard."/>
    <w:p>
      <w:pPr>
        <w:pStyle w:val="Heading2"/>
        <w:keepNext/>
        <w:spacing w:before="160" w:after="60"/>
      </w:pPr>
      <w:r>
        <w:rPr>
          <w:rFonts w:ascii="Inter" w:hAnsi="Inter" w:eastAsia="Inter"/>
          <w:b/>
          <w:color w:val="1F3F5B"/>
          <w:sz w:val="23"/>
        </w:rPr>
        <w:t xml:space="preserve">SEC. 511. PUBLIC DASHBOARD.</w:t>
      </w:r>
    </w:p>
    <w:p>
      <w:pPr>
        <w:pStyle w:val="FirstParagraph"/>
        <w:widowControl/>
        <w:spacing w:after="60" w:line="250" w:lineRule="auto"/>
      </w:pPr>
      <w:r>
        <w:rPr>
          <w:rFonts w:ascii="Noto Serif" w:hAnsi="Noto Serif" w:eastAsia="Noto Serif"/>
          <w:sz w:val="19"/>
        </w:rPr>
        <w:t xml:space="preserve">OPEI shall publish each project, sponsor, legal authority, baseline, estimated and verified savings, implementation cost, service metrics, privacy assessment, contractor involvement, recommendations, agency response, and audit status. Unsupported public claims of savings are prohibited.</w:t>
      </w:r>
    </w:p>
    <w:bookmarkEnd w:id="89"/>
    <w:bookmarkStart w:id="90" w:name="sec.-512.-audit-and-oversight."/>
    <w:p>
      <w:pPr>
        <w:pStyle w:val="Heading2"/>
        <w:keepNext/>
        <w:spacing w:before="160" w:after="60"/>
      </w:pPr>
      <w:r>
        <w:rPr>
          <w:rFonts w:ascii="Inter" w:hAnsi="Inter" w:eastAsia="Inter"/>
          <w:b/>
          <w:color w:val="1F3F5B"/>
          <w:sz w:val="23"/>
        </w:rPr>
        <w:t xml:space="preserve">SEC. 512. AUDIT AND OVERSIGHT.</w:t>
      </w:r>
    </w:p>
    <w:p>
      <w:pPr>
        <w:pStyle w:val="FirstParagraph"/>
        <w:widowControl/>
        <w:spacing w:after="60" w:line="250" w:lineRule="auto"/>
      </w:pPr>
      <w:r>
        <w:rPr>
          <w:rFonts w:ascii="Noto Serif" w:hAnsi="Noto Serif" w:eastAsia="Noto Serif"/>
          <w:sz w:val="19"/>
        </w:rPr>
        <w:t xml:space="preserve">The OPEI Inspector General shall audit data access, savings claims, conflicts, procurement, civil-rights effects, and retaliation. GAO shall conduct a government-wide evaluation every two years.</w:t>
      </w:r>
    </w:p>
    <w:bookmarkEnd w:id="90"/>
    <w:bookmarkStart w:id="91" w:name="X8700e2bd3aa383f114822ddfb1b7b8550ab195e"/>
    <w:p>
      <w:pPr>
        <w:pStyle w:val="Heading2"/>
        <w:keepNext/>
        <w:spacing w:before="160" w:after="60"/>
      </w:pPr>
      <w:r>
        <w:rPr>
          <w:rFonts w:ascii="Inter" w:hAnsi="Inter" w:eastAsia="Inter"/>
          <w:b/>
          <w:color w:val="1F3F5B"/>
          <w:sz w:val="23"/>
        </w:rPr>
        <w:t xml:space="preserve">SEC. 513. AUTHORIZATION OF APPROPRIATIONS.</w:t>
      </w:r>
    </w:p>
    <w:p>
      <w:pPr>
        <w:pStyle w:val="FirstParagraph"/>
        <w:widowControl/>
        <w:spacing w:after="60" w:line="250" w:lineRule="auto"/>
      </w:pPr>
      <w:r>
        <w:rPr>
          <w:rFonts w:ascii="Noto Serif" w:hAnsi="Noto Serif" w:eastAsia="Noto Serif"/>
          <w:sz w:val="19"/>
        </w:rPr>
        <w:t xml:space="preserve">There are authorized to be appropriated to OPEI $650,000,000 for fiscal year 2027, $800,000,000 for fiscal year 2028, and $950,000,000 for each of fiscal years 2029 through 2031, with later amounts subject to appropriation.</w:t>
      </w:r>
    </w:p>
    <w:bookmarkEnd w:id="91"/>
    <w:bookmarkEnd w:id="92"/>
    <w:bookmarkStart w:id="103" w:name="X03976ddf128e4cdca950ac98d636f7b2be4cabb"/>
    <w:p>
      <w:pPr>
        <w:pStyle w:val="Heading1"/>
        <w:keepNext/>
        <w:pageBreakBefore/>
        <w:spacing w:before="0" w:after="180"/>
        <w:pBdr>
          <w:bottom w:val="single" w:sz="8" w:space="4" w:color="9EB0BF"/>
        </w:pBdr>
      </w:pPr>
      <w:r>
        <w:rPr>
          <w:rFonts w:ascii="Inter" w:hAnsi="Inter" w:eastAsia="Inter"/>
          <w:b/>
          <w:color w:val="142D48"/>
          <w:sz w:val="34"/>
        </w:rPr>
        <w:t xml:space="preserve">TITLE VI - DEMOCRATIC PARTICIPATION AND ELECTION RESTORATION</w:t>
      </w:r>
    </w:p>
    <w:bookmarkStart w:id="93" w:name="Xb1df5c110ca1297097edaf3981a1caa76c03fce"/>
    <w:p>
      <w:pPr>
        <w:pStyle w:val="Heading2"/>
        <w:keepNext/>
        <w:spacing w:before="160" w:after="60"/>
      </w:pPr>
      <w:r>
        <w:rPr>
          <w:rFonts w:ascii="Inter" w:hAnsi="Inter" w:eastAsia="Inter"/>
          <w:b/>
          <w:color w:val="1F3F5B"/>
          <w:sz w:val="23"/>
        </w:rPr>
        <w:t xml:space="preserve">SEC. 601. REPEAL OF DOCUMENTARY-PROOF BARRIERS.</w:t>
      </w:r>
    </w:p>
    <w:p>
      <w:pPr>
        <w:widowControl/>
        <w:numPr>
          <w:ilvl w:val="0"/>
          <w:numId w:val="1048"/>
        </w:numPr>
        <w:spacing w:after="30" w:line="245" w:lineRule="auto"/>
      </w:pPr>
      <w:r>
        <w:rPr>
          <w:rFonts w:ascii="Noto Serif" w:hAnsi="Noto Serif" w:eastAsia="Noto Serif"/>
          <w:sz w:val="18"/>
        </w:rPr>
        <w:t xml:space="preserve">Any Federal law enacted during a covered period that conditions registration for Federal elections on production of documentary proof of United States citizenship is repealed, unless reenacted after this Act with a federally funded, universally accessible, no-cost verification system and protections at least as strong as this title.</w:t>
      </w:r>
    </w:p>
    <w:p>
      <w:pPr>
        <w:widowControl/>
        <w:numPr>
          <w:ilvl w:val="0"/>
          <w:numId w:val="1048"/>
        </w:numPr>
        <w:spacing w:after="30" w:line="245" w:lineRule="auto"/>
      </w:pPr>
      <w:r>
        <w:rPr>
          <w:rFonts w:ascii="Noto Serif" w:hAnsi="Noto Serif" w:eastAsia="Noto Serif"/>
          <w:sz w:val="18"/>
        </w:rPr>
        <w:t xml:space="preserve">An applicant’s sworn attestation of eligibility, subject to existing criminal penalties for knowingly false registration, remains sufficient unless reliable government records establish ineligibility through an individualized process.</w:t>
      </w:r>
    </w:p>
    <w:p>
      <w:pPr>
        <w:widowControl/>
        <w:numPr>
          <w:ilvl w:val="0"/>
          <w:numId w:val="1048"/>
        </w:numPr>
        <w:spacing w:after="30" w:line="245" w:lineRule="auto"/>
      </w:pPr>
      <w:r>
        <w:rPr>
          <w:rFonts w:ascii="Noto Serif" w:hAnsi="Noto Serif" w:eastAsia="Noto Serif"/>
          <w:sz w:val="18"/>
        </w:rPr>
        <w:t xml:space="preserve">No election official shall incur civil or criminal liability merely for registering an applicant who completed the required attestation and for whom no reliable contrary evidence existed.</w:t>
      </w:r>
    </w:p>
    <w:bookmarkEnd w:id="93"/>
    <w:bookmarkStart w:id="94" w:name="sec.-602.-federal-registration-floor."/>
    <w:p>
      <w:pPr>
        <w:pStyle w:val="Heading2"/>
        <w:keepNext/>
        <w:spacing w:before="160" w:after="60"/>
      </w:pPr>
      <w:r>
        <w:rPr>
          <w:rFonts w:ascii="Inter" w:hAnsi="Inter" w:eastAsia="Inter"/>
          <w:b/>
          <w:color w:val="1F3F5B"/>
          <w:sz w:val="23"/>
        </w:rPr>
        <w:t xml:space="preserve">SEC. 602. FEDERAL REGISTRATION FLOOR.</w:t>
      </w:r>
    </w:p>
    <w:p>
      <w:pPr>
        <w:pStyle w:val="FirstParagraph"/>
        <w:widowControl/>
        <w:spacing w:after="60" w:line="250" w:lineRule="auto"/>
      </w:pPr>
      <w:r>
        <w:rPr>
          <w:rFonts w:ascii="Noto Serif" w:hAnsi="Noto Serif" w:eastAsia="Noto Serif"/>
          <w:sz w:val="19"/>
        </w:rPr>
        <w:t xml:space="preserve">For elections for Federal office, each State shall provide:</w:t>
      </w:r>
    </w:p>
    <w:p>
      <w:pPr>
        <w:pStyle w:val="Compact"/>
        <w:widowControl/>
        <w:numPr>
          <w:ilvl w:val="0"/>
          <w:numId w:val="1049"/>
        </w:numPr>
        <w:spacing w:after="30" w:line="245" w:lineRule="auto"/>
      </w:pPr>
      <w:r>
        <w:rPr>
          <w:rFonts w:ascii="Noto Serif" w:hAnsi="Noto Serif" w:eastAsia="Noto Serif"/>
          <w:sz w:val="18"/>
        </w:rPr>
        <w:t xml:space="preserve">automatic voter-registration opportunities through designated public agencies;</w:t>
      </w:r>
    </w:p>
    <w:p>
      <w:pPr>
        <w:pStyle w:val="Compact"/>
        <w:widowControl/>
        <w:numPr>
          <w:ilvl w:val="0"/>
          <w:numId w:val="1049"/>
        </w:numPr>
        <w:spacing w:after="30" w:line="245" w:lineRule="auto"/>
      </w:pPr>
      <w:r>
        <w:rPr>
          <w:rFonts w:ascii="Noto Serif" w:hAnsi="Noto Serif" w:eastAsia="Noto Serif"/>
          <w:sz w:val="18"/>
        </w:rPr>
        <w:t xml:space="preserve">online registration and secure electronic correction;</w:t>
      </w:r>
    </w:p>
    <w:p>
      <w:pPr>
        <w:pStyle w:val="Compact"/>
        <w:widowControl/>
        <w:numPr>
          <w:ilvl w:val="0"/>
          <w:numId w:val="1049"/>
        </w:numPr>
        <w:spacing w:after="30" w:line="245" w:lineRule="auto"/>
      </w:pPr>
      <w:r>
        <w:rPr>
          <w:rFonts w:ascii="Noto Serif" w:hAnsi="Noto Serif" w:eastAsia="Noto Serif"/>
          <w:sz w:val="18"/>
        </w:rPr>
        <w:t xml:space="preserve">same-day registration during early voting and on election day;</w:t>
      </w:r>
    </w:p>
    <w:p>
      <w:pPr>
        <w:pStyle w:val="Compact"/>
        <w:widowControl/>
        <w:numPr>
          <w:ilvl w:val="0"/>
          <w:numId w:val="1049"/>
        </w:numPr>
        <w:spacing w:after="30" w:line="245" w:lineRule="auto"/>
      </w:pPr>
      <w:r>
        <w:rPr>
          <w:rFonts w:ascii="Noto Serif" w:hAnsi="Noto Serif" w:eastAsia="Noto Serif"/>
          <w:sz w:val="18"/>
        </w:rPr>
        <w:t xml:space="preserve">portable registration within the State;</w:t>
      </w:r>
    </w:p>
    <w:p>
      <w:pPr>
        <w:pStyle w:val="Compact"/>
        <w:widowControl/>
        <w:numPr>
          <w:ilvl w:val="0"/>
          <w:numId w:val="1049"/>
        </w:numPr>
        <w:spacing w:after="30" w:line="245" w:lineRule="auto"/>
      </w:pPr>
      <w:r>
        <w:rPr>
          <w:rFonts w:ascii="Noto Serif" w:hAnsi="Noto Serif" w:eastAsia="Noto Serif"/>
          <w:sz w:val="18"/>
        </w:rPr>
        <w:t xml:space="preserve">pre-registration beginning at age 16, effective upon eligibility;</w:t>
      </w:r>
    </w:p>
    <w:p>
      <w:pPr>
        <w:pStyle w:val="Compact"/>
        <w:widowControl/>
        <w:numPr>
          <w:ilvl w:val="0"/>
          <w:numId w:val="1049"/>
        </w:numPr>
        <w:spacing w:after="30" w:line="245" w:lineRule="auto"/>
      </w:pPr>
      <w:r>
        <w:rPr>
          <w:rFonts w:ascii="Noto Serif" w:hAnsi="Noto Serif" w:eastAsia="Noto Serif"/>
          <w:sz w:val="18"/>
        </w:rPr>
        <w:t xml:space="preserve">accessible paper and in-person alternatives; and</w:t>
      </w:r>
    </w:p>
    <w:p>
      <w:pPr>
        <w:pStyle w:val="Compact"/>
        <w:widowControl/>
        <w:numPr>
          <w:ilvl w:val="0"/>
          <w:numId w:val="1049"/>
        </w:numPr>
        <w:spacing w:after="30" w:line="245" w:lineRule="auto"/>
      </w:pPr>
      <w:r>
        <w:rPr>
          <w:rFonts w:ascii="Noto Serif" w:hAnsi="Noto Serif" w:eastAsia="Noto Serif"/>
          <w:sz w:val="18"/>
        </w:rPr>
        <w:t xml:space="preserve">language assistance required by Federal law.</w:t>
      </w:r>
    </w:p>
    <w:p>
      <w:pPr>
        <w:pStyle w:val="FirstParagraph"/>
        <w:widowControl/>
        <w:spacing w:after="60" w:line="250" w:lineRule="auto"/>
      </w:pPr>
      <w:r>
        <w:rPr>
          <w:rFonts w:ascii="Noto Serif" w:hAnsi="Noto Serif" w:eastAsia="Noto Serif"/>
          <w:sz w:val="19"/>
        </w:rPr>
        <w:t xml:space="preserve">A State may implement a stronger system under the American Vote Act or State law.</w:t>
      </w:r>
    </w:p>
    <w:bookmarkEnd w:id="94"/>
    <w:bookmarkStart w:id="95" w:name="X9f95f4322c98dc04b1774435e43fc692eed58de"/>
    <w:p>
      <w:pPr>
        <w:pStyle w:val="Heading2"/>
        <w:keepNext/>
        <w:spacing w:before="160" w:after="60"/>
      </w:pPr>
      <w:r>
        <w:rPr>
          <w:rFonts w:ascii="Inter" w:hAnsi="Inter" w:eastAsia="Inter"/>
          <w:b/>
          <w:color w:val="1F3F5B"/>
          <w:sz w:val="23"/>
        </w:rPr>
        <w:t xml:space="preserve">SEC. 603. IDENTIFICATION AND ELIGIBILITY VERIFICATION.</w:t>
      </w:r>
    </w:p>
    <w:p>
      <w:pPr>
        <w:widowControl/>
        <w:numPr>
          <w:ilvl w:val="0"/>
          <w:numId w:val="1050"/>
        </w:numPr>
        <w:spacing w:after="30" w:line="245" w:lineRule="auto"/>
      </w:pPr>
      <w:r>
        <w:rPr>
          <w:rFonts w:ascii="Noto Serif" w:hAnsi="Noto Serif" w:eastAsia="Noto Serif"/>
          <w:sz w:val="18"/>
        </w:rPr>
        <w:t xml:space="preserve">A State requiring identification to vote in person shall accept a broad range of government, educational, Tribal, utility, financial, employment, housing, and other reliable documents and shall provide a free identification credential without supporting-document fees.</w:t>
      </w:r>
    </w:p>
    <w:p>
      <w:pPr>
        <w:widowControl/>
        <w:numPr>
          <w:ilvl w:val="0"/>
          <w:numId w:val="1050"/>
        </w:numPr>
        <w:spacing w:after="30" w:line="245" w:lineRule="auto"/>
      </w:pPr>
      <w:r>
        <w:rPr>
          <w:rFonts w:ascii="Noto Serif" w:hAnsi="Noto Serif" w:eastAsia="Noto Serif"/>
          <w:sz w:val="18"/>
        </w:rPr>
        <w:t xml:space="preserve">A voter unable to present accepted identification may execute a sworn identity affirmation and cast a regular ballot, subject to signature or other non-discriminatory verification.</w:t>
      </w:r>
    </w:p>
    <w:p>
      <w:pPr>
        <w:widowControl/>
        <w:numPr>
          <w:ilvl w:val="0"/>
          <w:numId w:val="1050"/>
        </w:numPr>
        <w:spacing w:after="30" w:line="245" w:lineRule="auto"/>
      </w:pPr>
      <w:r>
        <w:rPr>
          <w:rFonts w:ascii="Noto Serif" w:hAnsi="Noto Serif" w:eastAsia="Noto Serif"/>
          <w:sz w:val="18"/>
        </w:rPr>
        <w:t xml:space="preserve">Name differences caused by marriage, divorce, adoption, gender transition, transliteration, clerical error, or use of a customary name shall not alone defeat eligibility.</w:t>
      </w:r>
    </w:p>
    <w:p>
      <w:pPr>
        <w:widowControl/>
        <w:numPr>
          <w:ilvl w:val="0"/>
          <w:numId w:val="1050"/>
        </w:numPr>
        <w:spacing w:after="30" w:line="245" w:lineRule="auto"/>
      </w:pPr>
      <w:r>
        <w:rPr>
          <w:rFonts w:ascii="Noto Serif" w:hAnsi="Noto Serif" w:eastAsia="Noto Serif"/>
          <w:sz w:val="18"/>
        </w:rPr>
        <w:t xml:space="preserve">Citizenship data may be used only if accurate, current, auditable, and subject to notice and correction. Inferences based solely on place of birth, language, race, surname, immigration history of a relative, or obsolete database codes are prohibited.</w:t>
      </w:r>
    </w:p>
    <w:bookmarkEnd w:id="95"/>
    <w:bookmarkStart w:id="96" w:name="sec.-604.-voter-list-maintenance."/>
    <w:p>
      <w:pPr>
        <w:pStyle w:val="Heading2"/>
        <w:keepNext/>
        <w:spacing w:before="160" w:after="60"/>
      </w:pPr>
      <w:r>
        <w:rPr>
          <w:rFonts w:ascii="Inter" w:hAnsi="Inter" w:eastAsia="Inter"/>
          <w:b/>
          <w:color w:val="1F3F5B"/>
          <w:sz w:val="23"/>
        </w:rPr>
        <w:t xml:space="preserve">SEC. 604. VOTER-LIST MAINTENANCE.</w:t>
      </w:r>
    </w:p>
    <w:p>
      <w:pPr>
        <w:widowControl/>
        <w:numPr>
          <w:ilvl w:val="0"/>
          <w:numId w:val="1051"/>
        </w:numPr>
        <w:spacing w:after="30" w:line="245" w:lineRule="auto"/>
      </w:pPr>
      <w:r>
        <w:rPr>
          <w:rFonts w:ascii="Noto Serif" w:hAnsi="Noto Serif" w:eastAsia="Noto Serif"/>
          <w:sz w:val="18"/>
        </w:rPr>
        <w:t xml:space="preserve">A registrant may be removed only upon reliable evidence of death, change of residence, disqualification under State law consistent with Federal law, or a personally confirmed request.</w:t>
      </w:r>
    </w:p>
    <w:p>
      <w:pPr>
        <w:widowControl/>
        <w:numPr>
          <w:ilvl w:val="0"/>
          <w:numId w:val="1051"/>
        </w:numPr>
        <w:spacing w:after="30" w:line="245" w:lineRule="auto"/>
      </w:pPr>
      <w:r>
        <w:rPr>
          <w:rFonts w:ascii="Noto Serif" w:hAnsi="Noto Serif" w:eastAsia="Noto Serif"/>
          <w:sz w:val="18"/>
        </w:rPr>
        <w:t xml:space="preserve">Mass challenges, database matches, or nonvoting may not serve as the sole basis for removal.</w:t>
      </w:r>
    </w:p>
    <w:p>
      <w:pPr>
        <w:widowControl/>
        <w:numPr>
          <w:ilvl w:val="0"/>
          <w:numId w:val="1051"/>
        </w:numPr>
        <w:spacing w:after="30" w:line="245" w:lineRule="auto"/>
      </w:pPr>
      <w:r>
        <w:rPr>
          <w:rFonts w:ascii="Noto Serif" w:hAnsi="Noto Serif" w:eastAsia="Noto Serif"/>
          <w:sz w:val="18"/>
        </w:rPr>
        <w:t xml:space="preserve">Notice shall be provided through at least two methods, with a meaningful cure period and a provisional-ballot process.</w:t>
      </w:r>
    </w:p>
    <w:p>
      <w:pPr>
        <w:widowControl/>
        <w:numPr>
          <w:ilvl w:val="0"/>
          <w:numId w:val="1051"/>
        </w:numPr>
        <w:spacing w:after="30" w:line="245" w:lineRule="auto"/>
      </w:pPr>
      <w:r>
        <w:rPr>
          <w:rFonts w:ascii="Noto Serif" w:hAnsi="Noto Serif" w:eastAsia="Noto Serif"/>
          <w:sz w:val="18"/>
        </w:rPr>
        <w:t xml:space="preserve">Systematic removals are prohibited within 90 days before a Federal election, except verified deaths and individual requests.</w:t>
      </w:r>
    </w:p>
    <w:bookmarkEnd w:id="96"/>
    <w:bookmarkStart w:id="97" w:name="X5853004710e2a04e0f1090f3ff0e0015dd9b269"/>
    <w:p>
      <w:pPr>
        <w:pStyle w:val="Heading2"/>
        <w:keepNext/>
        <w:spacing w:before="160" w:after="60"/>
      </w:pPr>
      <w:r>
        <w:rPr>
          <w:rFonts w:ascii="Inter" w:hAnsi="Inter" w:eastAsia="Inter"/>
          <w:b/>
          <w:color w:val="1F3F5B"/>
          <w:sz w:val="23"/>
        </w:rPr>
        <w:t xml:space="preserve">SEC. 605. EARLY, MAIL, AND ACCESSIBLE VOTING FLOOR.</w:t>
      </w:r>
    </w:p>
    <w:p>
      <w:pPr>
        <w:widowControl/>
        <w:numPr>
          <w:ilvl w:val="0"/>
          <w:numId w:val="1052"/>
        </w:numPr>
        <w:spacing w:after="30" w:line="245" w:lineRule="auto"/>
      </w:pPr>
      <w:r>
        <w:rPr>
          <w:rFonts w:ascii="Noto Serif" w:hAnsi="Noto Serif" w:eastAsia="Noto Serif"/>
          <w:sz w:val="18"/>
        </w:rPr>
        <w:t xml:space="preserve">Each State shall provide not fewer than 15 consecutive days of early voting, including two weekends, with reasonable hours and equitable geographic distribution.</w:t>
      </w:r>
    </w:p>
    <w:p>
      <w:pPr>
        <w:widowControl/>
        <w:numPr>
          <w:ilvl w:val="0"/>
          <w:numId w:val="1052"/>
        </w:numPr>
        <w:spacing w:after="30" w:line="245" w:lineRule="auto"/>
      </w:pPr>
      <w:r>
        <w:rPr>
          <w:rFonts w:ascii="Noto Serif" w:hAnsi="Noto Serif" w:eastAsia="Noto Serif"/>
          <w:sz w:val="18"/>
        </w:rPr>
        <w:t xml:space="preserve">Any eligible voter may vote by mail without stating an excuse. Postage shall be prepaid, secure drop boxes shall be available, and voters shall receive notice and an opportunity to cure signature or envelope defects.</w:t>
      </w:r>
    </w:p>
    <w:p>
      <w:pPr>
        <w:widowControl/>
        <w:numPr>
          <w:ilvl w:val="0"/>
          <w:numId w:val="1052"/>
        </w:numPr>
        <w:spacing w:after="30" w:line="245" w:lineRule="auto"/>
      </w:pPr>
      <w:r>
        <w:rPr>
          <w:rFonts w:ascii="Noto Serif" w:hAnsi="Noto Serif" w:eastAsia="Noto Serif"/>
          <w:sz w:val="18"/>
        </w:rPr>
        <w:t xml:space="preserve">A ballot postmarked or otherwise officially documented by election day and received within 7 days shall be counted.</w:t>
      </w:r>
    </w:p>
    <w:p>
      <w:pPr>
        <w:widowControl/>
        <w:numPr>
          <w:ilvl w:val="0"/>
          <w:numId w:val="1052"/>
        </w:numPr>
        <w:spacing w:after="30" w:line="245" w:lineRule="auto"/>
      </w:pPr>
      <w:r>
        <w:rPr>
          <w:rFonts w:ascii="Noto Serif" w:hAnsi="Noto Serif" w:eastAsia="Noto Serif"/>
          <w:sz w:val="18"/>
        </w:rPr>
        <w:t xml:space="preserve">Accessible remote or electronic ballot-delivery methods may be provided to voters with disabilities and military or overseas voters, with security standards established by the Election Assistance Commission.</w:t>
      </w:r>
    </w:p>
    <w:bookmarkEnd w:id="97"/>
    <w:bookmarkStart w:id="98" w:name="Xc2416a3a4b544b3d475223b207beedda75f1a9e"/>
    <w:p>
      <w:pPr>
        <w:pStyle w:val="Heading2"/>
        <w:keepNext/>
        <w:spacing w:before="160" w:after="60"/>
      </w:pPr>
      <w:r>
        <w:rPr>
          <w:rFonts w:ascii="Inter" w:hAnsi="Inter" w:eastAsia="Inter"/>
          <w:b/>
          <w:color w:val="1F3F5B"/>
          <w:sz w:val="23"/>
        </w:rPr>
        <w:t xml:space="preserve">SEC. 606. ELECTION ADMINISTRATION GRANTS.</w:t>
      </w:r>
    </w:p>
    <w:p>
      <w:pPr>
        <w:widowControl/>
        <w:numPr>
          <w:ilvl w:val="0"/>
          <w:numId w:val="1053"/>
        </w:numPr>
        <w:spacing w:after="30" w:line="245" w:lineRule="auto"/>
      </w:pPr>
      <w:r>
        <w:rPr>
          <w:rFonts w:ascii="Noto Serif" w:hAnsi="Noto Serif" w:eastAsia="Noto Serif"/>
          <w:sz w:val="18"/>
        </w:rPr>
        <w:t xml:space="preserve">There is authorized a mandatory Election Resilience Grant of $5,000,000,000 for fiscal year 2027 and $1,500,000,000 annually for fiscal years 2028 through 2036.</w:t>
      </w:r>
    </w:p>
    <w:p>
      <w:pPr>
        <w:widowControl/>
        <w:numPr>
          <w:ilvl w:val="0"/>
          <w:numId w:val="1053"/>
        </w:numPr>
        <w:spacing w:after="30" w:line="245" w:lineRule="auto"/>
      </w:pPr>
      <w:r>
        <w:rPr>
          <w:rFonts w:ascii="Noto Serif" w:hAnsi="Noto Serif" w:eastAsia="Noto Serif"/>
          <w:sz w:val="18"/>
        </w:rPr>
        <w:t xml:space="preserve">Funds may support poll workers, accessible sites, paper ballots, audits, cybersecurity, voter education, translation, modern registration systems, election mail, and physical security.</w:t>
      </w:r>
    </w:p>
    <w:p>
      <w:pPr>
        <w:widowControl/>
        <w:numPr>
          <w:ilvl w:val="0"/>
          <w:numId w:val="1053"/>
        </w:numPr>
        <w:spacing w:after="30" w:line="245" w:lineRule="auto"/>
      </w:pPr>
      <w:r>
        <w:rPr>
          <w:rFonts w:ascii="Noto Serif" w:hAnsi="Noto Serif" w:eastAsia="Noto Serif"/>
          <w:sz w:val="18"/>
        </w:rPr>
        <w:t xml:space="preserve">Grant formulas shall account for population, poverty, disability, language needs, rural geography, Tribal voters, aging equipment, and documented threats.</w:t>
      </w:r>
    </w:p>
    <w:bookmarkEnd w:id="98"/>
    <w:bookmarkStart w:id="99" w:name="X88d8ffc425d440733fc9ac9e7f3d2a539b0179a"/>
    <w:p>
      <w:pPr>
        <w:pStyle w:val="Heading2"/>
        <w:keepNext/>
        <w:spacing w:before="160" w:after="60"/>
      </w:pPr>
      <w:r>
        <w:rPr>
          <w:rFonts w:ascii="Inter" w:hAnsi="Inter" w:eastAsia="Inter"/>
          <w:b/>
          <w:color w:val="1F3F5B"/>
          <w:sz w:val="23"/>
        </w:rPr>
        <w:t xml:space="preserve">SEC. 607. INTIMIDATION, DECEPTION, AND INTERFERENCE.</w:t>
      </w:r>
    </w:p>
    <w:p>
      <w:pPr>
        <w:widowControl/>
        <w:numPr>
          <w:ilvl w:val="0"/>
          <w:numId w:val="1054"/>
        </w:numPr>
        <w:spacing w:after="30" w:line="245" w:lineRule="auto"/>
      </w:pPr>
      <w:r>
        <w:rPr>
          <w:rFonts w:ascii="Noto Serif" w:hAnsi="Noto Serif" w:eastAsia="Noto Serif"/>
          <w:sz w:val="18"/>
        </w:rPr>
        <w:t xml:space="preserve">It is unlawful to use force, threat, coercion, knowingly false information, impersonation, mass data targeting, or abuse of official authority to deter an eligible person from registering, voting, assisting voters, counting ballots, or serving as an election official.</w:t>
      </w:r>
    </w:p>
    <w:p>
      <w:pPr>
        <w:widowControl/>
        <w:numPr>
          <w:ilvl w:val="0"/>
          <w:numId w:val="1054"/>
        </w:numPr>
        <w:spacing w:after="30" w:line="245" w:lineRule="auto"/>
      </w:pPr>
      <w:r>
        <w:rPr>
          <w:rFonts w:ascii="Noto Serif" w:hAnsi="Noto Serif" w:eastAsia="Noto Serif"/>
          <w:sz w:val="18"/>
        </w:rPr>
        <w:t xml:space="preserve">The Attorney General, affected voters, election officials, and State attorneys general may seek injunctive and civil relief.</w:t>
      </w:r>
    </w:p>
    <w:p>
      <w:pPr>
        <w:widowControl/>
        <w:numPr>
          <w:ilvl w:val="0"/>
          <w:numId w:val="1054"/>
        </w:numPr>
        <w:spacing w:after="30" w:line="245" w:lineRule="auto"/>
      </w:pPr>
      <w:r>
        <w:rPr>
          <w:rFonts w:ascii="Noto Serif" w:hAnsi="Noto Serif" w:eastAsia="Noto Serif"/>
          <w:sz w:val="18"/>
        </w:rPr>
        <w:t xml:space="preserve">Protected advocacy, journalism, satire, and good-faith legal challenge remain protected.</w:t>
      </w:r>
    </w:p>
    <w:bookmarkEnd w:id="99"/>
    <w:bookmarkStart w:id="100" w:name="sec.-608.-certification-and-counting."/>
    <w:p>
      <w:pPr>
        <w:pStyle w:val="Heading2"/>
        <w:keepNext/>
        <w:spacing w:before="160" w:after="60"/>
      </w:pPr>
      <w:r>
        <w:rPr>
          <w:rFonts w:ascii="Inter" w:hAnsi="Inter" w:eastAsia="Inter"/>
          <w:b/>
          <w:color w:val="1F3F5B"/>
          <w:sz w:val="23"/>
        </w:rPr>
        <w:t xml:space="preserve">SEC. 608. CERTIFICATION AND COUNTING.</w:t>
      </w:r>
    </w:p>
    <w:p>
      <w:pPr>
        <w:pStyle w:val="FirstParagraph"/>
        <w:widowControl/>
        <w:spacing w:after="60" w:line="250" w:lineRule="auto"/>
      </w:pPr>
      <w:r>
        <w:rPr>
          <w:rFonts w:ascii="Noto Serif" w:hAnsi="Noto Serif" w:eastAsia="Noto Serif"/>
          <w:sz w:val="19"/>
        </w:rPr>
        <w:t xml:space="preserve">Election certification is a ministerial duty when lawful returns have been completed. A State or local official may delay certification only pursuant to a court order or a specific, documented discrepancy capable of affecting the result, and only for the time reasonably necessary to resolve it.</w:t>
      </w:r>
    </w:p>
    <w:bookmarkEnd w:id="100"/>
    <w:bookmarkStart w:id="101" w:name="sec.-609.-emergency-preclearance."/>
    <w:p>
      <w:pPr>
        <w:pStyle w:val="Heading2"/>
        <w:keepNext/>
        <w:spacing w:before="160" w:after="60"/>
      </w:pPr>
      <w:r>
        <w:rPr>
          <w:rFonts w:ascii="Inter" w:hAnsi="Inter" w:eastAsia="Inter"/>
          <w:b/>
          <w:color w:val="1F3F5B"/>
          <w:sz w:val="23"/>
        </w:rPr>
        <w:t xml:space="preserve">SEC. 609. EMERGENCY PRECLEARANCE.</w:t>
      </w:r>
    </w:p>
    <w:p>
      <w:pPr>
        <w:pStyle w:val="FirstParagraph"/>
        <w:widowControl/>
        <w:spacing w:after="60" w:line="250" w:lineRule="auto"/>
      </w:pPr>
      <w:r>
        <w:rPr>
          <w:rFonts w:ascii="Noto Serif" w:hAnsi="Noto Serif" w:eastAsia="Noto Serif"/>
          <w:sz w:val="19"/>
        </w:rPr>
        <w:t xml:space="preserve">A jurisdiction found, after notice and hearing, to have committed repeated or intentional violations of Federal voting rights within the preceding 15 years may be required to obtain preclearance for specified election changes for a period of up to 10 years. Coverage shall be based on current, objective evidence and tailored to the violation.</w:t>
      </w:r>
    </w:p>
    <w:bookmarkEnd w:id="101"/>
    <w:bookmarkStart w:id="102" w:name="X817bae491677a1c84858c836b2a01dbae29dc21"/>
    <w:p>
      <w:pPr>
        <w:pStyle w:val="Heading2"/>
        <w:keepNext/>
        <w:spacing w:before="160" w:after="60"/>
      </w:pPr>
      <w:r>
        <w:rPr>
          <w:rFonts w:ascii="Inter" w:hAnsi="Inter" w:eastAsia="Inter"/>
          <w:b/>
          <w:color w:val="1F3F5B"/>
          <w:sz w:val="23"/>
        </w:rPr>
        <w:t xml:space="preserve">SEC. 610. RELATIONSHIP TO THE AMERICAN VOTE ACT.</w:t>
      </w:r>
    </w:p>
    <w:p>
      <w:pPr>
        <w:pStyle w:val="FirstParagraph"/>
        <w:widowControl/>
        <w:spacing w:after="60" w:line="250" w:lineRule="auto"/>
      </w:pPr>
      <w:r>
        <w:rPr>
          <w:rFonts w:ascii="Noto Serif" w:hAnsi="Noto Serif" w:eastAsia="Noto Serif"/>
          <w:sz w:val="19"/>
        </w:rPr>
        <w:t xml:space="preserve">This title is an emergency restoration floor. Upon enactment of the American Vote Act, any stronger or more specific provision of that Act supersedes this title. Rights and remedies accrued under this title remain enforceable.</w:t>
      </w:r>
    </w:p>
    <w:bookmarkEnd w:id="102"/>
    <w:bookmarkEnd w:id="103"/>
    <w:bookmarkStart w:id="119" w:name="Xa8622d92a7bf2d2f8b2e916cb24c1403c55fb88"/>
    <w:p>
      <w:pPr>
        <w:pStyle w:val="Heading1"/>
        <w:keepNext/>
        <w:pageBreakBefore/>
        <w:spacing w:before="0" w:after="180"/>
        <w:pBdr>
          <w:bottom w:val="single" w:sz="8" w:space="4" w:color="9EB0BF"/>
        </w:pBdr>
      </w:pPr>
      <w:r>
        <w:rPr>
          <w:rFonts w:ascii="Inter" w:hAnsi="Inter" w:eastAsia="Inter"/>
          <w:b/>
          <w:color w:val="142D48"/>
          <w:sz w:val="34"/>
        </w:rPr>
        <w:t xml:space="preserve">TITLE VII - CIVIL RIGHTS, EQUAL DIGNITY, AND LAWFUL EQUAL OPPORTUNITY</w:t>
      </w:r>
    </w:p>
    <w:bookmarkStart w:id="104" w:name="X60ef9a5c8a76e80b47a4af3f9266463b66540c0"/>
    <w:p>
      <w:pPr>
        <w:pStyle w:val="Heading2"/>
        <w:keepNext/>
        <w:spacing w:before="160" w:after="60"/>
      </w:pPr>
      <w:r>
        <w:rPr>
          <w:rFonts w:ascii="Inter" w:hAnsi="Inter" w:eastAsia="Inter"/>
          <w:b/>
          <w:color w:val="1F3F5B"/>
          <w:sz w:val="23"/>
        </w:rPr>
        <w:t xml:space="preserve">SEC. 701. FEDERAL NONDISCRIMINATION BASELINE.</w:t>
      </w:r>
    </w:p>
    <w:p>
      <w:pPr>
        <w:pStyle w:val="FirstParagraph"/>
        <w:widowControl/>
        <w:spacing w:after="60" w:line="250" w:lineRule="auto"/>
      </w:pPr>
      <w:r>
        <w:rPr>
          <w:rFonts w:ascii="Noto Serif" w:hAnsi="Noto Serif" w:eastAsia="Noto Serif"/>
          <w:sz w:val="19"/>
        </w:rPr>
        <w:t xml:space="preserve">No agency, recipient of Federal financial assistance, Federal contractor, or federally administered program shall discriminate unlawfully on the basis of race, color, ethnicity, national origin, sex, pregnancy, sexual orientation, gender identity, intersex traits, disability, age, religion, marital or familial status, or veteran status.</w:t>
      </w:r>
    </w:p>
    <w:bookmarkEnd w:id="104"/>
    <w:bookmarkStart w:id="105" w:name="sec.-702.-disparate-impact-enforcement."/>
    <w:p>
      <w:pPr>
        <w:pStyle w:val="Heading2"/>
        <w:keepNext/>
        <w:spacing w:before="160" w:after="60"/>
      </w:pPr>
      <w:r>
        <w:rPr>
          <w:rFonts w:ascii="Inter" w:hAnsi="Inter" w:eastAsia="Inter"/>
          <w:b/>
          <w:color w:val="1F3F5B"/>
          <w:sz w:val="23"/>
        </w:rPr>
        <w:t xml:space="preserve">SEC. 702. DISPARATE-IMPACT ENFORCEMENT.</w:t>
      </w:r>
    </w:p>
    <w:p>
      <w:pPr>
        <w:widowControl/>
        <w:numPr>
          <w:ilvl w:val="0"/>
          <w:numId w:val="1055"/>
        </w:numPr>
        <w:spacing w:after="30" w:line="245" w:lineRule="auto"/>
      </w:pPr>
      <w:r>
        <w:rPr>
          <w:rFonts w:ascii="Noto Serif" w:hAnsi="Noto Serif" w:eastAsia="Noto Serif"/>
          <w:sz w:val="18"/>
        </w:rPr>
        <w:t xml:space="preserve">Where Congress has authorized proof by disparate impact, an agency shall not categorically decline to enforce that standard.</w:t>
      </w:r>
    </w:p>
    <w:p>
      <w:pPr>
        <w:widowControl/>
        <w:numPr>
          <w:ilvl w:val="0"/>
          <w:numId w:val="1055"/>
        </w:numPr>
        <w:spacing w:after="30" w:line="245" w:lineRule="auto"/>
      </w:pPr>
      <w:r>
        <w:rPr>
          <w:rFonts w:ascii="Noto Serif" w:hAnsi="Noto Serif" w:eastAsia="Noto Serif"/>
          <w:sz w:val="18"/>
        </w:rPr>
        <w:t xml:space="preserve">A plaintiff establishes a prima facie case by identifying a specific policy causing a substantial adverse disparity. The respondent may prevail by demonstrating that the policy is necessary to achieve a substantial, legitimate, nondiscriminatory objective and that no comparably effective, less discriminatory alternative is reasonably available.</w:t>
      </w:r>
    </w:p>
    <w:p>
      <w:pPr>
        <w:widowControl/>
        <w:numPr>
          <w:ilvl w:val="0"/>
          <w:numId w:val="1055"/>
        </w:numPr>
        <w:spacing w:after="30" w:line="245" w:lineRule="auto"/>
      </w:pPr>
      <w:r>
        <w:rPr>
          <w:rFonts w:ascii="Noto Serif" w:hAnsi="Noto Serif" w:eastAsia="Noto Serif"/>
          <w:sz w:val="18"/>
        </w:rPr>
        <w:t xml:space="preserve">Statistical disparity alone does not establish liability without a causal connection to a challenged policy.</w:t>
      </w:r>
    </w:p>
    <w:bookmarkEnd w:id="105"/>
    <w:bookmarkStart w:id="106" w:name="Xd94d1c08da8e4c3d8ccc3375aaf455123d3dfe8"/>
    <w:p>
      <w:pPr>
        <w:pStyle w:val="Heading2"/>
        <w:keepNext/>
        <w:spacing w:before="160" w:after="60"/>
      </w:pPr>
      <w:r>
        <w:rPr>
          <w:rFonts w:ascii="Inter" w:hAnsi="Inter" w:eastAsia="Inter"/>
          <w:b/>
          <w:color w:val="1F3F5B"/>
          <w:sz w:val="23"/>
        </w:rPr>
        <w:t xml:space="preserve">SEC. 703. SEXUAL ORIENTATION, GENDER IDENTITY, AND SEX CHARACTERISTICS.</w:t>
      </w:r>
    </w:p>
    <w:p>
      <w:pPr>
        <w:widowControl/>
        <w:numPr>
          <w:ilvl w:val="0"/>
          <w:numId w:val="1056"/>
        </w:numPr>
        <w:spacing w:after="30" w:line="245" w:lineRule="auto"/>
      </w:pPr>
      <w:r>
        <w:rPr>
          <w:rFonts w:ascii="Noto Serif" w:hAnsi="Noto Serif" w:eastAsia="Noto Serif"/>
          <w:sz w:val="18"/>
        </w:rPr>
        <w:t xml:space="preserve">For Federal civil-rights statutes prohibiting sex discrimination, discrimination because of sexual orientation, gender identity, transgender status, or intersex traits is discrimination because of sex, consistent with constitutional and statutory protections for religious exercise and intimate association.</w:t>
      </w:r>
    </w:p>
    <w:p>
      <w:pPr>
        <w:widowControl/>
        <w:numPr>
          <w:ilvl w:val="0"/>
          <w:numId w:val="1056"/>
        </w:numPr>
        <w:spacing w:after="30" w:line="245" w:lineRule="auto"/>
      </w:pPr>
      <w:r>
        <w:rPr>
          <w:rFonts w:ascii="Noto Serif" w:hAnsi="Noto Serif" w:eastAsia="Noto Serif"/>
          <w:sz w:val="18"/>
        </w:rPr>
        <w:t xml:space="preserve">Federal identity documents shall permit accurate amendment through an accessible administrative process and shall protect prior-name and prior-marker information from unnecessary disclosure.</w:t>
      </w:r>
    </w:p>
    <w:p>
      <w:pPr>
        <w:widowControl/>
        <w:numPr>
          <w:ilvl w:val="0"/>
          <w:numId w:val="1056"/>
        </w:numPr>
        <w:spacing w:after="30" w:line="245" w:lineRule="auto"/>
      </w:pPr>
      <w:r>
        <w:rPr>
          <w:rFonts w:ascii="Noto Serif" w:hAnsi="Noto Serif" w:eastAsia="Noto Serif"/>
          <w:sz w:val="18"/>
        </w:rPr>
        <w:t xml:space="preserve">Agencies shall recognize biological and medical realities where materially relevant to health, safety, research, or individualized care, without using such relevance as a pretext for categorical exclusion or humiliation.</w:t>
      </w:r>
    </w:p>
    <w:bookmarkEnd w:id="106"/>
    <w:bookmarkStart w:id="107" w:name="X7f2064d329c70820e9b781a04e720e126228669"/>
    <w:p>
      <w:pPr>
        <w:pStyle w:val="Heading2"/>
        <w:keepNext/>
        <w:spacing w:before="160" w:after="60"/>
      </w:pPr>
      <w:r>
        <w:rPr>
          <w:rFonts w:ascii="Inter" w:hAnsi="Inter" w:eastAsia="Inter"/>
          <w:b/>
          <w:color w:val="1F3F5B"/>
          <w:sz w:val="23"/>
        </w:rPr>
        <w:t xml:space="preserve">SEC. 704. FEDERAL EMPLOYMENT AND CONTRACTING.</w:t>
      </w:r>
    </w:p>
    <w:p>
      <w:pPr>
        <w:widowControl/>
        <w:numPr>
          <w:ilvl w:val="0"/>
          <w:numId w:val="1057"/>
        </w:numPr>
        <w:spacing w:after="30" w:line="245" w:lineRule="auto"/>
      </w:pPr>
      <w:r>
        <w:rPr>
          <w:rFonts w:ascii="Noto Serif" w:hAnsi="Noto Serif" w:eastAsia="Noto Serif"/>
          <w:sz w:val="18"/>
        </w:rPr>
        <w:t xml:space="preserve">Merit-based equal opportunity includes active removal of unlawful barriers, accessible recruitment, reasonable accommodation, anti-harassment enforcement, and examination of validated disparities.</w:t>
      </w:r>
    </w:p>
    <w:p>
      <w:pPr>
        <w:widowControl/>
        <w:numPr>
          <w:ilvl w:val="0"/>
          <w:numId w:val="1057"/>
        </w:numPr>
        <w:spacing w:after="30" w:line="245" w:lineRule="auto"/>
      </w:pPr>
      <w:r>
        <w:rPr>
          <w:rFonts w:ascii="Noto Serif" w:hAnsi="Noto Serif" w:eastAsia="Noto Serif"/>
          <w:sz w:val="18"/>
        </w:rPr>
        <w:t xml:space="preserve">Numerical quotas and compelled personal ideological statements are prohibited unless specifically authorized as a narrowly tailored remedy for adjudicated discrimination.</w:t>
      </w:r>
    </w:p>
    <w:p>
      <w:pPr>
        <w:widowControl/>
        <w:numPr>
          <w:ilvl w:val="0"/>
          <w:numId w:val="1057"/>
        </w:numPr>
        <w:spacing w:after="30" w:line="245" w:lineRule="auto"/>
      </w:pPr>
      <w:r>
        <w:rPr>
          <w:rFonts w:ascii="Noto Serif" w:hAnsi="Noto Serif" w:eastAsia="Noto Serif"/>
          <w:sz w:val="18"/>
        </w:rPr>
        <w:t xml:space="preserve">Training may address civil-rights law, bias, history, accessibility, and professional conduct, but may not assign collective guilt or compel agreement with contested political propositions.</w:t>
      </w:r>
    </w:p>
    <w:bookmarkEnd w:id="107"/>
    <w:bookmarkStart w:id="108" w:name="Xa048652237e9adb2042bd9ae0c32026b9abae74"/>
    <w:p>
      <w:pPr>
        <w:pStyle w:val="Heading2"/>
        <w:keepNext/>
        <w:spacing w:before="160" w:after="60"/>
      </w:pPr>
      <w:r>
        <w:rPr>
          <w:rFonts w:ascii="Inter" w:hAnsi="Inter" w:eastAsia="Inter"/>
          <w:b/>
          <w:color w:val="1F3F5B"/>
          <w:sz w:val="23"/>
        </w:rPr>
        <w:t xml:space="preserve">SEC. 705. CIVIL RIGHTS DIVISION AND AGENCY OFFICES.</w:t>
      </w:r>
    </w:p>
    <w:p>
      <w:pPr>
        <w:widowControl/>
        <w:numPr>
          <w:ilvl w:val="0"/>
          <w:numId w:val="1058"/>
        </w:numPr>
        <w:spacing w:after="30" w:line="245" w:lineRule="auto"/>
      </w:pPr>
      <w:r>
        <w:rPr>
          <w:rFonts w:ascii="Noto Serif" w:hAnsi="Noto Serif" w:eastAsia="Noto Serif"/>
          <w:sz w:val="18"/>
        </w:rPr>
        <w:t xml:space="preserve">The Department of Justice Civil Rights Division and civil-rights offices at Education, HHS, HUD, Labor, Transportation, Agriculture, and other agencies shall restore staffing and caseload capacity to not less than fiscal year 2024 real-dollar and full-time-equivalent levels within two years.</w:t>
      </w:r>
    </w:p>
    <w:p>
      <w:pPr>
        <w:widowControl/>
        <w:numPr>
          <w:ilvl w:val="0"/>
          <w:numId w:val="1058"/>
        </w:numPr>
        <w:spacing w:after="30" w:line="245" w:lineRule="auto"/>
      </w:pPr>
      <w:r>
        <w:rPr>
          <w:rFonts w:ascii="Noto Serif" w:hAnsi="Noto Serif" w:eastAsia="Noto Serif"/>
          <w:sz w:val="18"/>
        </w:rPr>
        <w:t xml:space="preserve">Each office shall publish enforcement priorities based on complaints, evidence, statutory duty, and risk, not presidential retaliation or favoritism.</w:t>
      </w:r>
    </w:p>
    <w:p>
      <w:pPr>
        <w:widowControl/>
        <w:numPr>
          <w:ilvl w:val="0"/>
          <w:numId w:val="1058"/>
        </w:numPr>
        <w:spacing w:after="30" w:line="245" w:lineRule="auto"/>
      </w:pPr>
      <w:r>
        <w:rPr>
          <w:rFonts w:ascii="Noto Serif" w:hAnsi="Noto Serif" w:eastAsia="Noto Serif"/>
          <w:sz w:val="18"/>
        </w:rPr>
        <w:t xml:space="preserve">Pending matters closed solely because of a covered rollback action shall receive reconsideration upon request.</w:t>
      </w:r>
    </w:p>
    <w:bookmarkEnd w:id="108"/>
    <w:bookmarkStart w:id="109" w:name="X46bd6ae2b94cd4125d750075df89644e1bd195c"/>
    <w:p>
      <w:pPr>
        <w:pStyle w:val="Heading2"/>
        <w:keepNext/>
        <w:spacing w:before="160" w:after="60"/>
      </w:pPr>
      <w:r>
        <w:rPr>
          <w:rFonts w:ascii="Inter" w:hAnsi="Inter" w:eastAsia="Inter"/>
          <w:b/>
          <w:color w:val="1F3F5B"/>
          <w:sz w:val="23"/>
        </w:rPr>
        <w:t xml:space="preserve">SEC. 706. EDUCATION, HOUSING, HEALTH, AND PUBLIC-ACCOMMODATION ENFORCEMENT.</w:t>
      </w:r>
    </w:p>
    <w:p>
      <w:pPr>
        <w:pStyle w:val="FirstParagraph"/>
        <w:widowControl/>
        <w:spacing w:after="60" w:line="250" w:lineRule="auto"/>
      </w:pPr>
      <w:r>
        <w:rPr>
          <w:rFonts w:ascii="Noto Serif" w:hAnsi="Noto Serif" w:eastAsia="Noto Serif"/>
          <w:sz w:val="19"/>
        </w:rPr>
        <w:t xml:space="preserve">Agencies shall restore complaint intake, investigation, conciliation, pattern-or-practice referral, accessibility review, and technical assistance. Digital services and algorithmic systems used in these sectors are subject to the same civil-rights standards as human decisions.</w:t>
      </w:r>
    </w:p>
    <w:bookmarkEnd w:id="109"/>
    <w:bookmarkStart w:id="110" w:name="sec.-707.-federal-financial-assistance."/>
    <w:p>
      <w:pPr>
        <w:pStyle w:val="Heading2"/>
        <w:keepNext/>
        <w:spacing w:before="160" w:after="60"/>
      </w:pPr>
      <w:r>
        <w:rPr>
          <w:rFonts w:ascii="Inter" w:hAnsi="Inter" w:eastAsia="Inter"/>
          <w:b/>
          <w:color w:val="1F3F5B"/>
          <w:sz w:val="23"/>
        </w:rPr>
        <w:t xml:space="preserve">SEC. 707. FEDERAL FINANCIAL ASSISTANCE.</w:t>
      </w:r>
    </w:p>
    <w:p>
      <w:pPr>
        <w:widowControl/>
        <w:numPr>
          <w:ilvl w:val="0"/>
          <w:numId w:val="1059"/>
        </w:numPr>
        <w:spacing w:after="30" w:line="245" w:lineRule="auto"/>
      </w:pPr>
      <w:r>
        <w:rPr>
          <w:rFonts w:ascii="Noto Serif" w:hAnsi="Noto Serif" w:eastAsia="Noto Serif"/>
          <w:sz w:val="18"/>
        </w:rPr>
        <w:t xml:space="preserve">Every grant, loan, contract, cooperative agreement, and other Federal financial assistance instrument shall include clear nondiscrimination terms, notice, complaint procedures, and proportionate remedies.</w:t>
      </w:r>
    </w:p>
    <w:p>
      <w:pPr>
        <w:widowControl/>
        <w:numPr>
          <w:ilvl w:val="0"/>
          <w:numId w:val="1059"/>
        </w:numPr>
        <w:spacing w:after="30" w:line="245" w:lineRule="auto"/>
      </w:pPr>
      <w:r>
        <w:rPr>
          <w:rFonts w:ascii="Noto Serif" w:hAnsi="Noto Serif" w:eastAsia="Noto Serif"/>
          <w:sz w:val="18"/>
        </w:rPr>
        <w:t xml:space="preserve">Funds may be suspended only after notice and an opportunity to cure, except where immediate action is necessary to prevent serious harm, fraud, or deliberate segregation.</w:t>
      </w:r>
    </w:p>
    <w:p>
      <w:pPr>
        <w:widowControl/>
        <w:numPr>
          <w:ilvl w:val="0"/>
          <w:numId w:val="1059"/>
        </w:numPr>
        <w:spacing w:after="30" w:line="245" w:lineRule="auto"/>
      </w:pPr>
      <w:r>
        <w:rPr>
          <w:rFonts w:ascii="Noto Serif" w:hAnsi="Noto Serif" w:eastAsia="Noto Serif"/>
          <w:sz w:val="18"/>
        </w:rPr>
        <w:t xml:space="preserve">Beneficiaries shall not lose essential services because the Government sanctions a provider; agencies shall arrange continuity.</w:t>
      </w:r>
    </w:p>
    <w:bookmarkEnd w:id="110"/>
    <w:bookmarkStart w:id="111" w:name="Xd4dcaa58cf31478273a2856e303fad4a68bf7b1"/>
    <w:p>
      <w:pPr>
        <w:pStyle w:val="Heading2"/>
        <w:keepNext/>
        <w:spacing w:before="160" w:after="60"/>
      </w:pPr>
      <w:r>
        <w:rPr>
          <w:rFonts w:ascii="Inter" w:hAnsi="Inter" w:eastAsia="Inter"/>
          <w:b/>
          <w:color w:val="1F3F5B"/>
          <w:sz w:val="23"/>
        </w:rPr>
        <w:t xml:space="preserve">SEC. 708. MINORITY BUSINESS DEVELOPMENT AND ECONOMIC EQUITY.</w:t>
      </w:r>
    </w:p>
    <w:p>
      <w:pPr>
        <w:widowControl/>
        <w:numPr>
          <w:ilvl w:val="0"/>
          <w:numId w:val="1060"/>
        </w:numPr>
        <w:spacing w:after="30" w:line="245" w:lineRule="auto"/>
      </w:pPr>
      <w:r>
        <w:rPr>
          <w:rFonts w:ascii="Noto Serif" w:hAnsi="Noto Serif" w:eastAsia="Noto Serif"/>
          <w:sz w:val="18"/>
        </w:rPr>
        <w:t xml:space="preserve">The Minority Business Development Agency is reaffirmed as a permanent agency.</w:t>
      </w:r>
    </w:p>
    <w:p>
      <w:pPr>
        <w:widowControl/>
        <w:numPr>
          <w:ilvl w:val="0"/>
          <w:numId w:val="1060"/>
        </w:numPr>
        <w:spacing w:after="30" w:line="245" w:lineRule="auto"/>
      </w:pPr>
      <w:r>
        <w:rPr>
          <w:rFonts w:ascii="Noto Serif" w:hAnsi="Noto Serif" w:eastAsia="Noto Serif"/>
          <w:sz w:val="18"/>
        </w:rPr>
        <w:t xml:space="preserve">Programs may target documented barriers, economically disadvantaged communities, underserved markets, and victims of identified discrimination using race-neutral means where effective and race-conscious means only when constitutionally justified, evidence-based, time-limited, and periodically reviewed.</w:t>
      </w:r>
    </w:p>
    <w:p>
      <w:pPr>
        <w:widowControl/>
        <w:numPr>
          <w:ilvl w:val="0"/>
          <w:numId w:val="1060"/>
        </w:numPr>
        <w:spacing w:after="30" w:line="245" w:lineRule="auto"/>
      </w:pPr>
      <w:r>
        <w:rPr>
          <w:rFonts w:ascii="Noto Serif" w:hAnsi="Noto Serif" w:eastAsia="Noto Serif"/>
          <w:sz w:val="18"/>
        </w:rPr>
        <w:t xml:space="preserve">The Agency shall publish outcome data and guard against pass-through entities or political favoritism.</w:t>
      </w:r>
    </w:p>
    <w:bookmarkEnd w:id="111"/>
    <w:bookmarkStart w:id="112" w:name="sec.-709.-law-enforcement-civil-rights."/>
    <w:p>
      <w:pPr>
        <w:pStyle w:val="Heading2"/>
        <w:keepNext/>
        <w:spacing w:before="160" w:after="60"/>
      </w:pPr>
      <w:r>
        <w:rPr>
          <w:rFonts w:ascii="Inter" w:hAnsi="Inter" w:eastAsia="Inter"/>
          <w:b/>
          <w:color w:val="1F3F5B"/>
          <w:sz w:val="23"/>
        </w:rPr>
        <w:t xml:space="preserve">SEC. 709. LAW-ENFORCEMENT CIVIL RIGHTS.</w:t>
      </w:r>
    </w:p>
    <w:p>
      <w:pPr>
        <w:pStyle w:val="FirstParagraph"/>
        <w:widowControl/>
        <w:spacing w:after="60" w:line="250" w:lineRule="auto"/>
      </w:pPr>
      <w:r>
        <w:rPr>
          <w:rFonts w:ascii="Noto Serif" w:hAnsi="Noto Serif" w:eastAsia="Noto Serif"/>
          <w:sz w:val="19"/>
        </w:rPr>
        <w:t xml:space="preserve">The Attorney General shall restore pattern-or-practice investigations, consent-decree capacity, data collection, hate-crime enforcement, disability compliance, language access, and grants for de-escalation, accountability, and lawful community safety.</w:t>
      </w:r>
    </w:p>
    <w:bookmarkEnd w:id="112"/>
    <w:bookmarkStart w:id="113" w:name="X301675b7633a2250b2f00b9c7e2f4dcccfb336e"/>
    <w:p>
      <w:pPr>
        <w:pStyle w:val="Heading2"/>
        <w:keepNext/>
        <w:spacing w:before="160" w:after="60"/>
      </w:pPr>
      <w:r>
        <w:rPr>
          <w:rFonts w:ascii="Inter" w:hAnsi="Inter" w:eastAsia="Inter"/>
          <w:b/>
          <w:color w:val="1F3F5B"/>
          <w:sz w:val="23"/>
        </w:rPr>
        <w:t xml:space="preserve">SEC. 710. QUALIFIED IMMUNITY AND FEDERAL STATUTORY RIGHTS.</w:t>
      </w:r>
    </w:p>
    <w:p>
      <w:pPr>
        <w:widowControl/>
        <w:numPr>
          <w:ilvl w:val="0"/>
          <w:numId w:val="1061"/>
        </w:numPr>
        <w:spacing w:after="30" w:line="245" w:lineRule="auto"/>
      </w:pPr>
      <w:r>
        <w:rPr>
          <w:rFonts w:ascii="Noto Serif" w:hAnsi="Noto Serif" w:eastAsia="Noto Serif"/>
          <w:sz w:val="18"/>
        </w:rPr>
        <w:t xml:space="preserve">In an action under a Federal statute expressly creating a civil cause of action against a government officer, an officer may not defeat liability solely because no earlier case involved identical facts if the statutory or constitutional prohibition was reasonably clear.</w:t>
      </w:r>
    </w:p>
    <w:p>
      <w:pPr>
        <w:widowControl/>
        <w:numPr>
          <w:ilvl w:val="0"/>
          <w:numId w:val="1061"/>
        </w:numPr>
        <w:spacing w:after="30" w:line="245" w:lineRule="auto"/>
      </w:pPr>
      <w:r>
        <w:rPr>
          <w:rFonts w:ascii="Noto Serif" w:hAnsi="Noto Serif" w:eastAsia="Noto Serif"/>
          <w:sz w:val="18"/>
        </w:rPr>
        <w:t xml:space="preserve">Good-faith reliance on binding law, reasonable mistake, proportionality, and personal involvement remain relevant as provided by law.</w:t>
      </w:r>
    </w:p>
    <w:p>
      <w:pPr>
        <w:widowControl/>
        <w:numPr>
          <w:ilvl w:val="0"/>
          <w:numId w:val="1061"/>
        </w:numPr>
        <w:spacing w:after="30" w:line="245" w:lineRule="auto"/>
      </w:pPr>
      <w:r>
        <w:rPr>
          <w:rFonts w:ascii="Noto Serif" w:hAnsi="Noto Serif" w:eastAsia="Noto Serif"/>
          <w:sz w:val="18"/>
        </w:rPr>
        <w:t xml:space="preserve">This section does not create liability for legislative acts protected by the Speech or Debate Clause or judicial acts protected by judicial immunity.</w:t>
      </w:r>
    </w:p>
    <w:bookmarkEnd w:id="113"/>
    <w:bookmarkStart w:id="114" w:name="Xce34d2bcc29f6323f91635cb2e977c93a047b16"/>
    <w:p>
      <w:pPr>
        <w:pStyle w:val="Heading2"/>
        <w:keepNext/>
        <w:spacing w:before="160" w:after="60"/>
      </w:pPr>
      <w:r>
        <w:rPr>
          <w:rFonts w:ascii="Inter" w:hAnsi="Inter" w:eastAsia="Inter"/>
          <w:b/>
          <w:color w:val="1F3F5B"/>
          <w:sz w:val="23"/>
        </w:rPr>
        <w:t xml:space="preserve">SEC. 711. PRIVATE RIGHTS AND ATTORNEY GENERAL ENFORCEMENT.</w:t>
      </w:r>
    </w:p>
    <w:p>
      <w:pPr>
        <w:pStyle w:val="FirstParagraph"/>
        <w:widowControl/>
        <w:spacing w:after="60" w:line="250" w:lineRule="auto"/>
      </w:pPr>
      <w:r>
        <w:rPr>
          <w:rFonts w:ascii="Noto Serif" w:hAnsi="Noto Serif" w:eastAsia="Noto Serif"/>
          <w:sz w:val="19"/>
        </w:rPr>
        <w:t xml:space="preserve">A person aggrieved by intentional discrimination or a covered disparate-impact violation may seek declaratory and injunctive relief, compensatory damages where authorized, and reasonable attorney fees. The Attorney General and relevant agencies retain enforcement authority.</w:t>
      </w:r>
    </w:p>
    <w:bookmarkEnd w:id="114"/>
    <w:bookmarkStart w:id="115" w:name="X860b5f728eccd07f32b5167bb1b360acd367e92"/>
    <w:p>
      <w:pPr>
        <w:pStyle w:val="Heading2"/>
        <w:keepNext/>
        <w:spacing w:before="160" w:after="60"/>
      </w:pPr>
      <w:r>
        <w:rPr>
          <w:rFonts w:ascii="Inter" w:hAnsi="Inter" w:eastAsia="Inter"/>
          <w:b/>
          <w:color w:val="1F3F5B"/>
          <w:sz w:val="23"/>
        </w:rPr>
        <w:t xml:space="preserve">SEC. 712. REPRODUCTIVE EQUALITY AND PERSONAL AUTONOMY.</w:t>
      </w:r>
    </w:p>
    <w:p>
      <w:pPr>
        <w:pStyle w:val="FirstParagraph"/>
        <w:widowControl/>
        <w:spacing w:after="60" w:line="250" w:lineRule="auto"/>
      </w:pPr>
      <w:r>
        <w:rPr>
          <w:rFonts w:ascii="Noto Serif" w:hAnsi="Noto Serif" w:eastAsia="Noto Serif"/>
          <w:sz w:val="19"/>
        </w:rPr>
        <w:t xml:space="preserve">Federal programs shall not discriminate against a person for pregnancy, childbirth, miscarriage, abortion, contraception, fertility treatment, or related medical decisions, except as expressly provided by Federal statute. Federal officials may not disclose reproductive-health information for the purpose of facilitating punishment for lawful care.</w:t>
      </w:r>
    </w:p>
    <w:bookmarkEnd w:id="115"/>
    <w:bookmarkStart w:id="116" w:name="sec.-713.-disability-restoration."/>
    <w:p>
      <w:pPr>
        <w:pStyle w:val="Heading2"/>
        <w:keepNext/>
        <w:spacing w:before="160" w:after="60"/>
      </w:pPr>
      <w:r>
        <w:rPr>
          <w:rFonts w:ascii="Inter" w:hAnsi="Inter" w:eastAsia="Inter"/>
          <w:b/>
          <w:color w:val="1F3F5B"/>
          <w:sz w:val="23"/>
        </w:rPr>
        <w:t xml:space="preserve">SEC. 713. DISABILITY RESTORATION.</w:t>
      </w:r>
    </w:p>
    <w:p>
      <w:pPr>
        <w:pStyle w:val="FirstParagraph"/>
        <w:widowControl/>
        <w:spacing w:after="60" w:line="250" w:lineRule="auto"/>
      </w:pPr>
      <w:r>
        <w:rPr>
          <w:rFonts w:ascii="Noto Serif" w:hAnsi="Noto Serif" w:eastAsia="Noto Serif"/>
          <w:sz w:val="19"/>
        </w:rPr>
        <w:t xml:space="preserve">Agencies shall restore accessibility enforcement, web and mobile accessibility, reasonable-accommodation systems, home- and community-based service integration, and protection against disability discrimination in emergency planning, transportation, housing, education, and health care.</w:t>
      </w:r>
    </w:p>
    <w:bookmarkEnd w:id="116"/>
    <w:bookmarkStart w:id="117" w:name="sec.-714.-data-and-metrics."/>
    <w:p>
      <w:pPr>
        <w:pStyle w:val="Heading2"/>
        <w:keepNext/>
        <w:spacing w:before="160" w:after="60"/>
      </w:pPr>
      <w:r>
        <w:rPr>
          <w:rFonts w:ascii="Inter" w:hAnsi="Inter" w:eastAsia="Inter"/>
          <w:b/>
          <w:color w:val="1F3F5B"/>
          <w:sz w:val="23"/>
        </w:rPr>
        <w:t xml:space="preserve">SEC. 714. DATA AND METRICS.</w:t>
      </w:r>
    </w:p>
    <w:p>
      <w:pPr>
        <w:pStyle w:val="FirstParagraph"/>
        <w:widowControl/>
        <w:spacing w:after="60" w:line="250" w:lineRule="auto"/>
      </w:pPr>
      <w:r>
        <w:rPr>
          <w:rFonts w:ascii="Noto Serif" w:hAnsi="Noto Serif" w:eastAsia="Noto Serif"/>
          <w:sz w:val="19"/>
        </w:rPr>
        <w:t xml:space="preserve">Civil-rights data shall be collected voluntarily where appropriate, protected from misuse, disaggregated sufficiently to reveal material disparities, and accompanied by privacy, statistical disclosure, and data-quality safeguards.</w:t>
      </w:r>
    </w:p>
    <w:bookmarkEnd w:id="117"/>
    <w:bookmarkStart w:id="118" w:name="X2de4bd81e947c030e2a49cb8b71812e8dec4e26"/>
    <w:p>
      <w:pPr>
        <w:pStyle w:val="Heading2"/>
        <w:keepNext/>
        <w:spacing w:before="160" w:after="60"/>
      </w:pPr>
      <w:r>
        <w:rPr>
          <w:rFonts w:ascii="Inter" w:hAnsi="Inter" w:eastAsia="Inter"/>
          <w:b/>
          <w:color w:val="1F3F5B"/>
          <w:sz w:val="23"/>
        </w:rPr>
        <w:t xml:space="preserve">SEC. 715. RELIGIOUS NEUTRALITY AND FAITH ACT SAVINGS.</w:t>
      </w:r>
    </w:p>
    <w:p>
      <w:pPr>
        <w:pStyle w:val="FirstParagraph"/>
        <w:widowControl/>
        <w:spacing w:after="60" w:line="250" w:lineRule="auto"/>
      </w:pPr>
      <w:r>
        <w:rPr>
          <w:rFonts w:ascii="Noto Serif" w:hAnsi="Noto Serif" w:eastAsia="Noto Serif"/>
          <w:sz w:val="19"/>
        </w:rPr>
        <w:t xml:space="preserve">Nothing in this title authorizes hostility toward religion, regulation of doctrine, compelled worship, or compelled abandonment of belief. The FAITH Act controls institutional religious-accountability and conscience questions where more specific.</w:t>
      </w:r>
    </w:p>
    <w:bookmarkEnd w:id="118"/>
    <w:bookmarkEnd w:id="119"/>
    <w:bookmarkStart w:id="134" w:name="X78126775c40c6dcf6e28774310a48cdaed0806f"/>
    <w:p>
      <w:pPr>
        <w:pStyle w:val="Heading1"/>
        <w:keepNext/>
        <w:pageBreakBefore/>
        <w:spacing w:before="0" w:after="180"/>
        <w:pBdr>
          <w:bottom w:val="single" w:sz="8" w:space="4" w:color="9EB0BF"/>
        </w:pBdr>
      </w:pPr>
      <w:r>
        <w:rPr>
          <w:rFonts w:ascii="Inter" w:hAnsi="Inter" w:eastAsia="Inter"/>
          <w:b/>
          <w:color w:val="142D48"/>
          <w:sz w:val="34"/>
        </w:rPr>
        <w:t xml:space="preserve">TITLE VIII - IMMIGRATION, ASYLUM, REFUGEE, AND FAMILY-UNITY RESTORATION</w:t>
      </w:r>
    </w:p>
    <w:bookmarkStart w:id="120" w:name="sec.-801.-immigration-due-process."/>
    <w:p>
      <w:pPr>
        <w:pStyle w:val="Heading2"/>
        <w:keepNext/>
        <w:spacing w:before="160" w:after="60"/>
      </w:pPr>
      <w:r>
        <w:rPr>
          <w:rFonts w:ascii="Inter" w:hAnsi="Inter" w:eastAsia="Inter"/>
          <w:b/>
          <w:color w:val="1F3F5B"/>
          <w:sz w:val="23"/>
        </w:rPr>
        <w:t xml:space="preserve">SEC. 801. IMMIGRATION DUE PROCESS.</w:t>
      </w:r>
    </w:p>
    <w:p>
      <w:pPr>
        <w:widowControl/>
        <w:numPr>
          <w:ilvl w:val="0"/>
          <w:numId w:val="1062"/>
        </w:numPr>
        <w:spacing w:after="30" w:line="245" w:lineRule="auto"/>
      </w:pPr>
      <w:r>
        <w:rPr>
          <w:rFonts w:ascii="Noto Serif" w:hAnsi="Noto Serif" w:eastAsia="Noto Serif"/>
          <w:sz w:val="18"/>
        </w:rPr>
        <w:t xml:space="preserve">No person may be removed, transferred to a foreign detention arrangement, or subjected to a final adverse immigration decision without notice of the factual and legal basis, access to the record, a meaningful opportunity to respond, interpretation where necessary, and review by a lawful adjudicator.</w:t>
      </w:r>
    </w:p>
    <w:p>
      <w:pPr>
        <w:widowControl/>
        <w:numPr>
          <w:ilvl w:val="0"/>
          <w:numId w:val="1062"/>
        </w:numPr>
        <w:spacing w:after="30" w:line="245" w:lineRule="auto"/>
      </w:pPr>
      <w:r>
        <w:rPr>
          <w:rFonts w:ascii="Noto Serif" w:hAnsi="Noto Serif" w:eastAsia="Noto Serif"/>
          <w:sz w:val="18"/>
        </w:rPr>
        <w:t xml:space="preserve">Expedited procedures shall include screening for asylum, trafficking, torture, childhood, disability, family unity, lawful status, citizenship, and risk of wrongful removal.</w:t>
      </w:r>
    </w:p>
    <w:p>
      <w:pPr>
        <w:widowControl/>
        <w:numPr>
          <w:ilvl w:val="0"/>
          <w:numId w:val="1062"/>
        </w:numPr>
        <w:spacing w:after="30" w:line="245" w:lineRule="auto"/>
      </w:pPr>
      <w:r>
        <w:rPr>
          <w:rFonts w:ascii="Noto Serif" w:hAnsi="Noto Serif" w:eastAsia="Noto Serif"/>
          <w:sz w:val="18"/>
        </w:rPr>
        <w:t xml:space="preserve">Agencies shall maintain procedures to halt removal upon a credible claim of United States citizenship or lawful status.</w:t>
      </w:r>
    </w:p>
    <w:bookmarkEnd w:id="120"/>
    <w:bookmarkStart w:id="121" w:name="sec.-802.-birthright-citizenship."/>
    <w:p>
      <w:pPr>
        <w:pStyle w:val="Heading2"/>
        <w:keepNext/>
        <w:spacing w:before="160" w:after="60"/>
      </w:pPr>
      <w:r>
        <w:rPr>
          <w:rFonts w:ascii="Inter" w:hAnsi="Inter" w:eastAsia="Inter"/>
          <w:b/>
          <w:color w:val="1F3F5B"/>
          <w:sz w:val="23"/>
        </w:rPr>
        <w:t xml:space="preserve">SEC. 802. BIRTHRIGHT CITIZENSHIP.</w:t>
      </w:r>
    </w:p>
    <w:p>
      <w:pPr>
        <w:pStyle w:val="FirstParagraph"/>
        <w:widowControl/>
        <w:spacing w:after="60" w:line="250" w:lineRule="auto"/>
      </w:pPr>
      <w:r>
        <w:rPr>
          <w:rFonts w:ascii="Noto Serif" w:hAnsi="Noto Serif" w:eastAsia="Noto Serif"/>
          <w:sz w:val="19"/>
        </w:rPr>
        <w:t xml:space="preserve">All persons born in the United States and subject to its jurisdiction are citizens at birth as provided by the Fourteenth Amendment and Federal statute. No executive action may categorically deny citizenship based on the immigration status of a parent. This section shall be applied consistently with controlling Supreme Court precedent.</w:t>
      </w:r>
    </w:p>
    <w:bookmarkEnd w:id="121"/>
    <w:bookmarkStart w:id="122" w:name="sec.-803.-asylum-access."/>
    <w:p>
      <w:pPr>
        <w:pStyle w:val="Heading2"/>
        <w:keepNext/>
        <w:spacing w:before="160" w:after="60"/>
      </w:pPr>
      <w:r>
        <w:rPr>
          <w:rFonts w:ascii="Inter" w:hAnsi="Inter" w:eastAsia="Inter"/>
          <w:b/>
          <w:color w:val="1F3F5B"/>
          <w:sz w:val="23"/>
        </w:rPr>
        <w:t xml:space="preserve">SEC. 803. ASYLUM ACCESS.</w:t>
      </w:r>
    </w:p>
    <w:p>
      <w:pPr>
        <w:widowControl/>
        <w:numPr>
          <w:ilvl w:val="0"/>
          <w:numId w:val="1063"/>
        </w:numPr>
        <w:spacing w:after="30" w:line="245" w:lineRule="auto"/>
      </w:pPr>
      <w:r>
        <w:rPr>
          <w:rFonts w:ascii="Noto Serif" w:hAnsi="Noto Serif" w:eastAsia="Noto Serif"/>
          <w:sz w:val="18"/>
        </w:rPr>
        <w:t xml:space="preserve">A person physically present in or arriving at the United States may apply for asylum as provided by statute, regardless of manner of entry, subject to individualized statutory bars.</w:t>
      </w:r>
    </w:p>
    <w:p>
      <w:pPr>
        <w:widowControl/>
        <w:numPr>
          <w:ilvl w:val="0"/>
          <w:numId w:val="1063"/>
        </w:numPr>
        <w:spacing w:after="30" w:line="245" w:lineRule="auto"/>
      </w:pPr>
      <w:r>
        <w:rPr>
          <w:rFonts w:ascii="Noto Serif" w:hAnsi="Noto Serif" w:eastAsia="Noto Serif"/>
          <w:sz w:val="18"/>
        </w:rPr>
        <w:t xml:space="preserve">Categorical suspension based on an executive declaration of</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invasion,</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route, nationality, or use of a mobile application is prohibited unless Congress expressly authorizes the restriction and provides a lawful protection alternative.</w:t>
      </w:r>
    </w:p>
    <w:p>
      <w:pPr>
        <w:widowControl/>
        <w:numPr>
          <w:ilvl w:val="0"/>
          <w:numId w:val="1063"/>
        </w:numPr>
        <w:spacing w:after="30" w:line="245" w:lineRule="auto"/>
      </w:pPr>
      <w:r>
        <w:rPr>
          <w:rFonts w:ascii="Noto Serif" w:hAnsi="Noto Serif" w:eastAsia="Noto Serif"/>
          <w:sz w:val="18"/>
        </w:rPr>
        <w:t xml:space="preserve">Credible-fear and reasonable-fear interviews shall be nonadversarial, confidential, trauma-informed, and reviewable.</w:t>
      </w:r>
    </w:p>
    <w:bookmarkEnd w:id="122"/>
    <w:bookmarkStart w:id="123" w:name="X30a4438b6085d0fe4d23a6cf5f83eec37ef9d46"/>
    <w:p>
      <w:pPr>
        <w:pStyle w:val="Heading2"/>
        <w:keepNext/>
        <w:spacing w:before="160" w:after="60"/>
      </w:pPr>
      <w:r>
        <w:rPr>
          <w:rFonts w:ascii="Inter" w:hAnsi="Inter" w:eastAsia="Inter"/>
          <w:b/>
          <w:color w:val="1F3F5B"/>
          <w:sz w:val="23"/>
        </w:rPr>
        <w:t xml:space="preserve">SEC. 804. THIRD-COUNTRY AND RETURN POLICIES.</w:t>
      </w:r>
    </w:p>
    <w:p>
      <w:pPr>
        <w:pStyle w:val="FirstParagraph"/>
        <w:widowControl/>
        <w:spacing w:after="60" w:line="250" w:lineRule="auto"/>
      </w:pPr>
      <w:r>
        <w:rPr>
          <w:rFonts w:ascii="Noto Serif" w:hAnsi="Noto Serif" w:eastAsia="Noto Serif"/>
          <w:sz w:val="19"/>
        </w:rPr>
        <w:t xml:space="preserve">A person may be returned to or required to await proceedings in another country only if:</w:t>
      </w:r>
    </w:p>
    <w:p>
      <w:pPr>
        <w:pStyle w:val="Compact"/>
        <w:widowControl/>
        <w:numPr>
          <w:ilvl w:val="0"/>
          <w:numId w:val="1064"/>
        </w:numPr>
        <w:spacing w:after="30" w:line="245" w:lineRule="auto"/>
      </w:pPr>
      <w:r>
        <w:rPr>
          <w:rFonts w:ascii="Noto Serif" w:hAnsi="Noto Serif" w:eastAsia="Noto Serif"/>
          <w:sz w:val="18"/>
        </w:rPr>
        <w:t xml:space="preserve">a binding agreement assures access to fair asylum procedures, counsel, housing, safety, and non-refoulement;</w:t>
      </w:r>
    </w:p>
    <w:p>
      <w:pPr>
        <w:pStyle w:val="Compact"/>
        <w:widowControl/>
        <w:numPr>
          <w:ilvl w:val="0"/>
          <w:numId w:val="1064"/>
        </w:numPr>
        <w:spacing w:after="30" w:line="245" w:lineRule="auto"/>
      </w:pPr>
      <w:r>
        <w:rPr>
          <w:rFonts w:ascii="Noto Serif" w:hAnsi="Noto Serif" w:eastAsia="Noto Serif"/>
          <w:sz w:val="18"/>
        </w:rPr>
        <w:t xml:space="preserve">individualized screening shows no substantial risk of persecution, torture, trafficking, or violence;</w:t>
      </w:r>
    </w:p>
    <w:p>
      <w:pPr>
        <w:pStyle w:val="Compact"/>
        <w:widowControl/>
        <w:numPr>
          <w:ilvl w:val="0"/>
          <w:numId w:val="1064"/>
        </w:numPr>
        <w:spacing w:after="30" w:line="245" w:lineRule="auto"/>
      </w:pPr>
      <w:r>
        <w:rPr>
          <w:rFonts w:ascii="Noto Serif" w:hAnsi="Noto Serif" w:eastAsia="Noto Serif"/>
          <w:sz w:val="18"/>
        </w:rPr>
        <w:t xml:space="preserve">independent monitoring and judicial review are available; and</w:t>
      </w:r>
    </w:p>
    <w:p>
      <w:pPr>
        <w:pStyle w:val="Compact"/>
        <w:widowControl/>
        <w:numPr>
          <w:ilvl w:val="0"/>
          <w:numId w:val="1064"/>
        </w:numPr>
        <w:spacing w:after="30" w:line="245" w:lineRule="auto"/>
      </w:pPr>
      <w:r>
        <w:rPr>
          <w:rFonts w:ascii="Noto Serif" w:hAnsi="Noto Serif" w:eastAsia="Noto Serif"/>
          <w:sz w:val="18"/>
        </w:rPr>
        <w:t xml:space="preserve">Congress receives quarterly compliance reports.</w:t>
      </w:r>
    </w:p>
    <w:bookmarkEnd w:id="123"/>
    <w:bookmarkStart w:id="124" w:name="sec.-805.-refugee-admissions-program."/>
    <w:p>
      <w:pPr>
        <w:pStyle w:val="Heading2"/>
        <w:keepNext/>
        <w:spacing w:before="160" w:after="60"/>
      </w:pPr>
      <w:r>
        <w:rPr>
          <w:rFonts w:ascii="Inter" w:hAnsi="Inter" w:eastAsia="Inter"/>
          <w:b/>
          <w:color w:val="1F3F5B"/>
          <w:sz w:val="23"/>
        </w:rPr>
        <w:t xml:space="preserve">SEC. 805. REFUGEE ADMISSIONS PROGRAM.</w:t>
      </w:r>
    </w:p>
    <w:p>
      <w:pPr>
        <w:widowControl/>
        <w:numPr>
          <w:ilvl w:val="0"/>
          <w:numId w:val="1065"/>
        </w:numPr>
        <w:spacing w:after="30" w:line="245" w:lineRule="auto"/>
      </w:pPr>
      <w:r>
        <w:rPr>
          <w:rFonts w:ascii="Noto Serif" w:hAnsi="Noto Serif" w:eastAsia="Noto Serif"/>
          <w:sz w:val="18"/>
        </w:rPr>
        <w:t xml:space="preserve">The United States Refugee Admissions Program is restored as a permanent national-security and humanitarian function.</w:t>
      </w:r>
    </w:p>
    <w:p>
      <w:pPr>
        <w:widowControl/>
        <w:numPr>
          <w:ilvl w:val="0"/>
          <w:numId w:val="1065"/>
        </w:numPr>
        <w:spacing w:after="30" w:line="245" w:lineRule="auto"/>
      </w:pPr>
      <w:r>
        <w:rPr>
          <w:rFonts w:ascii="Noto Serif" w:hAnsi="Noto Serif" w:eastAsia="Noto Serif"/>
          <w:sz w:val="18"/>
        </w:rPr>
        <w:t xml:space="preserve">The annual admissions ceiling shall be not fewer than 125,000 unless the President certifies, with specific facts and after consultation with Congress, that extraordinary operational or security conditions require a temporary lower number.</w:t>
      </w:r>
    </w:p>
    <w:p>
      <w:pPr>
        <w:widowControl/>
        <w:numPr>
          <w:ilvl w:val="0"/>
          <w:numId w:val="1065"/>
        </w:numPr>
        <w:spacing w:after="30" w:line="245" w:lineRule="auto"/>
      </w:pPr>
      <w:r>
        <w:rPr>
          <w:rFonts w:ascii="Noto Serif" w:hAnsi="Noto Serif" w:eastAsia="Noto Serif"/>
          <w:sz w:val="18"/>
        </w:rPr>
        <w:t xml:space="preserve">A reduction below 75,000 requires approval by joint resolution.</w:t>
      </w:r>
    </w:p>
    <w:p>
      <w:pPr>
        <w:widowControl/>
        <w:numPr>
          <w:ilvl w:val="0"/>
          <w:numId w:val="1065"/>
        </w:numPr>
        <w:spacing w:after="30" w:line="245" w:lineRule="auto"/>
      </w:pPr>
      <w:r>
        <w:rPr>
          <w:rFonts w:ascii="Noto Serif" w:hAnsi="Noto Serif" w:eastAsia="Noto Serif"/>
          <w:sz w:val="18"/>
        </w:rPr>
        <w:t xml:space="preserve">Priority shall be given to urgent protection cases, family reunification, religious minorities facing persecution, LGBTQ persons facing persecution, women and children at risk, persons assisting the United States, and other vulnerable groups, without discrimination among religions.</w:t>
      </w:r>
    </w:p>
    <w:bookmarkEnd w:id="124"/>
    <w:bookmarkStart w:id="125" w:name="sec.-806.-family-unity."/>
    <w:p>
      <w:pPr>
        <w:pStyle w:val="Heading2"/>
        <w:keepNext/>
        <w:spacing w:before="160" w:after="60"/>
      </w:pPr>
      <w:r>
        <w:rPr>
          <w:rFonts w:ascii="Inter" w:hAnsi="Inter" w:eastAsia="Inter"/>
          <w:b/>
          <w:color w:val="1F3F5B"/>
          <w:sz w:val="23"/>
        </w:rPr>
        <w:t xml:space="preserve">SEC. 806. FAMILY UNITY.</w:t>
      </w:r>
    </w:p>
    <w:p>
      <w:pPr>
        <w:widowControl/>
        <w:numPr>
          <w:ilvl w:val="0"/>
          <w:numId w:val="1066"/>
        </w:numPr>
        <w:spacing w:after="30" w:line="245" w:lineRule="auto"/>
      </w:pPr>
      <w:r>
        <w:rPr>
          <w:rFonts w:ascii="Noto Serif" w:hAnsi="Noto Serif" w:eastAsia="Noto Serif"/>
          <w:sz w:val="18"/>
        </w:rPr>
        <w:t xml:space="preserve">Separation of a child from a parent or legal guardian for immigration enforcement is prohibited unless a court or qualified child-welfare professional finds an immediate safety risk, the adult is not the lawful caregiver, or separation is required by a criminal custodial sentence.</w:t>
      </w:r>
    </w:p>
    <w:p>
      <w:pPr>
        <w:widowControl/>
        <w:numPr>
          <w:ilvl w:val="0"/>
          <w:numId w:val="1066"/>
        </w:numPr>
        <w:spacing w:after="30" w:line="245" w:lineRule="auto"/>
      </w:pPr>
      <w:r>
        <w:rPr>
          <w:rFonts w:ascii="Noto Serif" w:hAnsi="Noto Serif" w:eastAsia="Noto Serif"/>
          <w:sz w:val="18"/>
        </w:rPr>
        <w:t xml:space="preserve">Every separation shall be documented in a reunification system, with counsel and prompt review.</w:t>
      </w:r>
    </w:p>
    <w:p>
      <w:pPr>
        <w:widowControl/>
        <w:numPr>
          <w:ilvl w:val="0"/>
          <w:numId w:val="1066"/>
        </w:numPr>
        <w:spacing w:after="30" w:line="245" w:lineRule="auto"/>
      </w:pPr>
      <w:r>
        <w:rPr>
          <w:rFonts w:ascii="Noto Serif" w:hAnsi="Noto Serif" w:eastAsia="Noto Serif"/>
          <w:sz w:val="18"/>
        </w:rPr>
        <w:t xml:space="preserve">Families shall not be detained in prison-like conditions when a safe, less restrictive alternative is available.</w:t>
      </w:r>
    </w:p>
    <w:bookmarkEnd w:id="125"/>
    <w:bookmarkStart w:id="126" w:name="X4a7537e9ba93a03bb43ab089fd91458c493dfeb"/>
    <w:p>
      <w:pPr>
        <w:pStyle w:val="Heading2"/>
        <w:keepNext/>
        <w:spacing w:before="160" w:after="60"/>
      </w:pPr>
      <w:r>
        <w:rPr>
          <w:rFonts w:ascii="Inter" w:hAnsi="Inter" w:eastAsia="Inter"/>
          <w:b/>
          <w:color w:val="1F3F5B"/>
          <w:sz w:val="23"/>
        </w:rPr>
        <w:t xml:space="preserve">SEC. 807. DETENTION STANDARDS AND ALTERNATIVES.</w:t>
      </w:r>
    </w:p>
    <w:p>
      <w:pPr>
        <w:widowControl/>
        <w:numPr>
          <w:ilvl w:val="0"/>
          <w:numId w:val="1067"/>
        </w:numPr>
        <w:spacing w:after="30" w:line="245" w:lineRule="auto"/>
      </w:pPr>
      <w:r>
        <w:rPr>
          <w:rFonts w:ascii="Noto Serif" w:hAnsi="Noto Serif" w:eastAsia="Noto Serif"/>
          <w:sz w:val="18"/>
        </w:rPr>
        <w:t xml:space="preserve">Immigration detention is civil and shall be used only where necessary to address a demonstrated flight or safety risk.</w:t>
      </w:r>
    </w:p>
    <w:p>
      <w:pPr>
        <w:widowControl/>
        <w:numPr>
          <w:ilvl w:val="0"/>
          <w:numId w:val="1067"/>
        </w:numPr>
        <w:spacing w:after="30" w:line="245" w:lineRule="auto"/>
      </w:pPr>
      <w:r>
        <w:rPr>
          <w:rFonts w:ascii="Noto Serif" w:hAnsi="Noto Serif" w:eastAsia="Noto Serif"/>
          <w:sz w:val="18"/>
        </w:rPr>
        <w:t xml:space="preserve">Detainees are entitled to medical and mental-health care, communication, visitation, language access, disability accommodation, legal access, grievance procedures, and protection from abuse.</w:t>
      </w:r>
    </w:p>
    <w:p>
      <w:pPr>
        <w:widowControl/>
        <w:numPr>
          <w:ilvl w:val="0"/>
          <w:numId w:val="1067"/>
        </w:numPr>
        <w:spacing w:after="30" w:line="245" w:lineRule="auto"/>
      </w:pPr>
      <w:r>
        <w:rPr>
          <w:rFonts w:ascii="Noto Serif" w:hAnsi="Noto Serif" w:eastAsia="Noto Serif"/>
          <w:sz w:val="18"/>
        </w:rPr>
        <w:t xml:space="preserve">Private detention contracts shall include enforceable standards, inspections, public incident reporting, and termination for chronic noncompliance.</w:t>
      </w:r>
    </w:p>
    <w:p>
      <w:pPr>
        <w:widowControl/>
        <w:numPr>
          <w:ilvl w:val="0"/>
          <w:numId w:val="1067"/>
        </w:numPr>
        <w:spacing w:after="30" w:line="245" w:lineRule="auto"/>
      </w:pPr>
      <w:r>
        <w:rPr>
          <w:rFonts w:ascii="Noto Serif" w:hAnsi="Noto Serif" w:eastAsia="Noto Serif"/>
          <w:sz w:val="18"/>
        </w:rPr>
        <w:t xml:space="preserve">Community-based alternatives shall be preferred where effective.</w:t>
      </w:r>
    </w:p>
    <w:bookmarkEnd w:id="126"/>
    <w:bookmarkStart w:id="127" w:name="Xc9d5959dee3763b33d0d74ae6869d49d2424de2"/>
    <w:p>
      <w:pPr>
        <w:pStyle w:val="Heading2"/>
        <w:keepNext/>
        <w:spacing w:before="160" w:after="60"/>
      </w:pPr>
      <w:r>
        <w:rPr>
          <w:rFonts w:ascii="Inter" w:hAnsi="Inter" w:eastAsia="Inter"/>
          <w:b/>
          <w:color w:val="1F3F5B"/>
          <w:sz w:val="23"/>
        </w:rPr>
        <w:t xml:space="preserve">SEC. 808. PAROLE, TEMPORARY PROTECTED STATUS, AND DEFERRED ACTION.</w:t>
      </w:r>
    </w:p>
    <w:p>
      <w:pPr>
        <w:pStyle w:val="FirstParagraph"/>
        <w:widowControl/>
        <w:spacing w:after="60" w:line="250" w:lineRule="auto"/>
      </w:pPr>
      <w:r>
        <w:rPr>
          <w:rFonts w:ascii="Noto Serif" w:hAnsi="Noto Serif" w:eastAsia="Noto Serif"/>
          <w:sz w:val="19"/>
        </w:rPr>
        <w:t xml:space="preserve">Discretionary protection programs shall use published criteria, individualized review, notice before termination, and reasonable transition periods. A program may not be terminated solely to create coercive return conditions or discriminate by nationality, race, religion, or political viewpoint.</w:t>
      </w:r>
    </w:p>
    <w:bookmarkEnd w:id="127"/>
    <w:bookmarkStart w:id="128" w:name="X7ec96e388d31b10381a44b9bb07f1d2efac2ccb"/>
    <w:p>
      <w:pPr>
        <w:pStyle w:val="Heading2"/>
        <w:keepNext/>
        <w:spacing w:before="160" w:after="60"/>
      </w:pPr>
      <w:r>
        <w:rPr>
          <w:rFonts w:ascii="Inter" w:hAnsi="Inter" w:eastAsia="Inter"/>
          <w:b/>
          <w:color w:val="1F3F5B"/>
          <w:sz w:val="23"/>
        </w:rPr>
        <w:t xml:space="preserve">SEC. 809. PUBLIC-CHARGE AND BENEFIT RULES.</w:t>
      </w:r>
    </w:p>
    <w:p>
      <w:pPr>
        <w:pStyle w:val="FirstParagraph"/>
        <w:widowControl/>
        <w:spacing w:after="60" w:line="250" w:lineRule="auto"/>
      </w:pPr>
      <w:r>
        <w:rPr>
          <w:rFonts w:ascii="Noto Serif" w:hAnsi="Noto Serif" w:eastAsia="Noto Serif"/>
          <w:sz w:val="19"/>
        </w:rPr>
        <w:t xml:space="preserve">Receipt of nutrition, housing, health, disability, disaster, education, or child benefits authorized by law shall not be treated as a negative public-charge factor unless Congress expressly provides otherwise. Sponsors remain responsible only to the extent specified by statute and due process.</w:t>
      </w:r>
    </w:p>
    <w:bookmarkEnd w:id="128"/>
    <w:bookmarkStart w:id="129" w:name="X0702206b6b563c737ab47165ce31da34c2ae7d8"/>
    <w:p>
      <w:pPr>
        <w:pStyle w:val="Heading2"/>
        <w:keepNext/>
        <w:spacing w:before="160" w:after="60"/>
      </w:pPr>
      <w:r>
        <w:rPr>
          <w:rFonts w:ascii="Inter" w:hAnsi="Inter" w:eastAsia="Inter"/>
          <w:b/>
          <w:color w:val="1F3F5B"/>
          <w:sz w:val="23"/>
        </w:rPr>
        <w:t xml:space="preserve">SEC. 810. ACCESS TO COUNSEL AND LEGAL ORIENTATION.</w:t>
      </w:r>
    </w:p>
    <w:p>
      <w:pPr>
        <w:widowControl/>
        <w:numPr>
          <w:ilvl w:val="0"/>
          <w:numId w:val="1068"/>
        </w:numPr>
        <w:spacing w:after="30" w:line="245" w:lineRule="auto"/>
      </w:pPr>
      <w:r>
        <w:rPr>
          <w:rFonts w:ascii="Noto Serif" w:hAnsi="Noto Serif" w:eastAsia="Noto Serif"/>
          <w:sz w:val="18"/>
        </w:rPr>
        <w:t xml:space="preserve">The Department of Justice shall fund legal-orientation programs in every immigration detention facility and remote-hearing location.</w:t>
      </w:r>
    </w:p>
    <w:p>
      <w:pPr>
        <w:widowControl/>
        <w:numPr>
          <w:ilvl w:val="0"/>
          <w:numId w:val="1068"/>
        </w:numPr>
        <w:spacing w:after="30" w:line="245" w:lineRule="auto"/>
      </w:pPr>
      <w:r>
        <w:rPr>
          <w:rFonts w:ascii="Noto Serif" w:hAnsi="Noto Serif" w:eastAsia="Noto Serif"/>
          <w:sz w:val="18"/>
        </w:rPr>
        <w:t xml:space="preserve">Children, persons found incompetent, and indigent persons in proceedings presenting a substantial risk of wrongful removal shall receive appointed counsel through phased implementation.</w:t>
      </w:r>
    </w:p>
    <w:p>
      <w:pPr>
        <w:widowControl/>
        <w:numPr>
          <w:ilvl w:val="0"/>
          <w:numId w:val="1068"/>
        </w:numPr>
        <w:spacing w:after="30" w:line="245" w:lineRule="auto"/>
      </w:pPr>
      <w:r>
        <w:rPr>
          <w:rFonts w:ascii="Noto Serif" w:hAnsi="Noto Serif" w:eastAsia="Noto Serif"/>
          <w:sz w:val="18"/>
        </w:rPr>
        <w:t xml:space="preserve">No facility may obstruct confidential attorney communication.</w:t>
      </w:r>
    </w:p>
    <w:bookmarkEnd w:id="129"/>
    <w:bookmarkStart w:id="130" w:name="Xdde05c5fca993c1834c32c9ccfe2ed149e1adf1"/>
    <w:p>
      <w:pPr>
        <w:pStyle w:val="Heading2"/>
        <w:keepNext/>
        <w:spacing w:before="160" w:after="60"/>
      </w:pPr>
      <w:r>
        <w:rPr>
          <w:rFonts w:ascii="Inter" w:hAnsi="Inter" w:eastAsia="Inter"/>
          <w:b/>
          <w:color w:val="1F3F5B"/>
          <w:sz w:val="23"/>
        </w:rPr>
        <w:t xml:space="preserve">SEC. 811. NATURALIZATION AND CITIZENSHIP ADMINISTRATION.</w:t>
      </w:r>
    </w:p>
    <w:p>
      <w:pPr>
        <w:pStyle w:val="FirstParagraph"/>
        <w:widowControl/>
        <w:spacing w:after="60" w:line="250" w:lineRule="auto"/>
      </w:pPr>
      <w:r>
        <w:rPr>
          <w:rFonts w:ascii="Noto Serif" w:hAnsi="Noto Serif" w:eastAsia="Noto Serif"/>
          <w:sz w:val="19"/>
        </w:rPr>
        <w:t xml:space="preserve">USCIS shall maintain reasonable processing times, accessible fee waivers, disability accommodations, fair civics testing, language exceptions required by law, and prompt correction of erroneous citizenship records.</w:t>
      </w:r>
    </w:p>
    <w:bookmarkEnd w:id="130"/>
    <w:bookmarkStart w:id="131" w:name="sec.-812.-state-and-local-coercion."/>
    <w:p>
      <w:pPr>
        <w:pStyle w:val="Heading2"/>
        <w:keepNext/>
        <w:spacing w:before="160" w:after="60"/>
      </w:pPr>
      <w:r>
        <w:rPr>
          <w:rFonts w:ascii="Inter" w:hAnsi="Inter" w:eastAsia="Inter"/>
          <w:b/>
          <w:color w:val="1F3F5B"/>
          <w:sz w:val="23"/>
        </w:rPr>
        <w:t xml:space="preserve">SEC. 812. STATE AND LOCAL COERCION.</w:t>
      </w:r>
    </w:p>
    <w:p>
      <w:pPr>
        <w:pStyle w:val="FirstParagraph"/>
        <w:widowControl/>
        <w:spacing w:after="60" w:line="250" w:lineRule="auto"/>
      </w:pPr>
      <w:r>
        <w:rPr>
          <w:rFonts w:ascii="Noto Serif" w:hAnsi="Noto Serif" w:eastAsia="Noto Serif"/>
          <w:sz w:val="19"/>
        </w:rPr>
        <w:t xml:space="preserve">The Federal Government may not withhold unrelated grants to compel State or local participation in civil immigration enforcement. Cooperative agreements must be voluntary, transparent, trained, audited, and subject to civil-rights and profiling safeguards.</w:t>
      </w:r>
    </w:p>
    <w:bookmarkEnd w:id="131"/>
    <w:bookmarkStart w:id="132" w:name="sec.-813.-border-emergency-operations."/>
    <w:p>
      <w:pPr>
        <w:pStyle w:val="Heading2"/>
        <w:keepNext/>
        <w:spacing w:before="160" w:after="60"/>
      </w:pPr>
      <w:r>
        <w:rPr>
          <w:rFonts w:ascii="Inter" w:hAnsi="Inter" w:eastAsia="Inter"/>
          <w:b/>
          <w:color w:val="1F3F5B"/>
          <w:sz w:val="23"/>
        </w:rPr>
        <w:t xml:space="preserve">SEC. 813. BORDER EMERGENCY OPERATIONS.</w:t>
      </w:r>
    </w:p>
    <w:p>
      <w:pPr>
        <w:pStyle w:val="FirstParagraph"/>
        <w:widowControl/>
        <w:spacing w:after="60" w:line="250" w:lineRule="auto"/>
      </w:pPr>
      <w:r>
        <w:rPr>
          <w:rFonts w:ascii="Noto Serif" w:hAnsi="Noto Serif" w:eastAsia="Noto Serif"/>
          <w:sz w:val="19"/>
        </w:rPr>
        <w:t xml:space="preserve">Congress authorizes rapid staffing, shelters, medical screening, case management, port infrastructure, anti-smuggling investigations, and adjudication surge capacity. Emergency measures must remain consistent with non-refoulement, due process, family unity, and appropriations law.</w:t>
      </w:r>
    </w:p>
    <w:bookmarkEnd w:id="132"/>
    <w:bookmarkStart w:id="133" w:name="X17b13f9359565368250e0754e6aab361c211665"/>
    <w:p>
      <w:pPr>
        <w:pStyle w:val="Heading2"/>
        <w:keepNext/>
        <w:spacing w:before="160" w:after="60"/>
      </w:pPr>
      <w:r>
        <w:rPr>
          <w:rFonts w:ascii="Inter" w:hAnsi="Inter" w:eastAsia="Inter"/>
          <w:b/>
          <w:color w:val="1F3F5B"/>
          <w:sz w:val="23"/>
        </w:rPr>
        <w:t xml:space="preserve">SEC. 814. REMEDIES FOR WRONGFUL DETENTION OR REMOVAL.</w:t>
      </w:r>
    </w:p>
    <w:p>
      <w:pPr>
        <w:pStyle w:val="FirstParagraph"/>
        <w:widowControl/>
        <w:spacing w:after="60" w:line="250" w:lineRule="auto"/>
      </w:pPr>
      <w:r>
        <w:rPr>
          <w:rFonts w:ascii="Noto Serif" w:hAnsi="Noto Serif" w:eastAsia="Noto Serif"/>
          <w:sz w:val="19"/>
        </w:rPr>
        <w:t xml:space="preserve">A United States citizen, lawful permanent resident, or other person wrongfully detained or removed because of gross negligence, reckless database use, falsification, or denial of required process may seek return assistance, record correction, reasonable compensation, and attorney fees under Title XXI.</w:t>
      </w:r>
    </w:p>
    <w:bookmarkEnd w:id="133"/>
    <w:bookmarkEnd w:id="134"/>
    <w:bookmarkStart w:id="151" w:name="X06b5705d14eb4dc93275f9b27ba23f05ad36dd8"/>
    <w:p>
      <w:pPr>
        <w:pStyle w:val="Heading1"/>
        <w:keepNext/>
        <w:pageBreakBefore/>
        <w:spacing w:before="0" w:after="180"/>
        <w:pBdr>
          <w:bottom w:val="single" w:sz="8" w:space="4" w:color="9EB0BF"/>
        </w:pBdr>
      </w:pPr>
      <w:r>
        <w:rPr>
          <w:rFonts w:ascii="Inter" w:hAnsi="Inter" w:eastAsia="Inter"/>
          <w:b/>
          <w:color w:val="142D48"/>
          <w:sz w:val="34"/>
        </w:rPr>
        <w:t xml:space="preserve">TITLE IX - CLIMATE, CLEAN AIR, AND ENVIRONMENTAL HEALTH RESTORATION</w:t>
      </w:r>
    </w:p>
    <w:bookmarkStart w:id="135" w:name="sec.-901.-climate-pollution-finding."/>
    <w:p>
      <w:pPr>
        <w:pStyle w:val="Heading2"/>
        <w:keepNext/>
        <w:spacing w:before="160" w:after="60"/>
      </w:pPr>
      <w:r>
        <w:rPr>
          <w:rFonts w:ascii="Inter" w:hAnsi="Inter" w:eastAsia="Inter"/>
          <w:b/>
          <w:color w:val="1F3F5B"/>
          <w:sz w:val="23"/>
        </w:rPr>
        <w:t xml:space="preserve">SEC. 901. CLIMATE POLLUTION FINDING.</w:t>
      </w:r>
    </w:p>
    <w:p>
      <w:pPr>
        <w:pStyle w:val="FirstParagraph"/>
        <w:widowControl/>
        <w:spacing w:after="60" w:line="250" w:lineRule="auto"/>
      </w:pPr>
      <w:r>
        <w:rPr>
          <w:rFonts w:ascii="Noto Serif" w:hAnsi="Noto Serif" w:eastAsia="Noto Serif"/>
          <w:sz w:val="19"/>
        </w:rPr>
        <w:t xml:space="preserve">Congress finds that emissions of carbon dioxide, methane, nitrous oxide, hydrofluorocarbons, and other heat-trapping pollutants endanger public health and welfare. The Environmental Protection Agency shall regulate such pollutants under the Clean Air Act within the authorities clarified by this title.</w:t>
      </w:r>
    </w:p>
    <w:bookmarkEnd w:id="135"/>
    <w:bookmarkStart w:id="136" w:name="X3cbb384fbc00e8deb2d6788174f1fd3a99f421e"/>
    <w:p>
      <w:pPr>
        <w:pStyle w:val="Heading2"/>
        <w:keepNext/>
        <w:spacing w:before="160" w:after="60"/>
      </w:pPr>
      <w:r>
        <w:rPr>
          <w:rFonts w:ascii="Inter" w:hAnsi="Inter" w:eastAsia="Inter"/>
          <w:b/>
          <w:color w:val="1F3F5B"/>
          <w:sz w:val="23"/>
        </w:rPr>
        <w:t xml:space="preserve">SEC. 902. RESTORATION OF THE ENDANGERMENT AND CONTRIBUTION FINDINGS.</w:t>
      </w:r>
    </w:p>
    <w:p>
      <w:pPr>
        <w:pStyle w:val="FirstParagraph"/>
        <w:widowControl/>
        <w:spacing w:after="60" w:line="250" w:lineRule="auto"/>
      </w:pPr>
      <w:r>
        <w:rPr>
          <w:rFonts w:ascii="Noto Serif" w:hAnsi="Noto Serif" w:eastAsia="Noto Serif"/>
          <w:sz w:val="19"/>
        </w:rPr>
        <w:t xml:space="preserve">Any administrative rescission or narrowing of the 2009 greenhouse-gas endangerment and cause-or-contribute findings is set aside. EPA shall maintain or strengthen the findings based on the best available science and may revise them only through notice-and-comment rulemaking supported by a comprehensive scientific record.</w:t>
      </w:r>
    </w:p>
    <w:bookmarkEnd w:id="136"/>
    <w:bookmarkStart w:id="137" w:name="X13f51af566887dcc9675bf43e86fdb6eba57709"/>
    <w:p>
      <w:pPr>
        <w:pStyle w:val="Heading2"/>
        <w:keepNext/>
        <w:spacing w:before="160" w:after="60"/>
      </w:pPr>
      <w:r>
        <w:rPr>
          <w:rFonts w:ascii="Inter" w:hAnsi="Inter" w:eastAsia="Inter"/>
          <w:b/>
          <w:color w:val="1F3F5B"/>
          <w:sz w:val="23"/>
        </w:rPr>
        <w:t xml:space="preserve">SEC. 903. EXPRESS AUTHORITY FOR POWER-SECTOR STANDARDS.</w:t>
      </w:r>
    </w:p>
    <w:p>
      <w:pPr>
        <w:pStyle w:val="FirstParagraph"/>
        <w:widowControl/>
        <w:spacing w:after="60" w:line="250" w:lineRule="auto"/>
      </w:pPr>
      <w:r>
        <w:rPr>
          <w:rFonts w:ascii="Noto Serif" w:hAnsi="Noto Serif" w:eastAsia="Noto Serif"/>
          <w:sz w:val="19"/>
        </w:rPr>
        <w:t xml:space="preserve">For purposes of sections 111 and 301 of the Clean Air Act, EPA may establish performance standards based on measures at and beyond an individual source, including generation shifting, averaging, trading, storage, transmission, demand response, efficiency, fuel changes, and clean generation, if the system is adequately demonstrated, reasonably achievable, reliable, and cost-conscious.</w:t>
      </w:r>
    </w:p>
    <w:bookmarkEnd w:id="137"/>
    <w:bookmarkStart w:id="138" w:name="sec.-904.-power-sector-restoration-rule."/>
    <w:p>
      <w:pPr>
        <w:pStyle w:val="Heading2"/>
        <w:keepNext/>
        <w:spacing w:before="160" w:after="60"/>
      </w:pPr>
      <w:r>
        <w:rPr>
          <w:rFonts w:ascii="Inter" w:hAnsi="Inter" w:eastAsia="Inter"/>
          <w:b/>
          <w:color w:val="1F3F5B"/>
          <w:sz w:val="23"/>
        </w:rPr>
        <w:t xml:space="preserve">SEC. 904. POWER-SECTOR RESTORATION RULE.</w:t>
      </w:r>
    </w:p>
    <w:p>
      <w:pPr>
        <w:pStyle w:val="FirstParagraph"/>
        <w:widowControl/>
        <w:spacing w:after="60" w:line="250" w:lineRule="auto"/>
      </w:pPr>
      <w:r>
        <w:rPr>
          <w:rFonts w:ascii="Noto Serif" w:hAnsi="Noto Serif" w:eastAsia="Noto Serif"/>
          <w:sz w:val="19"/>
        </w:rPr>
        <w:t xml:space="preserve">Within 18 months, EPA shall issue standards for greenhouse-gas emissions from existing and new power plants sufficient to achieve an affordable, reliable, and steadily declining power-sector emissions pathway, with State flexibility, worker and community support, reliability safeguards, and protection against localized co-pollutant increases.</w:t>
      </w:r>
    </w:p>
    <w:bookmarkEnd w:id="138"/>
    <w:bookmarkStart w:id="139" w:name="Xa1988fe6870da8b562cda6bbc7e379f62079a8c"/>
    <w:p>
      <w:pPr>
        <w:pStyle w:val="Heading2"/>
        <w:keepNext/>
        <w:spacing w:before="160" w:after="60"/>
      </w:pPr>
      <w:r>
        <w:rPr>
          <w:rFonts w:ascii="Inter" w:hAnsi="Inter" w:eastAsia="Inter"/>
          <w:b/>
          <w:color w:val="1F3F5B"/>
          <w:sz w:val="23"/>
        </w:rPr>
        <w:t xml:space="preserve">SEC. 905. METHANE AND OIL-AND-GAS POLLUTION.</w:t>
      </w:r>
    </w:p>
    <w:p>
      <w:pPr>
        <w:pStyle w:val="FirstParagraph"/>
        <w:widowControl/>
        <w:spacing w:after="60" w:line="250" w:lineRule="auto"/>
      </w:pPr>
      <w:r>
        <w:rPr>
          <w:rFonts w:ascii="Noto Serif" w:hAnsi="Noto Serif" w:eastAsia="Noto Serif"/>
          <w:sz w:val="19"/>
        </w:rPr>
        <w:t xml:space="preserve">EPA and the Department of the Interior shall restore and strengthen methane leak detection, repair, flaring limits, venting limits, orphan-well rules, waste-prevention royalties, and public reporting for oil and gas operations on public and private lands, with special monitoring near homes, schools, Tribal communities, and environmental-justice communities.</w:t>
      </w:r>
    </w:p>
    <w:bookmarkEnd w:id="139"/>
    <w:bookmarkStart w:id="140" w:name="X7f3dc01e5a034483c9a68fa9b99bdc19ebf61cd"/>
    <w:p>
      <w:pPr>
        <w:pStyle w:val="Heading2"/>
        <w:keepNext/>
        <w:spacing w:before="160" w:after="60"/>
      </w:pPr>
      <w:r>
        <w:rPr>
          <w:rFonts w:ascii="Inter" w:hAnsi="Inter" w:eastAsia="Inter"/>
          <w:b/>
          <w:color w:val="1F3F5B"/>
          <w:sz w:val="23"/>
        </w:rPr>
        <w:t xml:space="preserve">SEC. 906. VEHICLE EMISSIONS AND CLEAN TRANSPORTATION.</w:t>
      </w:r>
    </w:p>
    <w:p>
      <w:pPr>
        <w:widowControl/>
        <w:numPr>
          <w:ilvl w:val="0"/>
          <w:numId w:val="1069"/>
        </w:numPr>
        <w:spacing w:after="30" w:line="245" w:lineRule="auto"/>
      </w:pPr>
      <w:r>
        <w:rPr>
          <w:rFonts w:ascii="Noto Serif" w:hAnsi="Noto Serif" w:eastAsia="Noto Serif"/>
          <w:sz w:val="18"/>
        </w:rPr>
        <w:t xml:space="preserve">EPA and the Department of Transportation shall restore science-based greenhouse-gas, fuel-economy, and criteria-pollutant standards for passenger vehicles and heavy-duty vehicles.</w:t>
      </w:r>
    </w:p>
    <w:p>
      <w:pPr>
        <w:widowControl/>
        <w:numPr>
          <w:ilvl w:val="0"/>
          <w:numId w:val="1069"/>
        </w:numPr>
        <w:spacing w:after="30" w:line="245" w:lineRule="auto"/>
      </w:pPr>
      <w:r>
        <w:rPr>
          <w:rFonts w:ascii="Noto Serif" w:hAnsi="Noto Serif" w:eastAsia="Noto Serif"/>
          <w:sz w:val="18"/>
        </w:rPr>
        <w:t xml:space="preserve">Standards shall be technology-neutral, feasible, coordinated, protective of consumer choice, and designed to reduce lifetime fuel and maintenance cost.</w:t>
      </w:r>
    </w:p>
    <w:p>
      <w:pPr>
        <w:widowControl/>
        <w:numPr>
          <w:ilvl w:val="0"/>
          <w:numId w:val="1069"/>
        </w:numPr>
        <w:spacing w:after="30" w:line="245" w:lineRule="auto"/>
      </w:pPr>
      <w:r>
        <w:rPr>
          <w:rFonts w:ascii="Noto Serif" w:hAnsi="Noto Serif" w:eastAsia="Noto Serif"/>
          <w:sz w:val="18"/>
        </w:rPr>
        <w:t xml:space="preserve">California waiver authority under the Clean Air Act is preserved, subject to statutory criteria.</w:t>
      </w:r>
    </w:p>
    <w:bookmarkEnd w:id="140"/>
    <w:bookmarkStart w:id="141" w:name="Xeee3beeeecf4943a704888bdcd70f405259d40c"/>
    <w:p>
      <w:pPr>
        <w:pStyle w:val="Heading2"/>
        <w:keepNext/>
        <w:spacing w:before="160" w:after="60"/>
      </w:pPr>
      <w:r>
        <w:rPr>
          <w:rFonts w:ascii="Inter" w:hAnsi="Inter" w:eastAsia="Inter"/>
          <w:b/>
          <w:color w:val="1F3F5B"/>
          <w:sz w:val="23"/>
        </w:rPr>
        <w:t xml:space="preserve">SEC. 907. HAZARDOUS AIR POLLUTANTS AND PARTICULATE MATTER.</w:t>
      </w:r>
    </w:p>
    <w:p>
      <w:pPr>
        <w:pStyle w:val="FirstParagraph"/>
        <w:widowControl/>
        <w:spacing w:after="60" w:line="250" w:lineRule="auto"/>
      </w:pPr>
      <w:r>
        <w:rPr>
          <w:rFonts w:ascii="Noto Serif" w:hAnsi="Noto Serif" w:eastAsia="Noto Serif"/>
          <w:sz w:val="19"/>
        </w:rPr>
        <w:t xml:space="preserve">EPA shall restore and strengthen protections for mercury, fine particulate matter, ozone, benzene, ethylene oxide, formaldehyde, coal ash, and other dangerous pollutants, prioritizing cumulative exposure and fence-line monitoring.</w:t>
      </w:r>
    </w:p>
    <w:bookmarkEnd w:id="141"/>
    <w:bookmarkStart w:id="142" w:name="X208d9f515907f2746e9738832b64ed4ebd23d55"/>
    <w:p>
      <w:pPr>
        <w:pStyle w:val="Heading2"/>
        <w:keepNext/>
        <w:spacing w:before="160" w:after="60"/>
      </w:pPr>
      <w:r>
        <w:rPr>
          <w:rFonts w:ascii="Inter" w:hAnsi="Inter" w:eastAsia="Inter"/>
          <w:b/>
          <w:color w:val="1F3F5B"/>
          <w:sz w:val="23"/>
        </w:rPr>
        <w:t xml:space="preserve">SEC. 908. CLIMATE SCIENCE AND THE SOCIAL COST OF GREENHOUSE GASES.</w:t>
      </w:r>
    </w:p>
    <w:p>
      <w:pPr>
        <w:widowControl/>
        <w:numPr>
          <w:ilvl w:val="0"/>
          <w:numId w:val="1070"/>
        </w:numPr>
        <w:spacing w:after="30" w:line="245" w:lineRule="auto"/>
      </w:pPr>
      <w:r>
        <w:rPr>
          <w:rFonts w:ascii="Noto Serif" w:hAnsi="Noto Serif" w:eastAsia="Noto Serif"/>
          <w:sz w:val="18"/>
        </w:rPr>
        <w:t xml:space="preserve">An interagency group shall maintain transparent estimates of the social cost of greenhouse gases based on peer-reviewed science, global and domestic effects, discount-rate sensitivity, equity, and uncertainty.</w:t>
      </w:r>
    </w:p>
    <w:p>
      <w:pPr>
        <w:widowControl/>
        <w:numPr>
          <w:ilvl w:val="0"/>
          <w:numId w:val="1070"/>
        </w:numPr>
        <w:spacing w:after="30" w:line="245" w:lineRule="auto"/>
      </w:pPr>
      <w:r>
        <w:rPr>
          <w:rFonts w:ascii="Noto Serif" w:hAnsi="Noto Serif" w:eastAsia="Noto Serif"/>
          <w:sz w:val="18"/>
        </w:rPr>
        <w:t xml:space="preserve">Agencies shall use those estimates in regulatory and investment analysis, while also reporting nonmonetized impacts.</w:t>
      </w:r>
    </w:p>
    <w:p>
      <w:pPr>
        <w:widowControl/>
        <w:numPr>
          <w:ilvl w:val="0"/>
          <w:numId w:val="1070"/>
        </w:numPr>
        <w:spacing w:after="30" w:line="245" w:lineRule="auto"/>
      </w:pPr>
      <w:r>
        <w:rPr>
          <w:rFonts w:ascii="Noto Serif" w:hAnsi="Noto Serif" w:eastAsia="Noto Serif"/>
          <w:sz w:val="18"/>
        </w:rPr>
        <w:t xml:space="preserve">Political alteration of climate models or data must be publicly documented and professionally reviewed.</w:t>
      </w:r>
    </w:p>
    <w:bookmarkEnd w:id="142"/>
    <w:bookmarkStart w:id="143" w:name="sec.-909.-environmental-justice."/>
    <w:p>
      <w:pPr>
        <w:pStyle w:val="Heading2"/>
        <w:keepNext/>
        <w:spacing w:before="160" w:after="60"/>
      </w:pPr>
      <w:r>
        <w:rPr>
          <w:rFonts w:ascii="Inter" w:hAnsi="Inter" w:eastAsia="Inter"/>
          <w:b/>
          <w:color w:val="1F3F5B"/>
          <w:sz w:val="23"/>
        </w:rPr>
        <w:t xml:space="preserve">SEC. 909. ENVIRONMENTAL JUSTICE.</w:t>
      </w:r>
    </w:p>
    <w:p>
      <w:pPr>
        <w:pStyle w:val="FirstParagraph"/>
        <w:widowControl/>
        <w:spacing w:after="60" w:line="250" w:lineRule="auto"/>
      </w:pPr>
      <w:r>
        <w:rPr>
          <w:rFonts w:ascii="Noto Serif" w:hAnsi="Noto Serif" w:eastAsia="Noto Serif"/>
          <w:sz w:val="19"/>
        </w:rPr>
        <w:t xml:space="preserve">Each agency shall identify communities facing cumulative pollution, health, climate, infrastructure, and economic burdens and shall prioritize enforcement, monitoring, grants, technical assistance, and remediation without using race as an automatic entitlement or exclusion. Race and ethnicity may be considered as evidence of documented discrimination or exposure where constitutionally permissible.</w:t>
      </w:r>
    </w:p>
    <w:bookmarkEnd w:id="143"/>
    <w:bookmarkStart w:id="144" w:name="X96d5831a9af7b99d4165576cf123baaf1bdd7cf"/>
    <w:p>
      <w:pPr>
        <w:pStyle w:val="Heading2"/>
        <w:keepNext/>
        <w:spacing w:before="160" w:after="60"/>
      </w:pPr>
      <w:r>
        <w:rPr>
          <w:rFonts w:ascii="Inter" w:hAnsi="Inter" w:eastAsia="Inter"/>
          <w:b/>
          <w:color w:val="1F3F5B"/>
          <w:sz w:val="23"/>
        </w:rPr>
        <w:t xml:space="preserve">SEC. 910. CLIMATE AND CLEAN-ENERGY GRANTS.</w:t>
      </w:r>
    </w:p>
    <w:p>
      <w:pPr>
        <w:pStyle w:val="FirstParagraph"/>
        <w:widowControl/>
        <w:spacing w:after="60" w:line="250" w:lineRule="auto"/>
      </w:pPr>
      <w:r>
        <w:rPr>
          <w:rFonts w:ascii="Noto Serif" w:hAnsi="Noto Serif" w:eastAsia="Noto Serif"/>
          <w:sz w:val="19"/>
        </w:rPr>
        <w:t xml:space="preserve">Grants cancelled or frozen solely because they addressed climate, environmental justice, clean energy, electric transportation, adaptation, or community resilience shall be reconsidered. Reinstatement shall account for performance, reliance, statutory purpose, and availability of funds.</w:t>
      </w:r>
    </w:p>
    <w:bookmarkEnd w:id="144"/>
    <w:bookmarkStart w:id="145" w:name="sec.-911.-epa-capacity."/>
    <w:p>
      <w:pPr>
        <w:pStyle w:val="Heading2"/>
        <w:keepNext/>
        <w:spacing w:before="160" w:after="60"/>
      </w:pPr>
      <w:r>
        <w:rPr>
          <w:rFonts w:ascii="Inter" w:hAnsi="Inter" w:eastAsia="Inter"/>
          <w:b/>
          <w:color w:val="1F3F5B"/>
          <w:sz w:val="23"/>
        </w:rPr>
        <w:t xml:space="preserve">SEC. 911. EPA CAPACITY.</w:t>
      </w:r>
    </w:p>
    <w:p>
      <w:pPr>
        <w:pStyle w:val="FirstParagraph"/>
        <w:widowControl/>
        <w:spacing w:after="60" w:line="250" w:lineRule="auto"/>
      </w:pPr>
      <w:r>
        <w:rPr>
          <w:rFonts w:ascii="Noto Serif" w:hAnsi="Noto Serif" w:eastAsia="Noto Serif"/>
          <w:sz w:val="19"/>
        </w:rPr>
        <w:t xml:space="preserve">EPA shall restore enforcement, regional, laboratory, research, grant, Tribal, environmental-justice, chemical-safety, and climate capacity to fiscal year 2024 real-dollar and staffing levels within two years, adjusted for workload.</w:t>
      </w:r>
    </w:p>
    <w:bookmarkEnd w:id="145"/>
    <w:bookmarkStart w:id="146" w:name="sec.-912.-state-authority."/>
    <w:p>
      <w:pPr>
        <w:pStyle w:val="Heading2"/>
        <w:keepNext/>
        <w:spacing w:before="160" w:after="60"/>
      </w:pPr>
      <w:r>
        <w:rPr>
          <w:rFonts w:ascii="Inter" w:hAnsi="Inter" w:eastAsia="Inter"/>
          <w:b/>
          <w:color w:val="1F3F5B"/>
          <w:sz w:val="23"/>
        </w:rPr>
        <w:t xml:space="preserve">SEC. 912. STATE AUTHORITY.</w:t>
      </w:r>
    </w:p>
    <w:p>
      <w:pPr>
        <w:pStyle w:val="FirstParagraph"/>
        <w:widowControl/>
        <w:spacing w:after="60" w:line="250" w:lineRule="auto"/>
      </w:pPr>
      <w:r>
        <w:rPr>
          <w:rFonts w:ascii="Noto Serif" w:hAnsi="Noto Serif" w:eastAsia="Noto Serif"/>
          <w:sz w:val="19"/>
        </w:rPr>
        <w:t xml:space="preserve">Nothing in this title preempts a State from adopting more protective air, climate, vehicle, energy, or public-health requirements, except where Federal law expressly and lawfully provides otherwise.</w:t>
      </w:r>
    </w:p>
    <w:bookmarkEnd w:id="146"/>
    <w:bookmarkStart w:id="147" w:name="sec.-913.-climate-resilience."/>
    <w:p>
      <w:pPr>
        <w:pStyle w:val="Heading2"/>
        <w:keepNext/>
        <w:spacing w:before="160" w:after="60"/>
      </w:pPr>
      <w:r>
        <w:rPr>
          <w:rFonts w:ascii="Inter" w:hAnsi="Inter" w:eastAsia="Inter"/>
          <w:b/>
          <w:color w:val="1F3F5B"/>
          <w:sz w:val="23"/>
        </w:rPr>
        <w:t xml:space="preserve">SEC. 913. CLIMATE RESILIENCE.</w:t>
      </w:r>
    </w:p>
    <w:p>
      <w:pPr>
        <w:pStyle w:val="FirstParagraph"/>
        <w:widowControl/>
        <w:spacing w:after="60" w:line="250" w:lineRule="auto"/>
      </w:pPr>
      <w:r>
        <w:rPr>
          <w:rFonts w:ascii="Noto Serif" w:hAnsi="Noto Serif" w:eastAsia="Noto Serif"/>
          <w:sz w:val="19"/>
        </w:rPr>
        <w:t xml:space="preserve">FEMA, NOAA, EPA, HUD, Transportation, Agriculture, Interior, and the Corps of Engineers shall integrate forward-looking climate risk into grants, insurance, infrastructure, housing, disaster recovery, water planning, and benefit-cost analysis. Assistance shall protect low-income and high-risk communities from involuntary displacement.</w:t>
      </w:r>
    </w:p>
    <w:bookmarkEnd w:id="147"/>
    <w:bookmarkStart w:id="148" w:name="Xe2af377afe037264846c4f167614b72a864b1a6"/>
    <w:p>
      <w:pPr>
        <w:pStyle w:val="Heading2"/>
        <w:keepNext/>
        <w:spacing w:before="160" w:after="60"/>
      </w:pPr>
      <w:r>
        <w:rPr>
          <w:rFonts w:ascii="Inter" w:hAnsi="Inter" w:eastAsia="Inter"/>
          <w:b/>
          <w:color w:val="1F3F5B"/>
          <w:sz w:val="23"/>
        </w:rPr>
        <w:t xml:space="preserve">SEC. 914. INTERNATIONAL CLIMATE LEADERSHIP.</w:t>
      </w:r>
    </w:p>
    <w:p>
      <w:pPr>
        <w:pStyle w:val="FirstParagraph"/>
        <w:widowControl/>
        <w:spacing w:after="60" w:line="250" w:lineRule="auto"/>
      </w:pPr>
      <w:r>
        <w:rPr>
          <w:rFonts w:ascii="Noto Serif" w:hAnsi="Noto Serif" w:eastAsia="Noto Serif"/>
          <w:sz w:val="19"/>
        </w:rPr>
        <w:t xml:space="preserve">The President shall seek United States participation in the Paris Agreement and related international climate initiatives consistent with statutory authority, appropriations, treaty powers, and congressional consultation. Withdrawal requires 180 days’ notice, a national-interest assessment, and consultation with Congress, States, Tribes, industry, labor, and civil society.</w:t>
      </w:r>
    </w:p>
    <w:bookmarkEnd w:id="148"/>
    <w:bookmarkStart w:id="149" w:name="Xf965ae0d2484146151f237dc1a6b59b4f7bf353"/>
    <w:p>
      <w:pPr>
        <w:pStyle w:val="Heading2"/>
        <w:keepNext/>
        <w:spacing w:before="160" w:after="60"/>
      </w:pPr>
      <w:r>
        <w:rPr>
          <w:rFonts w:ascii="Inter" w:hAnsi="Inter" w:eastAsia="Inter"/>
          <w:b/>
          <w:color w:val="1F3F5B"/>
          <w:sz w:val="23"/>
        </w:rPr>
        <w:t xml:space="preserve">SEC. 915. FOSSIL-FUEL EXTERNALITY DISCLOSURE.</w:t>
      </w:r>
    </w:p>
    <w:p>
      <w:pPr>
        <w:pStyle w:val="FirstParagraph"/>
        <w:widowControl/>
        <w:spacing w:after="60" w:line="250" w:lineRule="auto"/>
      </w:pPr>
      <w:r>
        <w:rPr>
          <w:rFonts w:ascii="Noto Serif" w:hAnsi="Noto Serif" w:eastAsia="Noto Serif"/>
          <w:sz w:val="19"/>
        </w:rPr>
        <w:t xml:space="preserve">Federal leasing, lending, export, procurement, and subsidy decisions materially benefiting fossil-fuel production shall disclose expected climate, health, water, reclamation, market, and stranded-asset effects and compare clean alternatives.</w:t>
      </w:r>
    </w:p>
    <w:bookmarkEnd w:id="149"/>
    <w:bookmarkStart w:id="150" w:name="X343419308f3cd7ac0248f4dfb9ed6c8170fb27f"/>
    <w:p>
      <w:pPr>
        <w:pStyle w:val="Heading2"/>
        <w:keepNext/>
        <w:spacing w:before="160" w:after="60"/>
      </w:pPr>
      <w:r>
        <w:rPr>
          <w:rFonts w:ascii="Inter" w:hAnsi="Inter" w:eastAsia="Inter"/>
          <w:b/>
          <w:color w:val="1F3F5B"/>
          <w:sz w:val="23"/>
        </w:rPr>
        <w:t xml:space="preserve">SEC. 916. AUTHORIZATION OF APPROPRIATIONS.</w:t>
      </w:r>
    </w:p>
    <w:p>
      <w:pPr>
        <w:pStyle w:val="FirstParagraph"/>
        <w:widowControl/>
        <w:spacing w:after="60" w:line="250" w:lineRule="auto"/>
      </w:pPr>
      <w:r>
        <w:rPr>
          <w:rFonts w:ascii="Noto Serif" w:hAnsi="Noto Serif" w:eastAsia="Noto Serif"/>
          <w:sz w:val="19"/>
        </w:rPr>
        <w:t xml:space="preserve">There are authorized to be appropriated $18,000,000,000 annually for fiscal years 2027 through 2031 for EPA capacity, monitoring, grants, climate science, enforcement, and community remediation, in addition to amounts otherwise authorized.</w:t>
      </w:r>
    </w:p>
    <w:bookmarkEnd w:id="150"/>
    <w:bookmarkEnd w:id="151"/>
    <w:bookmarkStart w:id="170" w:name="X64bef2eb2a8337815e0cfd1992b3c0d8413f4af"/>
    <w:p>
      <w:pPr>
        <w:pStyle w:val="Heading1"/>
        <w:keepNext/>
        <w:pageBreakBefore/>
        <w:spacing w:before="0" w:after="180"/>
        <w:pBdr>
          <w:bottom w:val="single" w:sz="8" w:space="4" w:color="9EB0BF"/>
        </w:pBdr>
      </w:pPr>
      <w:r>
        <w:rPr>
          <w:rFonts w:ascii="Inter" w:hAnsi="Inter" w:eastAsia="Inter"/>
          <w:b/>
          <w:color w:val="142D48"/>
          <w:sz w:val="34"/>
        </w:rPr>
        <w:t xml:space="preserve">TITLE X - CLEAN WATER, PUBLIC LANDS, OCEANS, WILDLIFE, AND TRIBAL STEWARDSHIP</w:t>
      </w:r>
    </w:p>
    <w:bookmarkStart w:id="152" w:name="sec.-1001.-waters-of-the-united-states."/>
    <w:p>
      <w:pPr>
        <w:pStyle w:val="Heading2"/>
        <w:keepNext/>
        <w:spacing w:before="160" w:after="60"/>
      </w:pPr>
      <w:r>
        <w:rPr>
          <w:rFonts w:ascii="Inter" w:hAnsi="Inter" w:eastAsia="Inter"/>
          <w:b/>
          <w:color w:val="1F3F5B"/>
          <w:sz w:val="23"/>
        </w:rPr>
        <w:t xml:space="preserve">SEC. 1001. WATERS OF THE UNITED STATES.</w:t>
      </w:r>
    </w:p>
    <w:p>
      <w:pPr>
        <w:pStyle w:val="FirstParagraph"/>
        <w:widowControl/>
        <w:spacing w:after="60" w:line="250" w:lineRule="auto"/>
      </w:pPr>
      <w:r>
        <w:rPr>
          <w:rFonts w:ascii="Noto Serif" w:hAnsi="Noto Serif" w:eastAsia="Noto Serif"/>
          <w:sz w:val="19"/>
        </w:rPr>
        <w:t xml:space="preserve">For purposes of the Clean Water Act,</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navigable waters</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includes traditional navigable waters, interstate waters, territorial seas, impoundments, tributaries with a material hydrologic connection, adjacent wetlands that materially affect the chemical, physical, or biological integrity of covered waters, and other waters whose protection is within Congress’s commerce power. EPA and the Army Corps shall issue a rule providing clear exclusions for ordinary farming, prior-converted cropland, artificial irrigation features, and isolated features lacking material connection.</w:t>
      </w:r>
    </w:p>
    <w:bookmarkEnd w:id="152"/>
    <w:bookmarkStart w:id="153" w:name="sec.-1002.-clean-water-act-restoration."/>
    <w:p>
      <w:pPr>
        <w:pStyle w:val="Heading2"/>
        <w:keepNext/>
        <w:spacing w:before="160" w:after="60"/>
      </w:pPr>
      <w:r>
        <w:rPr>
          <w:rFonts w:ascii="Inter" w:hAnsi="Inter" w:eastAsia="Inter"/>
          <w:b/>
          <w:color w:val="1F3F5B"/>
          <w:sz w:val="23"/>
        </w:rPr>
        <w:t xml:space="preserve">SEC. 1002. CLEAN WATER ACT RESTORATION.</w:t>
      </w:r>
    </w:p>
    <w:p>
      <w:pPr>
        <w:pStyle w:val="FirstParagraph"/>
        <w:widowControl/>
        <w:spacing w:after="60" w:line="250" w:lineRule="auto"/>
      </w:pPr>
      <w:r>
        <w:rPr>
          <w:rFonts w:ascii="Noto Serif" w:hAnsi="Noto Serif" w:eastAsia="Noto Serif"/>
          <w:sz w:val="19"/>
        </w:rPr>
        <w:t xml:space="preserve">EPA and the Corps shall restore permitting, enforcement, wetlands, stormwater, industrial discharge, and State-support capacity and shall prioritize drinking-water sources, Tribal waters, watersheds with repeated violations, and cumulative pollution.</w:t>
      </w:r>
    </w:p>
    <w:bookmarkEnd w:id="153"/>
    <w:bookmarkStart w:id="154" w:name="sec.-1003.-safe-drinking-water."/>
    <w:p>
      <w:pPr>
        <w:pStyle w:val="Heading2"/>
        <w:keepNext/>
        <w:spacing w:before="160" w:after="60"/>
      </w:pPr>
      <w:r>
        <w:rPr>
          <w:rFonts w:ascii="Inter" w:hAnsi="Inter" w:eastAsia="Inter"/>
          <w:b/>
          <w:color w:val="1F3F5B"/>
          <w:sz w:val="23"/>
        </w:rPr>
        <w:t xml:space="preserve">SEC. 1003. SAFE DRINKING WATER.</w:t>
      </w:r>
    </w:p>
    <w:p>
      <w:pPr>
        <w:widowControl/>
        <w:numPr>
          <w:ilvl w:val="0"/>
          <w:numId w:val="1071"/>
        </w:numPr>
        <w:spacing w:after="30" w:line="245" w:lineRule="auto"/>
      </w:pPr>
      <w:r>
        <w:rPr>
          <w:rFonts w:ascii="Noto Serif" w:hAnsi="Noto Serif" w:eastAsia="Noto Serif"/>
          <w:sz w:val="18"/>
        </w:rPr>
        <w:t xml:space="preserve">EPA shall maintain health-protective standards for lead, per- and polyfluoroalkyl substances, arsenic, microbial contaminants, and emerging contaminants.</w:t>
      </w:r>
    </w:p>
    <w:p>
      <w:pPr>
        <w:widowControl/>
        <w:numPr>
          <w:ilvl w:val="0"/>
          <w:numId w:val="1071"/>
        </w:numPr>
        <w:spacing w:after="30" w:line="245" w:lineRule="auto"/>
      </w:pPr>
      <w:r>
        <w:rPr>
          <w:rFonts w:ascii="Noto Serif" w:hAnsi="Noto Serif" w:eastAsia="Noto Serif"/>
          <w:sz w:val="18"/>
        </w:rPr>
        <w:t xml:space="preserve">Federal assistance shall prioritize replacement of lead service lines, small and rural systems, Tribal systems, schools, child-care facilities, and communities with unaffordable rates.</w:t>
      </w:r>
    </w:p>
    <w:p>
      <w:pPr>
        <w:widowControl/>
        <w:numPr>
          <w:ilvl w:val="0"/>
          <w:numId w:val="1071"/>
        </w:numPr>
        <w:spacing w:after="30" w:line="245" w:lineRule="auto"/>
      </w:pPr>
      <w:r>
        <w:rPr>
          <w:rFonts w:ascii="Noto Serif" w:hAnsi="Noto Serif" w:eastAsia="Noto Serif"/>
          <w:sz w:val="18"/>
        </w:rPr>
        <w:t xml:space="preserve">No person shall lose basic water service solely because a utility receives Federal enforcement or restructuring assistance; continuity and affordability plans are required.</w:t>
      </w:r>
    </w:p>
    <w:bookmarkEnd w:id="154"/>
    <w:bookmarkStart w:id="155" w:name="Xd4d575fc09e645900e415b6767d64539903be3e"/>
    <w:p>
      <w:pPr>
        <w:pStyle w:val="Heading2"/>
        <w:keepNext/>
        <w:spacing w:before="160" w:after="60"/>
      </w:pPr>
      <w:r>
        <w:rPr>
          <w:rFonts w:ascii="Inter" w:hAnsi="Inter" w:eastAsia="Inter"/>
          <w:b/>
          <w:color w:val="1F3F5B"/>
          <w:sz w:val="23"/>
        </w:rPr>
        <w:t xml:space="preserve">SEC. 1004. REVIEW OF PUBLIC-LAND AND MINERAL ACTIONS.</w:t>
      </w:r>
    </w:p>
    <w:p>
      <w:pPr>
        <w:pStyle w:val="FirstParagraph"/>
        <w:widowControl/>
        <w:spacing w:after="60" w:line="250" w:lineRule="auto"/>
      </w:pPr>
      <w:r>
        <w:rPr>
          <w:rFonts w:ascii="Noto Serif" w:hAnsi="Noto Serif" w:eastAsia="Noto Serif"/>
          <w:sz w:val="19"/>
        </w:rPr>
        <w:t xml:space="preserve">Within 180 days, the Secretary of the Interior and Secretary of Agriculture shall review leases, permits, rights-of-way, land-management amendments, timber sales, mineral withdrawals, and dispositions initiated during covered periods for legal sufficiency, fair value, environmental review, Tribal consultation, climate and water effects, reclamation security, and consistency with multiple-use and conservation duties.</w:t>
      </w:r>
    </w:p>
    <w:bookmarkEnd w:id="155"/>
    <w:bookmarkStart w:id="156" w:name="sec.-1005.-vested-leases-and-permits."/>
    <w:p>
      <w:pPr>
        <w:pStyle w:val="Heading2"/>
        <w:keepNext/>
        <w:spacing w:before="160" w:after="60"/>
      </w:pPr>
      <w:r>
        <w:rPr>
          <w:rFonts w:ascii="Inter" w:hAnsi="Inter" w:eastAsia="Inter"/>
          <w:b/>
          <w:color w:val="1F3F5B"/>
          <w:sz w:val="23"/>
        </w:rPr>
        <w:t xml:space="preserve">SEC. 1005. VESTED LEASES AND PERMITS.</w:t>
      </w:r>
    </w:p>
    <w:p>
      <w:pPr>
        <w:widowControl/>
        <w:numPr>
          <w:ilvl w:val="0"/>
          <w:numId w:val="1072"/>
        </w:numPr>
        <w:spacing w:after="30" w:line="245" w:lineRule="auto"/>
      </w:pPr>
      <w:r>
        <w:rPr>
          <w:rFonts w:ascii="Noto Serif" w:hAnsi="Noto Serif" w:eastAsia="Noto Serif"/>
          <w:sz w:val="18"/>
        </w:rPr>
        <w:t xml:space="preserve">A valid lease or permit may not be cancelled without due process and, where required, compensation.</w:t>
      </w:r>
    </w:p>
    <w:p>
      <w:pPr>
        <w:widowControl/>
        <w:numPr>
          <w:ilvl w:val="0"/>
          <w:numId w:val="1072"/>
        </w:numPr>
        <w:spacing w:after="30" w:line="245" w:lineRule="auto"/>
      </w:pPr>
      <w:r>
        <w:rPr>
          <w:rFonts w:ascii="Noto Serif" w:hAnsi="Noto Serif" w:eastAsia="Noto Serif"/>
          <w:sz w:val="18"/>
        </w:rPr>
        <w:t xml:space="preserve">The Secretary may suspend operations to prevent imminent environmental harm, enforce lease terms, require adequate bonding, or cure an unlawful approval.</w:t>
      </w:r>
    </w:p>
    <w:p>
      <w:pPr>
        <w:widowControl/>
        <w:numPr>
          <w:ilvl w:val="0"/>
          <w:numId w:val="1072"/>
        </w:numPr>
        <w:spacing w:after="30" w:line="245" w:lineRule="auto"/>
      </w:pPr>
      <w:r>
        <w:rPr>
          <w:rFonts w:ascii="Noto Serif" w:hAnsi="Noto Serif" w:eastAsia="Noto Serif"/>
          <w:sz w:val="18"/>
        </w:rPr>
        <w:t xml:space="preserve">A lessee may elect renegotiation, relinquishment, land exchange, restoration credit, or compensation where lawful.</w:t>
      </w:r>
    </w:p>
    <w:p>
      <w:pPr>
        <w:widowControl/>
        <w:numPr>
          <w:ilvl w:val="0"/>
          <w:numId w:val="1072"/>
        </w:numPr>
        <w:spacing w:after="30" w:line="245" w:lineRule="auto"/>
      </w:pPr>
      <w:r>
        <w:rPr>
          <w:rFonts w:ascii="Noto Serif" w:hAnsi="Noto Serif" w:eastAsia="Noto Serif"/>
          <w:sz w:val="18"/>
        </w:rPr>
        <w:t xml:space="preserve">Fraud, material nondisclosure, conflict of interest, or failure to satisfy a condition may support cancellation.</w:t>
      </w:r>
    </w:p>
    <w:bookmarkEnd w:id="156"/>
    <w:bookmarkStart w:id="157" w:name="sec.-1006.-fair-return-and-reclamation."/>
    <w:p>
      <w:pPr>
        <w:pStyle w:val="Heading2"/>
        <w:keepNext/>
        <w:spacing w:before="160" w:after="60"/>
      </w:pPr>
      <w:r>
        <w:rPr>
          <w:rFonts w:ascii="Inter" w:hAnsi="Inter" w:eastAsia="Inter"/>
          <w:b/>
          <w:color w:val="1F3F5B"/>
          <w:sz w:val="23"/>
        </w:rPr>
        <w:t xml:space="preserve">SEC. 1006. FAIR RETURN AND RECLAMATION.</w:t>
      </w:r>
    </w:p>
    <w:p>
      <w:pPr>
        <w:pStyle w:val="FirstParagraph"/>
        <w:widowControl/>
        <w:spacing w:after="60" w:line="250" w:lineRule="auto"/>
      </w:pPr>
      <w:r>
        <w:rPr>
          <w:rFonts w:ascii="Noto Serif" w:hAnsi="Noto Serif" w:eastAsia="Noto Serif"/>
          <w:sz w:val="19"/>
        </w:rPr>
        <w:t xml:space="preserve">Federal mineral, oil, gas, coal, timber, and renewable-energy development shall provide fair market value, inflation-adjusted rentals and royalties, full-cost bonding, methane and waste controls, water protection, labor standards, and enforceable reclamation. Royalty relief requires public findings of necessity and net public benefit.</w:t>
      </w:r>
    </w:p>
    <w:bookmarkEnd w:id="157"/>
    <w:bookmarkStart w:id="158" w:name="Xb0fffd8f8b8b709284ba75913c74cc2aea8122e"/>
    <w:p>
      <w:pPr>
        <w:pStyle w:val="Heading2"/>
        <w:keepNext/>
        <w:spacing w:before="160" w:after="60"/>
      </w:pPr>
      <w:r>
        <w:rPr>
          <w:rFonts w:ascii="Inter" w:hAnsi="Inter" w:eastAsia="Inter"/>
          <w:b/>
          <w:color w:val="1F3F5B"/>
          <w:sz w:val="23"/>
        </w:rPr>
        <w:t xml:space="preserve">SEC. 1007. NATIONAL MONUMENTS AND CONSERVATION DESIGNATIONS.</w:t>
      </w:r>
    </w:p>
    <w:p>
      <w:pPr>
        <w:pStyle w:val="FirstParagraph"/>
        <w:widowControl/>
        <w:spacing w:after="60" w:line="250" w:lineRule="auto"/>
      </w:pPr>
      <w:r>
        <w:rPr>
          <w:rFonts w:ascii="Noto Serif" w:hAnsi="Noto Serif" w:eastAsia="Noto Serif"/>
          <w:sz w:val="19"/>
        </w:rPr>
        <w:t xml:space="preserve">Reductions or revocations of national monuments during covered periods are reversed to the extent Congress has authority to do so. The President’s authority under the Antiquities Act remains subject to its text, judicial review, and consultation with Tribes and affected communities.</w:t>
      </w:r>
    </w:p>
    <w:bookmarkEnd w:id="158"/>
    <w:bookmarkStart w:id="159" w:name="Xd297173499fbeaf90266bbd2ac09fbe2a69d0da"/>
    <w:p>
      <w:pPr>
        <w:pStyle w:val="Heading2"/>
        <w:keepNext/>
        <w:spacing w:before="160" w:after="60"/>
      </w:pPr>
      <w:r>
        <w:rPr>
          <w:rFonts w:ascii="Inter" w:hAnsi="Inter" w:eastAsia="Inter"/>
          <w:b/>
          <w:color w:val="1F3F5B"/>
          <w:sz w:val="23"/>
        </w:rPr>
        <w:t xml:space="preserve">SEC. 1008. ALASKA, ARCTIC, AND SENSITIVE ECOSYSTEMS.</w:t>
      </w:r>
    </w:p>
    <w:p>
      <w:pPr>
        <w:pStyle w:val="FirstParagraph"/>
        <w:widowControl/>
        <w:spacing w:after="60" w:line="250" w:lineRule="auto"/>
      </w:pPr>
      <w:r>
        <w:rPr>
          <w:rFonts w:ascii="Noto Serif" w:hAnsi="Noto Serif" w:eastAsia="Noto Serif"/>
          <w:sz w:val="19"/>
        </w:rPr>
        <w:t xml:space="preserve">New leasing, roads, mining, logging, or infrastructure in the Arctic National Wildlife Refuge, National Petroleum Reserve-Alaska special areas, Tongass National Forest roadless areas, and other designated sensitive ecosystems shall require comprehensive cumulative-impact review, subsistence and Tribal consultation, spill-response capability, climate analysis, and a finding that no less damaging practicable alternative exists. Existing statutory prohibitions remain controlling.</w:t>
      </w:r>
    </w:p>
    <w:bookmarkEnd w:id="159"/>
    <w:bookmarkStart w:id="160" w:name="sec.-1009.-offshore-energy-and-minerals."/>
    <w:p>
      <w:pPr>
        <w:pStyle w:val="Heading2"/>
        <w:keepNext/>
        <w:spacing w:before="160" w:after="60"/>
      </w:pPr>
      <w:r>
        <w:rPr>
          <w:rFonts w:ascii="Inter" w:hAnsi="Inter" w:eastAsia="Inter"/>
          <w:b/>
          <w:color w:val="1F3F5B"/>
          <w:sz w:val="23"/>
        </w:rPr>
        <w:t xml:space="preserve">SEC. 1009. OFFSHORE ENERGY AND MINERALS.</w:t>
      </w:r>
    </w:p>
    <w:p>
      <w:pPr>
        <w:widowControl/>
        <w:numPr>
          <w:ilvl w:val="0"/>
          <w:numId w:val="1073"/>
        </w:numPr>
        <w:spacing w:after="30" w:line="245" w:lineRule="auto"/>
      </w:pPr>
      <w:r>
        <w:rPr>
          <w:rFonts w:ascii="Noto Serif" w:hAnsi="Noto Serif" w:eastAsia="Noto Serif"/>
          <w:sz w:val="18"/>
        </w:rPr>
        <w:t xml:space="preserve">Offshore leasing plans shall protect coastal economies, fisheries, marine mammals, national defense, Tribal and Indigenous interests, climate goals, and spill-response capacity.</w:t>
      </w:r>
    </w:p>
    <w:p>
      <w:pPr>
        <w:widowControl/>
        <w:numPr>
          <w:ilvl w:val="0"/>
          <w:numId w:val="1073"/>
        </w:numPr>
        <w:spacing w:after="30" w:line="245" w:lineRule="auto"/>
      </w:pPr>
      <w:r>
        <w:rPr>
          <w:rFonts w:ascii="Noto Serif" w:hAnsi="Noto Serif" w:eastAsia="Noto Serif"/>
          <w:sz w:val="18"/>
        </w:rPr>
        <w:t xml:space="preserve">Deep-sea mineral activities under United States authority require a precautionary environmental regime, baseline science, financial assurance, transparency, and international coordination.</w:t>
      </w:r>
    </w:p>
    <w:p>
      <w:pPr>
        <w:widowControl/>
        <w:numPr>
          <w:ilvl w:val="0"/>
          <w:numId w:val="1073"/>
        </w:numPr>
        <w:spacing w:after="30" w:line="245" w:lineRule="auto"/>
      </w:pPr>
      <w:r>
        <w:rPr>
          <w:rFonts w:ascii="Noto Serif" w:hAnsi="Noto Serif" w:eastAsia="Noto Serif"/>
          <w:sz w:val="18"/>
        </w:rPr>
        <w:t xml:space="preserve">No categorical</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energy dominance</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policy may displace statutory environmental or multiple-use duties.</w:t>
      </w:r>
    </w:p>
    <w:bookmarkEnd w:id="160"/>
    <w:bookmarkStart w:id="161" w:name="X67884340af4f9eda124ba352cd2306729681394"/>
    <w:p>
      <w:pPr>
        <w:pStyle w:val="Heading2"/>
        <w:keepNext/>
        <w:spacing w:before="160" w:after="60"/>
      </w:pPr>
      <w:r>
        <w:rPr>
          <w:rFonts w:ascii="Inter" w:hAnsi="Inter" w:eastAsia="Inter"/>
          <w:b/>
          <w:color w:val="1F3F5B"/>
          <w:sz w:val="23"/>
        </w:rPr>
        <w:t xml:space="preserve">SEC. 1010. NATIONAL ENVIRONMENTAL POLICY ACT.</w:t>
      </w:r>
    </w:p>
    <w:p>
      <w:pPr>
        <w:widowControl/>
        <w:numPr>
          <w:ilvl w:val="0"/>
          <w:numId w:val="1074"/>
        </w:numPr>
        <w:spacing w:after="30" w:line="245" w:lineRule="auto"/>
      </w:pPr>
      <w:r>
        <w:rPr>
          <w:rFonts w:ascii="Noto Serif" w:hAnsi="Noto Serif" w:eastAsia="Noto Serif"/>
          <w:sz w:val="18"/>
        </w:rPr>
        <w:t xml:space="preserve">The Council on Environmental Quality is expressly authorized to issue binding government-wide regulations implementing NEPA.</w:t>
      </w:r>
    </w:p>
    <w:p>
      <w:pPr>
        <w:widowControl/>
        <w:numPr>
          <w:ilvl w:val="0"/>
          <w:numId w:val="1074"/>
        </w:numPr>
        <w:spacing w:after="30" w:line="245" w:lineRule="auto"/>
      </w:pPr>
      <w:r>
        <w:rPr>
          <w:rFonts w:ascii="Noto Serif" w:hAnsi="Noto Serif" w:eastAsia="Noto Serif"/>
          <w:sz w:val="18"/>
        </w:rPr>
        <w:t xml:space="preserve">Agencies shall analyze direct, indirect, and reasonably foreseeable cumulative effects; climate risk; environmental justice; alternatives; connected actions; and mitigation enforceability.</w:t>
      </w:r>
    </w:p>
    <w:p>
      <w:pPr>
        <w:widowControl/>
        <w:numPr>
          <w:ilvl w:val="0"/>
          <w:numId w:val="1074"/>
        </w:numPr>
        <w:spacing w:after="30" w:line="245" w:lineRule="auto"/>
      </w:pPr>
      <w:r>
        <w:rPr>
          <w:rFonts w:ascii="Noto Serif" w:hAnsi="Noto Serif" w:eastAsia="Noto Serif"/>
          <w:sz w:val="18"/>
        </w:rPr>
        <w:t xml:space="preserve">Reviews shall be timely, proportionate, and coordinated. Page and time goals may be used, but shall not require omission of material analysis.</w:t>
      </w:r>
    </w:p>
    <w:p>
      <w:pPr>
        <w:widowControl/>
        <w:numPr>
          <w:ilvl w:val="0"/>
          <w:numId w:val="1074"/>
        </w:numPr>
        <w:spacing w:after="30" w:line="245" w:lineRule="auto"/>
      </w:pPr>
      <w:r>
        <w:rPr>
          <w:rFonts w:ascii="Noto Serif" w:hAnsi="Noto Serif" w:eastAsia="Noto Serif"/>
          <w:sz w:val="18"/>
        </w:rPr>
        <w:t xml:space="preserve">A project sponsor may fund third-party preparation only under agency control, conflict screening, and public disclosure.</w:t>
      </w:r>
    </w:p>
    <w:bookmarkEnd w:id="161"/>
    <w:bookmarkStart w:id="162" w:name="Xae7b25c897b01f1857c49b28d50ce457e58c8f3"/>
    <w:p>
      <w:pPr>
        <w:pStyle w:val="Heading2"/>
        <w:keepNext/>
        <w:spacing w:before="160" w:after="60"/>
      </w:pPr>
      <w:r>
        <w:rPr>
          <w:rFonts w:ascii="Inter" w:hAnsi="Inter" w:eastAsia="Inter"/>
          <w:b/>
          <w:color w:val="1F3F5B"/>
          <w:sz w:val="23"/>
        </w:rPr>
        <w:t xml:space="preserve">SEC. 1011. ENDANGERED SPECIES AND MARINE MAMMALS.</w:t>
      </w:r>
    </w:p>
    <w:p>
      <w:pPr>
        <w:pStyle w:val="FirstParagraph"/>
        <w:widowControl/>
        <w:spacing w:after="60" w:line="250" w:lineRule="auto"/>
      </w:pPr>
      <w:r>
        <w:rPr>
          <w:rFonts w:ascii="Noto Serif" w:hAnsi="Noto Serif" w:eastAsia="Noto Serif"/>
          <w:sz w:val="19"/>
        </w:rPr>
        <w:t xml:space="preserve">The Fish and Wildlife Service and NOAA shall restore science-based listing, critical-habitat, consultation, recovery, incidental-take, marine-mammal, and enforcement capacity. Economic information may inform implementation but may not determine whether a species is biologically endangered or threatened.</w:t>
      </w:r>
    </w:p>
    <w:bookmarkEnd w:id="162"/>
    <w:bookmarkStart w:id="163" w:name="sec.-1012.-forests-timber-and-wildfire."/>
    <w:p>
      <w:pPr>
        <w:pStyle w:val="Heading2"/>
        <w:keepNext/>
        <w:spacing w:before="160" w:after="60"/>
      </w:pPr>
      <w:r>
        <w:rPr>
          <w:rFonts w:ascii="Inter" w:hAnsi="Inter" w:eastAsia="Inter"/>
          <w:b/>
          <w:color w:val="1F3F5B"/>
          <w:sz w:val="23"/>
        </w:rPr>
        <w:t xml:space="preserve">SEC. 1012. FORESTS, TIMBER, AND WILDFIRE.</w:t>
      </w:r>
    </w:p>
    <w:p>
      <w:pPr>
        <w:pStyle w:val="FirstParagraph"/>
        <w:widowControl/>
        <w:spacing w:after="60" w:line="250" w:lineRule="auto"/>
      </w:pPr>
      <w:r>
        <w:rPr>
          <w:rFonts w:ascii="Noto Serif" w:hAnsi="Noto Serif" w:eastAsia="Noto Serif"/>
          <w:sz w:val="19"/>
        </w:rPr>
        <w:t xml:space="preserve">Federal forest policy shall combine ecological restoration, prescribed fire, Indigenous knowledge, community protection, sustainable timber, watershed protection, old-growth and mature-forest conservation, worker safety, and transparent monitoring. Emergency wildfire authorities may not be used as a pretext for unrelated commercial logging.</w:t>
      </w:r>
    </w:p>
    <w:bookmarkEnd w:id="163"/>
    <w:bookmarkStart w:id="164" w:name="X50abbc81986ce5e9beb45376d987f70c337255c"/>
    <w:p>
      <w:pPr>
        <w:pStyle w:val="Heading2"/>
        <w:keepNext/>
        <w:spacing w:before="160" w:after="60"/>
      </w:pPr>
      <w:r>
        <w:rPr>
          <w:rFonts w:ascii="Inter" w:hAnsi="Inter" w:eastAsia="Inter"/>
          <w:b/>
          <w:color w:val="1F3F5B"/>
          <w:sz w:val="23"/>
        </w:rPr>
        <w:t xml:space="preserve">SEC. 1013. TRIBAL CONSULTATION AND CONSENT.</w:t>
      </w:r>
    </w:p>
    <w:p>
      <w:pPr>
        <w:widowControl/>
        <w:numPr>
          <w:ilvl w:val="0"/>
          <w:numId w:val="1075"/>
        </w:numPr>
        <w:spacing w:after="30" w:line="245" w:lineRule="auto"/>
      </w:pPr>
      <w:r>
        <w:rPr>
          <w:rFonts w:ascii="Noto Serif" w:hAnsi="Noto Serif" w:eastAsia="Noto Serif"/>
          <w:sz w:val="18"/>
        </w:rPr>
        <w:t xml:space="preserve">Agencies shall engage in early, meaningful, good-faith government-to-government consultation before actions affecting Tribal lands, treaty rights, sacred sites, cultural resources, subsistence, health, or waters.</w:t>
      </w:r>
    </w:p>
    <w:p>
      <w:pPr>
        <w:widowControl/>
        <w:numPr>
          <w:ilvl w:val="0"/>
          <w:numId w:val="1075"/>
        </w:numPr>
        <w:spacing w:after="30" w:line="245" w:lineRule="auto"/>
      </w:pPr>
      <w:r>
        <w:rPr>
          <w:rFonts w:ascii="Noto Serif" w:hAnsi="Noto Serif" w:eastAsia="Noto Serif"/>
          <w:sz w:val="18"/>
        </w:rPr>
        <w:t xml:space="preserve">For actions causing substantial permanent impairment of a treaty right, sacred site, or trust asset, the agency shall seek free, prior, and informed consent and may proceed over objection only where Congress has clearly authorized the action and no less harmful lawful alternative exists.</w:t>
      </w:r>
    </w:p>
    <w:p>
      <w:pPr>
        <w:widowControl/>
        <w:numPr>
          <w:ilvl w:val="0"/>
          <w:numId w:val="1075"/>
        </w:numPr>
        <w:spacing w:after="30" w:line="245" w:lineRule="auto"/>
      </w:pPr>
      <w:r>
        <w:rPr>
          <w:rFonts w:ascii="Noto Serif" w:hAnsi="Noto Serif" w:eastAsia="Noto Serif"/>
          <w:sz w:val="18"/>
        </w:rPr>
        <w:t xml:space="preserve">Consultation records and unresolved objections shall be public to the extent consistent with protection of sacred and confidential information.</w:t>
      </w:r>
    </w:p>
    <w:bookmarkEnd w:id="164"/>
    <w:bookmarkStart w:id="165" w:name="Xe3a230efe2f1f3ee0449585056e1f9cead71a18"/>
    <w:p>
      <w:pPr>
        <w:pStyle w:val="Heading2"/>
        <w:keepNext/>
        <w:spacing w:before="160" w:after="60"/>
      </w:pPr>
      <w:r>
        <w:rPr>
          <w:rFonts w:ascii="Inter" w:hAnsi="Inter" w:eastAsia="Inter"/>
          <w:b/>
          <w:color w:val="1F3F5B"/>
          <w:sz w:val="23"/>
        </w:rPr>
        <w:t xml:space="preserve">SEC. 1014. PARKS, HISTORIC PRESERVATION, AND PUBLIC ACCESS.</w:t>
      </w:r>
    </w:p>
    <w:p>
      <w:pPr>
        <w:pStyle w:val="FirstParagraph"/>
        <w:widowControl/>
        <w:spacing w:after="60" w:line="250" w:lineRule="auto"/>
      </w:pPr>
      <w:r>
        <w:rPr>
          <w:rFonts w:ascii="Noto Serif" w:hAnsi="Noto Serif" w:eastAsia="Noto Serif"/>
          <w:sz w:val="19"/>
        </w:rPr>
        <w:t xml:space="preserve">The National Park Service and historic-preservation programs shall be restored to maintain national parks, monuments, recreation areas, historic sites, cultural landscapes, and community heritage. Transfer to a State or other entity requires statutory authority, public process, conservation covenants, labor protections, and continued public access.</w:t>
      </w:r>
    </w:p>
    <w:bookmarkEnd w:id="165"/>
    <w:bookmarkStart w:id="166" w:name="X4781cf496870c6f93dee1c1f593c3cf818146e5"/>
    <w:p>
      <w:pPr>
        <w:pStyle w:val="Heading2"/>
        <w:keepNext/>
        <w:spacing w:before="160" w:after="60"/>
      </w:pPr>
      <w:r>
        <w:rPr>
          <w:rFonts w:ascii="Inter" w:hAnsi="Inter" w:eastAsia="Inter"/>
          <w:b/>
          <w:color w:val="1F3F5B"/>
          <w:sz w:val="23"/>
        </w:rPr>
        <w:t xml:space="preserve">SEC. 1015. CONSERVATION AND CLIMATE CORPS.</w:t>
      </w:r>
    </w:p>
    <w:p>
      <w:pPr>
        <w:pStyle w:val="FirstParagraph"/>
        <w:widowControl/>
        <w:spacing w:after="60" w:line="250" w:lineRule="auto"/>
      </w:pPr>
      <w:r>
        <w:rPr>
          <w:rFonts w:ascii="Noto Serif" w:hAnsi="Noto Serif" w:eastAsia="Noto Serif"/>
          <w:sz w:val="19"/>
        </w:rPr>
        <w:t xml:space="preserve">The President shall establish a paid Civilian Conservation and Climate Corps to restore watersheds, parks, forests, wetlands, coastlines, urban trees, trails, abandoned mines, orphan wells, and disaster-damaged communities, with apprenticeships, prevailing wages, Tribal partnerships, and pathways into public service.</w:t>
      </w:r>
    </w:p>
    <w:bookmarkEnd w:id="166"/>
    <w:bookmarkStart w:id="167" w:name="Xde24f71bbd650cbc36a5155d5601f20a110bf7d"/>
    <w:p>
      <w:pPr>
        <w:pStyle w:val="Heading2"/>
        <w:keepNext/>
        <w:spacing w:before="160" w:after="60"/>
      </w:pPr>
      <w:r>
        <w:rPr>
          <w:rFonts w:ascii="Inter" w:hAnsi="Inter" w:eastAsia="Inter"/>
          <w:b/>
          <w:color w:val="1F3F5B"/>
          <w:sz w:val="23"/>
        </w:rPr>
        <w:t xml:space="preserve">SEC. 1016. OCEANS, FISHERIES, AND PLASTICS.</w:t>
      </w:r>
    </w:p>
    <w:p>
      <w:pPr>
        <w:pStyle w:val="FirstParagraph"/>
        <w:widowControl/>
        <w:spacing w:after="60" w:line="250" w:lineRule="auto"/>
      </w:pPr>
      <w:r>
        <w:rPr>
          <w:rFonts w:ascii="Noto Serif" w:hAnsi="Noto Serif" w:eastAsia="Noto Serif"/>
          <w:sz w:val="19"/>
        </w:rPr>
        <w:t xml:space="preserve">NOAA and EPA shall strengthen ocean monitoring, habitat restoration, marine-debris prevention, sustainable fisheries, bycatch reduction, coastal resilience, and producer responsibility for designated high-impact plastic products, subject to separate rulemaking and small-business assistance.</w:t>
      </w:r>
    </w:p>
    <w:bookmarkEnd w:id="167"/>
    <w:bookmarkStart w:id="168" w:name="X9cf85a1147be93162610bdc5638bcf0969f16c0"/>
    <w:p>
      <w:pPr>
        <w:pStyle w:val="Heading2"/>
        <w:keepNext/>
        <w:spacing w:before="160" w:after="60"/>
      </w:pPr>
      <w:r>
        <w:rPr>
          <w:rFonts w:ascii="Inter" w:hAnsi="Inter" w:eastAsia="Inter"/>
          <w:b/>
          <w:color w:val="1F3F5B"/>
          <w:sz w:val="23"/>
        </w:rPr>
        <w:t xml:space="preserve">SEC. 1017. ENVIRONMENTAL REMEDIATION PRIORITY.</w:t>
      </w:r>
    </w:p>
    <w:p>
      <w:pPr>
        <w:pStyle w:val="FirstParagraph"/>
        <w:widowControl/>
        <w:spacing w:after="60" w:line="250" w:lineRule="auto"/>
      </w:pPr>
      <w:r>
        <w:rPr>
          <w:rFonts w:ascii="Noto Serif" w:hAnsi="Noto Serif" w:eastAsia="Noto Serif"/>
          <w:sz w:val="19"/>
        </w:rPr>
        <w:t xml:space="preserve">A Restoration Remediation List shall identify orphan wells, abandoned mines, contaminated Federal facilities, toxic hot spots, damaged wetlands, unauthorized roads, and impaired Tribal trust resources caused or worsened by covered rollback actions. Responsible parties remain liable where law provides.</w:t>
      </w:r>
    </w:p>
    <w:bookmarkEnd w:id="168"/>
    <w:bookmarkStart w:id="169" w:name="X81d9c23f574eba195d2e463bd5f4c1adaca8b4d"/>
    <w:p>
      <w:pPr>
        <w:pStyle w:val="Heading2"/>
        <w:keepNext/>
        <w:spacing w:before="160" w:after="60"/>
      </w:pPr>
      <w:r>
        <w:rPr>
          <w:rFonts w:ascii="Inter" w:hAnsi="Inter" w:eastAsia="Inter"/>
          <w:b/>
          <w:color w:val="1F3F5B"/>
          <w:sz w:val="23"/>
        </w:rPr>
        <w:t xml:space="preserve">SEC. 1018. RELATIONSHIP TO ENVIRONMENTAL COMPANION ACTS.</w:t>
      </w:r>
    </w:p>
    <w:p>
      <w:pPr>
        <w:pStyle w:val="FirstParagraph"/>
        <w:widowControl/>
        <w:spacing w:after="60" w:line="250" w:lineRule="auto"/>
      </w:pPr>
      <w:r>
        <w:rPr>
          <w:rFonts w:ascii="Noto Serif" w:hAnsi="Noto Serif" w:eastAsia="Noto Serif"/>
          <w:sz w:val="19"/>
        </w:rPr>
        <w:t xml:space="preserve">This title restores statutory baselines and capacity. America’s Nature Act, the American Environment Act, and the RESPONSIBILITY Act govern stronger permanent restoration, liability, ecological-crime, and enforcement provisions.</w:t>
      </w:r>
    </w:p>
    <w:bookmarkEnd w:id="169"/>
    <w:bookmarkEnd w:id="170"/>
    <w:bookmarkStart w:id="191" w:name="X88df5cc6eca27c28de56aca6d73d82bb02c91b2"/>
    <w:p>
      <w:pPr>
        <w:pStyle w:val="Heading1"/>
        <w:keepNext/>
        <w:pageBreakBefore/>
        <w:spacing w:before="0" w:after="180"/>
        <w:pBdr>
          <w:bottom w:val="single" w:sz="8" w:space="4" w:color="9EB0BF"/>
        </w:pBdr>
      </w:pPr>
      <w:r>
        <w:rPr>
          <w:rFonts w:ascii="Inter" w:hAnsi="Inter" w:eastAsia="Inter"/>
          <w:b/>
          <w:color w:val="142D48"/>
          <w:sz w:val="34"/>
        </w:rPr>
        <w:t xml:space="preserve">TITLE XI - CLEAN ENERGY, GRID MODERNIZATION, AND RESPONSIBLE DATA-CENTER DEVELOPMENT</w:t>
      </w:r>
    </w:p>
    <w:bookmarkStart w:id="171" w:name="X10a31c96e2b0b3301d1d15d8b816e0baef80653"/>
    <w:p>
      <w:pPr>
        <w:pStyle w:val="Heading2"/>
        <w:keepNext/>
        <w:spacing w:before="160" w:after="60"/>
      </w:pPr>
      <w:r>
        <w:rPr>
          <w:rFonts w:ascii="Inter" w:hAnsi="Inter" w:eastAsia="Inter"/>
          <w:b/>
          <w:color w:val="1F3F5B"/>
          <w:sz w:val="23"/>
        </w:rPr>
        <w:t xml:space="preserve">SEC. 1101. RESTORATION OF CLEAN-ENERGY INSTITUTIONS.</w:t>
      </w:r>
    </w:p>
    <w:p>
      <w:pPr>
        <w:widowControl/>
        <w:numPr>
          <w:ilvl w:val="0"/>
          <w:numId w:val="1076"/>
        </w:numPr>
        <w:spacing w:after="30" w:line="245" w:lineRule="auto"/>
      </w:pPr>
      <w:r>
        <w:rPr>
          <w:rFonts w:ascii="Noto Serif" w:hAnsi="Noto Serif" w:eastAsia="Noto Serif"/>
          <w:sz w:val="18"/>
        </w:rPr>
        <w:t xml:space="preserve">The Office of Energy Efficiency and Renewable Energy is reestablished within the Department of Energy with responsibility for renewable energy, buildings, industry, sustainable transportation, weatherization, manufacturing, workforce, and energy-justice programs.</w:t>
      </w:r>
    </w:p>
    <w:p>
      <w:pPr>
        <w:widowControl/>
        <w:numPr>
          <w:ilvl w:val="0"/>
          <w:numId w:val="1076"/>
        </w:numPr>
        <w:spacing w:after="30" w:line="245" w:lineRule="auto"/>
      </w:pPr>
      <w:r>
        <w:rPr>
          <w:rFonts w:ascii="Noto Serif" w:hAnsi="Noto Serif" w:eastAsia="Noto Serif"/>
          <w:sz w:val="18"/>
        </w:rPr>
        <w:t xml:space="preserve">ARPA-E shall maintain a technology-neutral portfolio of high-risk, high-reward energy research, including storage, transmission, geothermal, advanced nuclear, carbon management, industrial decarbonization, sustainable fuels, efficiency, and clean manufacturing.</w:t>
      </w:r>
    </w:p>
    <w:p>
      <w:pPr>
        <w:widowControl/>
        <w:numPr>
          <w:ilvl w:val="0"/>
          <w:numId w:val="1076"/>
        </w:numPr>
        <w:spacing w:after="30" w:line="245" w:lineRule="auto"/>
      </w:pPr>
      <w:r>
        <w:rPr>
          <w:rFonts w:ascii="Noto Serif" w:hAnsi="Noto Serif" w:eastAsia="Noto Serif"/>
          <w:sz w:val="18"/>
        </w:rPr>
        <w:t xml:space="preserve">Research may not be excluded merely because it concerns climate change, equity, environmental effects, or deployment barriers.</w:t>
      </w:r>
    </w:p>
    <w:bookmarkEnd w:id="171"/>
    <w:bookmarkStart w:id="172" w:name="sec.-1102.-national-grid-plan."/>
    <w:p>
      <w:pPr>
        <w:pStyle w:val="Heading2"/>
        <w:keepNext/>
        <w:spacing w:before="160" w:after="60"/>
      </w:pPr>
      <w:r>
        <w:rPr>
          <w:rFonts w:ascii="Inter" w:hAnsi="Inter" w:eastAsia="Inter"/>
          <w:b/>
          <w:color w:val="1F3F5B"/>
          <w:sz w:val="23"/>
        </w:rPr>
        <w:t xml:space="preserve">SEC. 1102. NATIONAL GRID PLAN.</w:t>
      </w:r>
    </w:p>
    <w:p>
      <w:pPr>
        <w:pStyle w:val="FirstParagraph"/>
        <w:widowControl/>
        <w:spacing w:after="60" w:line="250" w:lineRule="auto"/>
      </w:pPr>
      <w:r>
        <w:rPr>
          <w:rFonts w:ascii="Noto Serif" w:hAnsi="Noto Serif" w:eastAsia="Noto Serif"/>
          <w:sz w:val="19"/>
        </w:rPr>
        <w:t xml:space="preserve">Within 18 months, the Department of Energy, FERC, regional transmission organizations, States, Tribes, public-power entities, rural cooperatives, reliability organizations, and consumer advocates shall develop a National Grid Plan addressing:</w:t>
      </w:r>
    </w:p>
    <w:p>
      <w:pPr>
        <w:pStyle w:val="Compact"/>
        <w:widowControl/>
        <w:numPr>
          <w:ilvl w:val="0"/>
          <w:numId w:val="1077"/>
        </w:numPr>
        <w:spacing w:after="30" w:line="245" w:lineRule="auto"/>
      </w:pPr>
      <w:r>
        <w:rPr>
          <w:rFonts w:ascii="Noto Serif" w:hAnsi="Noto Serif" w:eastAsia="Noto Serif"/>
          <w:sz w:val="18"/>
        </w:rPr>
        <w:t xml:space="preserve">interregional transmission;</w:t>
      </w:r>
    </w:p>
    <w:p>
      <w:pPr>
        <w:pStyle w:val="Compact"/>
        <w:widowControl/>
        <w:numPr>
          <w:ilvl w:val="0"/>
          <w:numId w:val="1077"/>
        </w:numPr>
        <w:spacing w:after="30" w:line="245" w:lineRule="auto"/>
      </w:pPr>
      <w:r>
        <w:rPr>
          <w:rFonts w:ascii="Noto Serif" w:hAnsi="Noto Serif" w:eastAsia="Noto Serif"/>
          <w:sz w:val="18"/>
        </w:rPr>
        <w:t xml:space="preserve">advanced conductors and grid-enhancing technologies;</w:t>
      </w:r>
    </w:p>
    <w:p>
      <w:pPr>
        <w:pStyle w:val="Compact"/>
        <w:widowControl/>
        <w:numPr>
          <w:ilvl w:val="0"/>
          <w:numId w:val="1077"/>
        </w:numPr>
        <w:spacing w:after="30" w:line="245" w:lineRule="auto"/>
      </w:pPr>
      <w:r>
        <w:rPr>
          <w:rFonts w:ascii="Noto Serif" w:hAnsi="Noto Serif" w:eastAsia="Noto Serif"/>
          <w:sz w:val="18"/>
        </w:rPr>
        <w:t xml:space="preserve">storage and flexible demand;</w:t>
      </w:r>
    </w:p>
    <w:p>
      <w:pPr>
        <w:pStyle w:val="Compact"/>
        <w:widowControl/>
        <w:numPr>
          <w:ilvl w:val="0"/>
          <w:numId w:val="1077"/>
        </w:numPr>
        <w:spacing w:after="30" w:line="245" w:lineRule="auto"/>
      </w:pPr>
      <w:r>
        <w:rPr>
          <w:rFonts w:ascii="Noto Serif" w:hAnsi="Noto Serif" w:eastAsia="Noto Serif"/>
          <w:sz w:val="18"/>
        </w:rPr>
        <w:t xml:space="preserve">distributed energy and microgrids;</w:t>
      </w:r>
    </w:p>
    <w:p>
      <w:pPr>
        <w:pStyle w:val="Compact"/>
        <w:widowControl/>
        <w:numPr>
          <w:ilvl w:val="0"/>
          <w:numId w:val="1077"/>
        </w:numPr>
        <w:spacing w:after="30" w:line="245" w:lineRule="auto"/>
      </w:pPr>
      <w:r>
        <w:rPr>
          <w:rFonts w:ascii="Noto Serif" w:hAnsi="Noto Serif" w:eastAsia="Noto Serif"/>
          <w:sz w:val="18"/>
        </w:rPr>
        <w:t xml:space="preserve">resilience to heat, fire, storms, cyberattack, and geomagnetic disturbance;</w:t>
      </w:r>
    </w:p>
    <w:p>
      <w:pPr>
        <w:pStyle w:val="Compact"/>
        <w:widowControl/>
        <w:numPr>
          <w:ilvl w:val="0"/>
          <w:numId w:val="1077"/>
        </w:numPr>
        <w:spacing w:after="30" w:line="245" w:lineRule="auto"/>
      </w:pPr>
      <w:r>
        <w:rPr>
          <w:rFonts w:ascii="Noto Serif" w:hAnsi="Noto Serif" w:eastAsia="Noto Serif"/>
          <w:sz w:val="18"/>
        </w:rPr>
        <w:t xml:space="preserve">interconnection queues;</w:t>
      </w:r>
    </w:p>
    <w:p>
      <w:pPr>
        <w:pStyle w:val="Compact"/>
        <w:widowControl/>
        <w:numPr>
          <w:ilvl w:val="0"/>
          <w:numId w:val="1077"/>
        </w:numPr>
        <w:spacing w:after="30" w:line="245" w:lineRule="auto"/>
      </w:pPr>
      <w:r>
        <w:rPr>
          <w:rFonts w:ascii="Noto Serif" w:hAnsi="Noto Serif" w:eastAsia="Noto Serif"/>
          <w:sz w:val="18"/>
        </w:rPr>
        <w:t xml:space="preserve">fair cost allocation;</w:t>
      </w:r>
    </w:p>
    <w:p>
      <w:pPr>
        <w:pStyle w:val="Compact"/>
        <w:widowControl/>
        <w:numPr>
          <w:ilvl w:val="0"/>
          <w:numId w:val="1077"/>
        </w:numPr>
        <w:spacing w:after="30" w:line="245" w:lineRule="auto"/>
      </w:pPr>
      <w:r>
        <w:rPr>
          <w:rFonts w:ascii="Noto Serif" w:hAnsi="Noto Serif" w:eastAsia="Noto Serif"/>
          <w:sz w:val="18"/>
        </w:rPr>
        <w:t xml:space="preserve">workforce and domestic supply chains; and</w:t>
      </w:r>
    </w:p>
    <w:p>
      <w:pPr>
        <w:pStyle w:val="Compact"/>
        <w:widowControl/>
        <w:numPr>
          <w:ilvl w:val="0"/>
          <w:numId w:val="1077"/>
        </w:numPr>
        <w:spacing w:after="30" w:line="245" w:lineRule="auto"/>
      </w:pPr>
      <w:r>
        <w:rPr>
          <w:rFonts w:ascii="Noto Serif" w:hAnsi="Noto Serif" w:eastAsia="Noto Serif"/>
          <w:sz w:val="18"/>
        </w:rPr>
        <w:t xml:space="preserve">affordability and protection of low-income ratepayers.</w:t>
      </w:r>
    </w:p>
    <w:bookmarkEnd w:id="172"/>
    <w:bookmarkStart w:id="173" w:name="X8fcd899b1d9a1a9478e594f24ae879ca874a463"/>
    <w:p>
      <w:pPr>
        <w:pStyle w:val="Heading2"/>
        <w:keepNext/>
        <w:spacing w:before="160" w:after="60"/>
      </w:pPr>
      <w:r>
        <w:rPr>
          <w:rFonts w:ascii="Inter" w:hAnsi="Inter" w:eastAsia="Inter"/>
          <w:b/>
          <w:color w:val="1F3F5B"/>
          <w:sz w:val="23"/>
        </w:rPr>
        <w:t xml:space="preserve">SEC. 1103. TRANSMISSION AUTHORITY AND COMMUNITY PROTECTION.</w:t>
      </w:r>
    </w:p>
    <w:p>
      <w:pPr>
        <w:pStyle w:val="FirstParagraph"/>
        <w:widowControl/>
        <w:spacing w:after="60" w:line="250" w:lineRule="auto"/>
      </w:pPr>
      <w:r>
        <w:rPr>
          <w:rFonts w:ascii="Noto Serif" w:hAnsi="Noto Serif" w:eastAsia="Noto Serif"/>
          <w:sz w:val="19"/>
        </w:rPr>
        <w:t xml:space="preserve">Federal backstop siting and loan authorities may be used for nationally significant transmission after robust State, Tribal, landowner, wildlife, cultural-resource, and community consultation. Project benefits, mitigation, local compensation, undergrounding feasibility, and alternatives shall be disclosed.</w:t>
      </w:r>
    </w:p>
    <w:bookmarkEnd w:id="173"/>
    <w:bookmarkStart w:id="174" w:name="X8e58829249209f7a31cacc6723f6d93bb774b60"/>
    <w:p>
      <w:pPr>
        <w:pStyle w:val="Heading2"/>
        <w:keepNext/>
        <w:spacing w:before="160" w:after="60"/>
      </w:pPr>
      <w:r>
        <w:rPr>
          <w:rFonts w:ascii="Inter" w:hAnsi="Inter" w:eastAsia="Inter"/>
          <w:b/>
          <w:color w:val="1F3F5B"/>
          <w:sz w:val="23"/>
        </w:rPr>
        <w:t xml:space="preserve">SEC. 1104. ENERGY EFFICIENCY AND APPLIANCE STANDARDS.</w:t>
      </w:r>
    </w:p>
    <w:p>
      <w:pPr>
        <w:pStyle w:val="FirstParagraph"/>
        <w:widowControl/>
        <w:spacing w:after="60" w:line="250" w:lineRule="auto"/>
      </w:pPr>
      <w:r>
        <w:rPr>
          <w:rFonts w:ascii="Noto Serif" w:hAnsi="Noto Serif" w:eastAsia="Noto Serif"/>
          <w:sz w:val="19"/>
        </w:rPr>
        <w:t xml:space="preserve">DOE shall maintain and periodically strengthen cost-effective efficiency standards for appliances, equipment, buildings, lighting, and industrial systems. Standards shall preserve product utility, consider full lifecycle cost, provide reasonable lead time, and include assistance for low-income households and small manufacturers.</w:t>
      </w:r>
    </w:p>
    <w:bookmarkEnd w:id="174"/>
    <w:bookmarkStart w:id="175" w:name="X22c218ad1f94b3f12677079c68e0b38fccc739e"/>
    <w:p>
      <w:pPr>
        <w:pStyle w:val="Heading2"/>
        <w:keepNext/>
        <w:spacing w:before="160" w:after="60"/>
      </w:pPr>
      <w:r>
        <w:rPr>
          <w:rFonts w:ascii="Inter" w:hAnsi="Inter" w:eastAsia="Inter"/>
          <w:b/>
          <w:color w:val="1F3F5B"/>
          <w:sz w:val="23"/>
        </w:rPr>
        <w:t xml:space="preserve">SEC. 1105. WEATHERIZATION AND BUILDING DECARBONIZATION.</w:t>
      </w:r>
    </w:p>
    <w:p>
      <w:pPr>
        <w:pStyle w:val="FirstParagraph"/>
        <w:widowControl/>
        <w:spacing w:after="60" w:line="250" w:lineRule="auto"/>
      </w:pPr>
      <w:r>
        <w:rPr>
          <w:rFonts w:ascii="Noto Serif" w:hAnsi="Noto Serif" w:eastAsia="Noto Serif"/>
          <w:sz w:val="19"/>
        </w:rPr>
        <w:t xml:space="preserve">Federal grants shall expand weatherization, heat-pump deployment, efficient cooling, healthy housing, building electrification where cost-effective, district energy, and resilience upgrades. No household shall be compelled to replace a safe functioning appliance without financial support where a Federal mandate is the principal cause.</w:t>
      </w:r>
    </w:p>
    <w:bookmarkEnd w:id="175"/>
    <w:bookmarkStart w:id="176" w:name="X3ebccf1baa68f0bacf8fd2e9b42043b54b138fa"/>
    <w:p>
      <w:pPr>
        <w:pStyle w:val="Heading2"/>
        <w:keepNext/>
        <w:spacing w:before="160" w:after="60"/>
      </w:pPr>
      <w:r>
        <w:rPr>
          <w:rFonts w:ascii="Inter" w:hAnsi="Inter" w:eastAsia="Inter"/>
          <w:b/>
          <w:color w:val="1F3F5B"/>
          <w:sz w:val="23"/>
        </w:rPr>
        <w:t xml:space="preserve">SEC. 1106. FOSSIL-FUEL SUBSIDY AND LIABILITY REVIEW.</w:t>
      </w:r>
    </w:p>
    <w:p>
      <w:pPr>
        <w:pStyle w:val="FirstParagraph"/>
        <w:widowControl/>
        <w:spacing w:after="60" w:line="250" w:lineRule="auto"/>
      </w:pPr>
      <w:r>
        <w:rPr>
          <w:rFonts w:ascii="Noto Serif" w:hAnsi="Noto Serif" w:eastAsia="Noto Serif"/>
          <w:sz w:val="19"/>
        </w:rPr>
        <w:t xml:space="preserve">Treasury, Energy, and Interior shall identify tax preferences, royalty relief, loan support, indemnification, below-market access, and public cleanup liabilities benefiting fossil-fuel production. Congress shall receive recommendations to eliminate unjustified subsidies while protecting workers, communities, energy reliability, and legitimate reliance interests.</w:t>
      </w:r>
    </w:p>
    <w:bookmarkEnd w:id="176"/>
    <w:bookmarkStart w:id="177" w:name="X7b51f076c60bb67bd3440b5d7ac21f63a97abcf"/>
    <w:p>
      <w:pPr>
        <w:pStyle w:val="Heading2"/>
        <w:keepNext/>
        <w:spacing w:before="160" w:after="60"/>
      </w:pPr>
      <w:r>
        <w:rPr>
          <w:rFonts w:ascii="Inter" w:hAnsi="Inter" w:eastAsia="Inter"/>
          <w:b/>
          <w:color w:val="1F3F5B"/>
          <w:sz w:val="23"/>
        </w:rPr>
        <w:t xml:space="preserve">SEC. 1107. DATA-CENTER DEFINITIONS AND THRESHOLDS.</w:t>
      </w:r>
    </w:p>
    <w:p>
      <w:pPr>
        <w:pStyle w:val="Compact"/>
        <w:widowControl/>
        <w:numPr>
          <w:ilvl w:val="0"/>
          <w:numId w:val="1078"/>
        </w:numPr>
        <w:spacing w:after="30" w:line="245" w:lineRule="auto"/>
      </w:pPr>
      <w:r>
        <w:rPr>
          <w:rFonts w:ascii="Noto Serif" w:hAnsi="Noto Serif" w:eastAsia="Noto Serif"/>
          <w:sz w:val="18"/>
        </w:rPr>
        <w:t xml:space="preserve">A</w:t>
      </w:r>
      <w:r>
        <w:rPr>
          <w:rFonts w:ascii="Noto Serif" w:hAnsi="Noto Serif" w:eastAsia="Noto Serif"/>
          <w:sz w:val="18"/>
        </w:rPr>
        <w:t xml:space="preserve"> </w:t>
      </w:r>
      <w:r>
        <w:rPr>
          <w:rFonts w:ascii="Noto Serif" w:hAnsi="Noto Serif" w:eastAsia="Noto Serif"/>
          <w:b/>
          <w:bCs/>
          <w:sz w:val="18"/>
        </w:rPr>
        <w:t xml:space="preserve">major data center</w:t>
      </w:r>
      <w:r>
        <w:rPr>
          <w:rFonts w:ascii="Noto Serif" w:hAnsi="Noto Serif" w:eastAsia="Noto Serif"/>
          <w:sz w:val="18"/>
        </w:rPr>
        <w:t xml:space="preserve"> </w:t>
      </w:r>
      <w:r>
        <w:rPr>
          <w:rFonts w:ascii="Noto Serif" w:hAnsi="Noto Serif" w:eastAsia="Noto Serif"/>
          <w:sz w:val="18"/>
        </w:rPr>
        <w:t xml:space="preserve">is a facility or connected campus reasonably expected to:</w:t>
      </w:r>
    </w:p>
    <w:p>
      <w:pPr>
        <w:pStyle w:val="Compact"/>
        <w:widowControl/>
        <w:numPr>
          <w:ilvl w:val="0"/>
          <w:numId w:val="1079"/>
        </w:numPr>
        <w:spacing w:after="30" w:line="245" w:lineRule="auto"/>
      </w:pPr>
      <w:r>
        <w:rPr>
          <w:rFonts w:ascii="Noto Serif" w:hAnsi="Noto Serif" w:eastAsia="Noto Serif"/>
          <w:sz w:val="18"/>
        </w:rPr>
        <w:t xml:space="preserve">demand 50 megawatts or more of peak electricity;</w:t>
      </w:r>
    </w:p>
    <w:p>
      <w:pPr>
        <w:pStyle w:val="Compact"/>
        <w:widowControl/>
        <w:numPr>
          <w:ilvl w:val="0"/>
          <w:numId w:val="1079"/>
        </w:numPr>
        <w:spacing w:after="30" w:line="245" w:lineRule="auto"/>
      </w:pPr>
      <w:r>
        <w:rPr>
          <w:rFonts w:ascii="Noto Serif" w:hAnsi="Noto Serif" w:eastAsia="Noto Serif"/>
          <w:sz w:val="18"/>
        </w:rPr>
        <w:t xml:space="preserve">withdraw or consume 500,000 gallons or more of water on any day;</w:t>
      </w:r>
    </w:p>
    <w:p>
      <w:pPr>
        <w:pStyle w:val="Compact"/>
        <w:widowControl/>
        <w:numPr>
          <w:ilvl w:val="0"/>
          <w:numId w:val="1079"/>
        </w:numPr>
        <w:spacing w:after="30" w:line="245" w:lineRule="auto"/>
      </w:pPr>
      <w:r>
        <w:rPr>
          <w:rFonts w:ascii="Noto Serif" w:hAnsi="Noto Serif" w:eastAsia="Noto Serif"/>
          <w:sz w:val="18"/>
        </w:rPr>
        <w:t xml:space="preserve">operate 20 megawatts or more of combustion backup generation; or</w:t>
      </w:r>
    </w:p>
    <w:p>
      <w:pPr>
        <w:pStyle w:val="Compact"/>
        <w:widowControl/>
        <w:numPr>
          <w:ilvl w:val="0"/>
          <w:numId w:val="1079"/>
        </w:numPr>
        <w:spacing w:after="30" w:line="245" w:lineRule="auto"/>
      </w:pPr>
      <w:r>
        <w:rPr>
          <w:rFonts w:ascii="Noto Serif" w:hAnsi="Noto Serif" w:eastAsia="Noto Serif"/>
          <w:sz w:val="18"/>
        </w:rPr>
        <w:t xml:space="preserve">have a materially equivalent combined impact established by rule.</w:t>
      </w:r>
    </w:p>
    <w:p>
      <w:pPr>
        <w:pStyle w:val="Compact"/>
        <w:widowControl/>
        <w:numPr>
          <w:ilvl w:val="0"/>
          <w:numId w:val="1080"/>
        </w:numPr>
        <w:spacing w:after="30" w:line="245" w:lineRule="auto"/>
      </w:pPr>
      <w:r>
        <w:rPr>
          <w:rFonts w:ascii="Noto Serif" w:hAnsi="Noto Serif" w:eastAsia="Noto Serif"/>
          <w:sz w:val="18"/>
        </w:rPr>
        <w:t xml:space="preserve">Agencies may establish lower thresholds in water-stressed, pollution-burdened, transmission-constrained, wildfire-prone, or residential areas.</w:t>
      </w:r>
    </w:p>
    <w:bookmarkEnd w:id="177"/>
    <w:bookmarkStart w:id="178" w:name="X68faf12a70594d3d89ceb9b79ea98b5bbb15823"/>
    <w:p>
      <w:pPr>
        <w:pStyle w:val="Heading2"/>
        <w:keepNext/>
        <w:spacing w:before="160" w:after="60"/>
      </w:pPr>
      <w:r>
        <w:rPr>
          <w:rFonts w:ascii="Inter" w:hAnsi="Inter" w:eastAsia="Inter"/>
          <w:b/>
          <w:color w:val="1F3F5B"/>
          <w:sz w:val="23"/>
        </w:rPr>
        <w:t xml:space="preserve">SEC. 1108. FEDERAL DATA-CENTER PERMITTING STANDARD.</w:t>
      </w:r>
    </w:p>
    <w:p>
      <w:pPr>
        <w:pStyle w:val="FirstParagraph"/>
        <w:widowControl/>
        <w:spacing w:after="60" w:line="250" w:lineRule="auto"/>
      </w:pPr>
      <w:r>
        <w:rPr>
          <w:rFonts w:ascii="Noto Serif" w:hAnsi="Noto Serif" w:eastAsia="Noto Serif"/>
          <w:sz w:val="19"/>
        </w:rPr>
        <w:t xml:space="preserve">A major data center receiving Federal financial assistance, requiring a Federal permit, located on Federal land, interconnecting through a federally regulated transmission system, or serving as a principal Federal contractor shall prepare a Data Infrastructure Impact Statement addressing:</w:t>
      </w:r>
    </w:p>
    <w:p>
      <w:pPr>
        <w:pStyle w:val="Compact"/>
        <w:widowControl/>
        <w:numPr>
          <w:ilvl w:val="0"/>
          <w:numId w:val="1081"/>
        </w:numPr>
        <w:spacing w:after="30" w:line="245" w:lineRule="auto"/>
      </w:pPr>
      <w:r>
        <w:rPr>
          <w:rFonts w:ascii="Noto Serif" w:hAnsi="Noto Serif" w:eastAsia="Noto Serif"/>
          <w:sz w:val="18"/>
        </w:rPr>
        <w:t xml:space="preserve">electricity demand by hour and season;</w:t>
      </w:r>
    </w:p>
    <w:p>
      <w:pPr>
        <w:pStyle w:val="Compact"/>
        <w:widowControl/>
        <w:numPr>
          <w:ilvl w:val="0"/>
          <w:numId w:val="1081"/>
        </w:numPr>
        <w:spacing w:after="30" w:line="245" w:lineRule="auto"/>
      </w:pPr>
      <w:r>
        <w:rPr>
          <w:rFonts w:ascii="Noto Serif" w:hAnsi="Noto Serif" w:eastAsia="Noto Serif"/>
          <w:sz w:val="18"/>
        </w:rPr>
        <w:t xml:space="preserve">generation sources and marginal emissions;</w:t>
      </w:r>
    </w:p>
    <w:p>
      <w:pPr>
        <w:pStyle w:val="Compact"/>
        <w:widowControl/>
        <w:numPr>
          <w:ilvl w:val="0"/>
          <w:numId w:val="1081"/>
        </w:numPr>
        <w:spacing w:after="30" w:line="245" w:lineRule="auto"/>
      </w:pPr>
      <w:r>
        <w:rPr>
          <w:rFonts w:ascii="Noto Serif" w:hAnsi="Noto Serif" w:eastAsia="Noto Serif"/>
          <w:sz w:val="18"/>
        </w:rPr>
        <w:t xml:space="preserve">transmission and distribution upgrades;</w:t>
      </w:r>
    </w:p>
    <w:p>
      <w:pPr>
        <w:pStyle w:val="Compact"/>
        <w:widowControl/>
        <w:numPr>
          <w:ilvl w:val="0"/>
          <w:numId w:val="1081"/>
        </w:numPr>
        <w:spacing w:after="30" w:line="245" w:lineRule="auto"/>
      </w:pPr>
      <w:r>
        <w:rPr>
          <w:rFonts w:ascii="Noto Serif" w:hAnsi="Noto Serif" w:eastAsia="Noto Serif"/>
          <w:sz w:val="18"/>
        </w:rPr>
        <w:t xml:space="preserve">water source, consumption, discharge, drought risk, and recycling;</w:t>
      </w:r>
    </w:p>
    <w:p>
      <w:pPr>
        <w:pStyle w:val="Compact"/>
        <w:widowControl/>
        <w:numPr>
          <w:ilvl w:val="0"/>
          <w:numId w:val="1081"/>
        </w:numPr>
        <w:spacing w:after="30" w:line="245" w:lineRule="auto"/>
      </w:pPr>
      <w:r>
        <w:rPr>
          <w:rFonts w:ascii="Noto Serif" w:hAnsi="Noto Serif" w:eastAsia="Noto Serif"/>
          <w:sz w:val="18"/>
        </w:rPr>
        <w:t xml:space="preserve">air emissions, noise, light, heat, hazardous materials, and backup generation;</w:t>
      </w:r>
    </w:p>
    <w:p>
      <w:pPr>
        <w:pStyle w:val="Compact"/>
        <w:widowControl/>
        <w:numPr>
          <w:ilvl w:val="0"/>
          <w:numId w:val="1081"/>
        </w:numPr>
        <w:spacing w:after="30" w:line="245" w:lineRule="auto"/>
      </w:pPr>
      <w:r>
        <w:rPr>
          <w:rFonts w:ascii="Noto Serif" w:hAnsi="Noto Serif" w:eastAsia="Noto Serif"/>
          <w:sz w:val="18"/>
        </w:rPr>
        <w:t xml:space="preserve">land, habitat, cultural resources, and cumulative impacts;</w:t>
      </w:r>
    </w:p>
    <w:p>
      <w:pPr>
        <w:pStyle w:val="Compact"/>
        <w:widowControl/>
        <w:numPr>
          <w:ilvl w:val="0"/>
          <w:numId w:val="1081"/>
        </w:numPr>
        <w:spacing w:after="30" w:line="245" w:lineRule="auto"/>
      </w:pPr>
      <w:r>
        <w:rPr>
          <w:rFonts w:ascii="Noto Serif" w:hAnsi="Noto Serif" w:eastAsia="Noto Serif"/>
          <w:sz w:val="18"/>
        </w:rPr>
        <w:t xml:space="preserve">ratepayer and public-subsidy effects;</w:t>
      </w:r>
    </w:p>
    <w:p>
      <w:pPr>
        <w:pStyle w:val="Compact"/>
        <w:widowControl/>
        <w:numPr>
          <w:ilvl w:val="0"/>
          <w:numId w:val="1081"/>
        </w:numPr>
        <w:spacing w:after="30" w:line="245" w:lineRule="auto"/>
      </w:pPr>
      <w:r>
        <w:rPr>
          <w:rFonts w:ascii="Noto Serif" w:hAnsi="Noto Serif" w:eastAsia="Noto Serif"/>
          <w:sz w:val="18"/>
        </w:rPr>
        <w:t xml:space="preserve">construction and permanent employment;</w:t>
      </w:r>
    </w:p>
    <w:p>
      <w:pPr>
        <w:pStyle w:val="Compact"/>
        <w:widowControl/>
        <w:numPr>
          <w:ilvl w:val="0"/>
          <w:numId w:val="1081"/>
        </w:numPr>
        <w:spacing w:after="30" w:line="245" w:lineRule="auto"/>
      </w:pPr>
      <w:r>
        <w:rPr>
          <w:rFonts w:ascii="Noto Serif" w:hAnsi="Noto Serif" w:eastAsia="Noto Serif"/>
          <w:sz w:val="18"/>
        </w:rPr>
        <w:t xml:space="preserve">cybersecurity and physical security;</w:t>
      </w:r>
    </w:p>
    <w:p>
      <w:pPr>
        <w:pStyle w:val="Compact"/>
        <w:widowControl/>
        <w:numPr>
          <w:ilvl w:val="0"/>
          <w:numId w:val="1081"/>
        </w:numPr>
        <w:spacing w:after="30" w:line="245" w:lineRule="auto"/>
      </w:pPr>
      <w:r>
        <w:rPr>
          <w:rFonts w:ascii="Noto Serif" w:hAnsi="Noto Serif" w:eastAsia="Noto Serif"/>
          <w:sz w:val="18"/>
        </w:rPr>
        <w:t xml:space="preserve">decommissioning and financial assurance; and</w:t>
      </w:r>
    </w:p>
    <w:p>
      <w:pPr>
        <w:pStyle w:val="Compact"/>
        <w:widowControl/>
        <w:numPr>
          <w:ilvl w:val="0"/>
          <w:numId w:val="1081"/>
        </w:numPr>
        <w:spacing w:after="30" w:line="245" w:lineRule="auto"/>
      </w:pPr>
      <w:r>
        <w:rPr>
          <w:rFonts w:ascii="Noto Serif" w:hAnsi="Noto Serif" w:eastAsia="Noto Serif"/>
          <w:sz w:val="18"/>
        </w:rPr>
        <w:t xml:space="preserve">reasonable alternatives, including efficiency, siting, clean-energy matching, and phased development.</w:t>
      </w:r>
    </w:p>
    <w:bookmarkEnd w:id="178"/>
    <w:bookmarkStart w:id="179" w:name="X5cbfe5297d7e745c5120a038ec7c238c0c849e6"/>
    <w:p>
      <w:pPr>
        <w:pStyle w:val="Heading2"/>
        <w:keepNext/>
        <w:spacing w:before="160" w:after="60"/>
      </w:pPr>
      <w:r>
        <w:rPr>
          <w:rFonts w:ascii="Inter" w:hAnsi="Inter" w:eastAsia="Inter"/>
          <w:b/>
          <w:color w:val="1F3F5B"/>
          <w:sz w:val="23"/>
        </w:rPr>
        <w:t xml:space="preserve">SEC. 1109. ENERGY AND GRID REQUIREMENTS FOR MAJOR DATA CENTERS.</w:t>
      </w:r>
    </w:p>
    <w:p>
      <w:pPr>
        <w:widowControl/>
        <w:numPr>
          <w:ilvl w:val="0"/>
          <w:numId w:val="1082"/>
        </w:numPr>
        <w:spacing w:after="30" w:line="245" w:lineRule="auto"/>
      </w:pPr>
      <w:r>
        <w:rPr>
          <w:rFonts w:ascii="Noto Serif" w:hAnsi="Noto Serif" w:eastAsia="Noto Serif"/>
          <w:sz w:val="18"/>
        </w:rPr>
        <w:t xml:space="preserve">A major data center shall pay the full reasonably attributable cost of dedicated interconnection, distribution, and transmission upgrades, subject to FERC and State allocation rules.</w:t>
      </w:r>
    </w:p>
    <w:p>
      <w:pPr>
        <w:widowControl/>
        <w:numPr>
          <w:ilvl w:val="0"/>
          <w:numId w:val="1082"/>
        </w:numPr>
        <w:spacing w:after="30" w:line="245" w:lineRule="auto"/>
      </w:pPr>
      <w:r>
        <w:rPr>
          <w:rFonts w:ascii="Noto Serif" w:hAnsi="Noto Serif" w:eastAsia="Noto Serif"/>
          <w:sz w:val="18"/>
        </w:rPr>
        <w:t xml:space="preserve">Existing residential and small-business ratepayers shall not bear material net costs unless an independent regulator finds quantifiable system-wide benefits exceeding those costs.</w:t>
      </w:r>
    </w:p>
    <w:p>
      <w:pPr>
        <w:widowControl/>
        <w:numPr>
          <w:ilvl w:val="0"/>
          <w:numId w:val="1082"/>
        </w:numPr>
        <w:spacing w:after="30" w:line="245" w:lineRule="auto"/>
      </w:pPr>
      <w:r>
        <w:rPr>
          <w:rFonts w:ascii="Noto Serif" w:hAnsi="Noto Serif" w:eastAsia="Noto Serif"/>
          <w:sz w:val="18"/>
        </w:rPr>
        <w:t xml:space="preserve">Facilities shall disclose annual and peak electricity demand and shall implement technically and economically feasible computing efficiency, heat management, demand response, and load flexibility.</w:t>
      </w:r>
    </w:p>
    <w:p>
      <w:pPr>
        <w:widowControl/>
        <w:numPr>
          <w:ilvl w:val="0"/>
          <w:numId w:val="1082"/>
        </w:numPr>
        <w:spacing w:after="30" w:line="245" w:lineRule="auto"/>
      </w:pPr>
      <w:r>
        <w:rPr>
          <w:rFonts w:ascii="Noto Serif" w:hAnsi="Noto Serif" w:eastAsia="Noto Serif"/>
          <w:sz w:val="18"/>
        </w:rPr>
        <w:t xml:space="preserve">Beginning five years after enactment, a covered facility shall match 100 percent of annual electricity consumption with additional carbon-free electricity and shall progress toward hourly matching by 2040, subject to reliability waivers and technology-neutral compliance rules.</w:t>
      </w:r>
    </w:p>
    <w:p>
      <w:pPr>
        <w:widowControl/>
        <w:numPr>
          <w:ilvl w:val="0"/>
          <w:numId w:val="1082"/>
        </w:numPr>
        <w:spacing w:after="30" w:line="245" w:lineRule="auto"/>
      </w:pPr>
      <w:r>
        <w:rPr>
          <w:rFonts w:ascii="Noto Serif" w:hAnsi="Noto Serif" w:eastAsia="Noto Serif"/>
          <w:sz w:val="18"/>
        </w:rPr>
        <w:t xml:space="preserve">Renewable-energy certificates from existing facilities do not satisfy additionality unless paired with a long-term contract demonstrably supporting continued operation at risk of retirement.</w:t>
      </w:r>
    </w:p>
    <w:bookmarkEnd w:id="179"/>
    <w:bookmarkStart w:id="180" w:name="sec.-1110.-water-protection."/>
    <w:p>
      <w:pPr>
        <w:pStyle w:val="Heading2"/>
        <w:keepNext/>
        <w:spacing w:before="160" w:after="60"/>
      </w:pPr>
      <w:r>
        <w:rPr>
          <w:rFonts w:ascii="Inter" w:hAnsi="Inter" w:eastAsia="Inter"/>
          <w:b/>
          <w:color w:val="1F3F5B"/>
          <w:sz w:val="23"/>
        </w:rPr>
        <w:t xml:space="preserve">SEC. 1110. WATER PROTECTION.</w:t>
      </w:r>
    </w:p>
    <w:p>
      <w:pPr>
        <w:widowControl/>
        <w:numPr>
          <w:ilvl w:val="0"/>
          <w:numId w:val="1083"/>
        </w:numPr>
        <w:spacing w:after="30" w:line="245" w:lineRule="auto"/>
      </w:pPr>
      <w:r>
        <w:rPr>
          <w:rFonts w:ascii="Noto Serif" w:hAnsi="Noto Serif" w:eastAsia="Noto Serif"/>
          <w:sz w:val="18"/>
        </w:rPr>
        <w:t xml:space="preserve">A major data center shall use nonpotable, reclaimed, closed-loop, or air-cooled systems where technically and economically feasible and shall publish monthly withdrawal and consumption data.</w:t>
      </w:r>
    </w:p>
    <w:p>
      <w:pPr>
        <w:widowControl/>
        <w:numPr>
          <w:ilvl w:val="0"/>
          <w:numId w:val="1083"/>
        </w:numPr>
        <w:spacing w:after="30" w:line="245" w:lineRule="auto"/>
      </w:pPr>
      <w:r>
        <w:rPr>
          <w:rFonts w:ascii="Noto Serif" w:hAnsi="Noto Serif" w:eastAsia="Noto Serif"/>
          <w:sz w:val="18"/>
        </w:rPr>
        <w:t xml:space="preserve">Potable water use in a water-stressed basin requires a finding that the project will not impair essential household, agricultural, ecological, or Tribal needs and must include replenishment, conservation, leakage reduction, or alternative-supply investments.</w:t>
      </w:r>
    </w:p>
    <w:p>
      <w:pPr>
        <w:widowControl/>
        <w:numPr>
          <w:ilvl w:val="0"/>
          <w:numId w:val="1083"/>
        </w:numPr>
        <w:spacing w:after="30" w:line="245" w:lineRule="auto"/>
      </w:pPr>
      <w:r>
        <w:rPr>
          <w:rFonts w:ascii="Noto Serif" w:hAnsi="Noto Serif" w:eastAsia="Noto Serif"/>
          <w:sz w:val="18"/>
        </w:rPr>
        <w:t xml:space="preserve">Water agreements with public utilities shall be public, except narrowly protected security and proprietary information.</w:t>
      </w:r>
    </w:p>
    <w:bookmarkEnd w:id="180"/>
    <w:bookmarkStart w:id="181" w:name="Xe7a6a073007d27a285e6b8e4c9d3f0e8284230c"/>
    <w:p>
      <w:pPr>
        <w:pStyle w:val="Heading2"/>
        <w:keepNext/>
        <w:spacing w:before="160" w:after="60"/>
      </w:pPr>
      <w:r>
        <w:rPr>
          <w:rFonts w:ascii="Inter" w:hAnsi="Inter" w:eastAsia="Inter"/>
          <w:b/>
          <w:color w:val="1F3F5B"/>
          <w:sz w:val="23"/>
        </w:rPr>
        <w:t xml:space="preserve">SEC. 1111. BACKUP GENERATION AND AIR QUALITY.</w:t>
      </w:r>
    </w:p>
    <w:p>
      <w:pPr>
        <w:pStyle w:val="FirstParagraph"/>
        <w:widowControl/>
        <w:spacing w:after="60" w:line="250" w:lineRule="auto"/>
      </w:pPr>
      <w:r>
        <w:rPr>
          <w:rFonts w:ascii="Noto Serif" w:hAnsi="Noto Serif" w:eastAsia="Noto Serif"/>
          <w:sz w:val="19"/>
        </w:rPr>
        <w:t xml:space="preserve">Combustion backup generators shall use best available emissions controls, low-emission fuels where feasible, strict testing limits, real-time operating logs, and emergency-only operation except during authorized grid services that do not worsen local air quality. Battery, fuel-cell, thermal, or other cleaner backup systems shall be evaluated.</w:t>
      </w:r>
    </w:p>
    <w:bookmarkEnd w:id="181"/>
    <w:bookmarkStart w:id="182" w:name="sec.-1112.-community-benefit-agreements."/>
    <w:p>
      <w:pPr>
        <w:pStyle w:val="Heading2"/>
        <w:keepNext/>
        <w:spacing w:before="160" w:after="60"/>
      </w:pPr>
      <w:r>
        <w:rPr>
          <w:rFonts w:ascii="Inter" w:hAnsi="Inter" w:eastAsia="Inter"/>
          <w:b/>
          <w:color w:val="1F3F5B"/>
          <w:sz w:val="23"/>
        </w:rPr>
        <w:t xml:space="preserve">SEC. 1112. COMMUNITY BENEFIT AGREEMENTS.</w:t>
      </w:r>
    </w:p>
    <w:p>
      <w:pPr>
        <w:pStyle w:val="FirstParagraph"/>
        <w:widowControl/>
        <w:spacing w:after="60" w:line="250" w:lineRule="auto"/>
      </w:pPr>
      <w:r>
        <w:rPr>
          <w:rFonts w:ascii="Noto Serif" w:hAnsi="Noto Serif" w:eastAsia="Noto Serif"/>
          <w:sz w:val="19"/>
        </w:rPr>
        <w:t xml:space="preserve">A major data center receiving more than $25,000,000 in combined public subsidies shall negotiate a community benefit agreement with affected local governments and recognized community and labor representatives. Agreements shall address local hiring, apprenticeships, infrastructure, water, emergency services, noise, housing pressure, environmental mitigation, and enforceable reporting.</w:t>
      </w:r>
    </w:p>
    <w:bookmarkEnd w:id="182"/>
    <w:bookmarkStart w:id="183" w:name="Xbd873b9c9a58b9d55d81fc884dfcc40bb9306bf"/>
    <w:p>
      <w:pPr>
        <w:pStyle w:val="Heading2"/>
        <w:keepNext/>
        <w:spacing w:before="160" w:after="60"/>
      </w:pPr>
      <w:r>
        <w:rPr>
          <w:rFonts w:ascii="Inter" w:hAnsi="Inter" w:eastAsia="Inter"/>
          <w:b/>
          <w:color w:val="1F3F5B"/>
          <w:sz w:val="23"/>
        </w:rPr>
        <w:t xml:space="preserve">SEC. 1113. DATA-CENTER TAX AND SUBSIDY TRANSPARENCY.</w:t>
      </w:r>
    </w:p>
    <w:p>
      <w:pPr>
        <w:pStyle w:val="FirstParagraph"/>
        <w:widowControl/>
        <w:spacing w:after="60" w:line="250" w:lineRule="auto"/>
      </w:pPr>
      <w:r>
        <w:rPr>
          <w:rFonts w:ascii="Noto Serif" w:hAnsi="Noto Serif" w:eastAsia="Noto Serif"/>
          <w:sz w:val="19"/>
        </w:rPr>
        <w:t xml:space="preserve">States and localities receiving Federal infrastructure funds shall disclose data-center tax abatements, discounted utility rates, land transfers, infrastructure contributions, employment promises, and compliance results. Federal funds may not subsidize undisclosed special rates that shift cost to households.</w:t>
      </w:r>
    </w:p>
    <w:bookmarkEnd w:id="183"/>
    <w:bookmarkStart w:id="184" w:name="Xd2423cdb33c0462fb195d3ccb3f46eec3dc5817"/>
    <w:p>
      <w:pPr>
        <w:pStyle w:val="Heading2"/>
        <w:keepNext/>
        <w:spacing w:before="160" w:after="60"/>
      </w:pPr>
      <w:r>
        <w:rPr>
          <w:rFonts w:ascii="Inter" w:hAnsi="Inter" w:eastAsia="Inter"/>
          <w:b/>
          <w:color w:val="1F3F5B"/>
          <w:sz w:val="23"/>
        </w:rPr>
        <w:t xml:space="preserve">SEC. 1114. FEDERAL AI INFRASTRUCTURE SITES.</w:t>
      </w:r>
    </w:p>
    <w:p>
      <w:pPr>
        <w:pStyle w:val="FirstParagraph"/>
        <w:widowControl/>
        <w:spacing w:after="60" w:line="250" w:lineRule="auto"/>
      </w:pPr>
      <w:r>
        <w:rPr>
          <w:rFonts w:ascii="Noto Serif" w:hAnsi="Noto Serif" w:eastAsia="Noto Serif"/>
          <w:sz w:val="19"/>
        </w:rPr>
        <w:t xml:space="preserve">The use of Federal lands or facilities for AI or data infrastructure requires competitive allocation, fair market value, security review, energy and water analysis, domestic-law compliance, and no categorical waiver of NEPA, Clean Air Act, Clean Water Act, Endangered Species Act, National Historic Preservation Act, or Tribal-consultation duties.</w:t>
      </w:r>
    </w:p>
    <w:bookmarkEnd w:id="184"/>
    <w:bookmarkStart w:id="185" w:name="sec.-1115.-state-and-local-authority."/>
    <w:p>
      <w:pPr>
        <w:pStyle w:val="Heading2"/>
        <w:keepNext/>
        <w:spacing w:before="160" w:after="60"/>
      </w:pPr>
      <w:r>
        <w:rPr>
          <w:rFonts w:ascii="Inter" w:hAnsi="Inter" w:eastAsia="Inter"/>
          <w:b/>
          <w:color w:val="1F3F5B"/>
          <w:sz w:val="23"/>
        </w:rPr>
        <w:t xml:space="preserve">SEC. 1115. STATE AND LOCAL AUTHORITY.</w:t>
      </w:r>
    </w:p>
    <w:p>
      <w:pPr>
        <w:pStyle w:val="FirstParagraph"/>
        <w:widowControl/>
        <w:spacing w:after="60" w:line="250" w:lineRule="auto"/>
      </w:pPr>
      <w:r>
        <w:rPr>
          <w:rFonts w:ascii="Noto Serif" w:hAnsi="Noto Serif" w:eastAsia="Noto Serif"/>
          <w:sz w:val="19"/>
        </w:rPr>
        <w:t xml:space="preserve">Nothing in this title prevents a State, Tribe, or locality from adopting stronger zoning, environmental, water, labor, utility, cybersecurity, consumer, or AI requirements. Federal financial assistance may establish minimum standards but may not be used to coerce repeal of a generally applicable State AI law unless Congress expressly preempts that law.</w:t>
      </w:r>
    </w:p>
    <w:bookmarkEnd w:id="185"/>
    <w:bookmarkStart w:id="186" w:name="sec.-1116.-energy-data-and-forecasting."/>
    <w:p>
      <w:pPr>
        <w:pStyle w:val="Heading2"/>
        <w:keepNext/>
        <w:spacing w:before="160" w:after="60"/>
      </w:pPr>
      <w:r>
        <w:rPr>
          <w:rFonts w:ascii="Inter" w:hAnsi="Inter" w:eastAsia="Inter"/>
          <w:b/>
          <w:color w:val="1F3F5B"/>
          <w:sz w:val="23"/>
        </w:rPr>
        <w:t xml:space="preserve">SEC. 1116. ENERGY DATA AND FORECASTING.</w:t>
      </w:r>
    </w:p>
    <w:p>
      <w:pPr>
        <w:pStyle w:val="FirstParagraph"/>
        <w:widowControl/>
        <w:spacing w:after="60" w:line="250" w:lineRule="auto"/>
      </w:pPr>
      <w:r>
        <w:rPr>
          <w:rFonts w:ascii="Noto Serif" w:hAnsi="Noto Serif" w:eastAsia="Noto Serif"/>
          <w:sz w:val="19"/>
        </w:rPr>
        <w:t xml:space="preserve">The Energy Information Administration shall publish facility-level and regional data-center demand ranges, forecasts, water use, emissions, generation contracts, grid upgrades, and ratepayer effects, protecting security and trade secrets through aggregation where necessary.</w:t>
      </w:r>
    </w:p>
    <w:bookmarkEnd w:id="186"/>
    <w:bookmarkStart w:id="187" w:name="sec.-1117.-responsible-compute-research."/>
    <w:p>
      <w:pPr>
        <w:pStyle w:val="Heading2"/>
        <w:keepNext/>
        <w:spacing w:before="160" w:after="60"/>
      </w:pPr>
      <w:r>
        <w:rPr>
          <w:rFonts w:ascii="Inter" w:hAnsi="Inter" w:eastAsia="Inter"/>
          <w:b/>
          <w:color w:val="1F3F5B"/>
          <w:sz w:val="23"/>
        </w:rPr>
        <w:t xml:space="preserve">SEC. 1117. RESPONSIBLE COMPUTE RESEARCH.</w:t>
      </w:r>
    </w:p>
    <w:p>
      <w:pPr>
        <w:pStyle w:val="FirstParagraph"/>
        <w:widowControl/>
        <w:spacing w:after="60" w:line="250" w:lineRule="auto"/>
      </w:pPr>
      <w:r>
        <w:rPr>
          <w:rFonts w:ascii="Noto Serif" w:hAnsi="Noto Serif" w:eastAsia="Noto Serif"/>
          <w:sz w:val="19"/>
        </w:rPr>
        <w:t xml:space="preserve">DOE, NIST, NSF, and EPA shall fund research on energy-efficient chips and models, low-water cooling, workload scheduling, waste-heat use, clean backup power, hardware reuse, lifecycle impacts, and transparent measurement of computational efficiency.</w:t>
      </w:r>
    </w:p>
    <w:bookmarkEnd w:id="187"/>
    <w:bookmarkStart w:id="188" w:name="sec.-1118.-enforcement."/>
    <w:p>
      <w:pPr>
        <w:pStyle w:val="Heading2"/>
        <w:keepNext/>
        <w:spacing w:before="160" w:after="60"/>
      </w:pPr>
      <w:r>
        <w:rPr>
          <w:rFonts w:ascii="Inter" w:hAnsi="Inter" w:eastAsia="Inter"/>
          <w:b/>
          <w:color w:val="1F3F5B"/>
          <w:sz w:val="23"/>
        </w:rPr>
        <w:t xml:space="preserve">SEC. 1118. ENFORCEMENT.</w:t>
      </w:r>
    </w:p>
    <w:p>
      <w:pPr>
        <w:pStyle w:val="FirstParagraph"/>
        <w:widowControl/>
        <w:spacing w:after="60" w:line="250" w:lineRule="auto"/>
      </w:pPr>
      <w:r>
        <w:rPr>
          <w:rFonts w:ascii="Noto Serif" w:hAnsi="Noto Serif" w:eastAsia="Noto Serif"/>
          <w:sz w:val="19"/>
        </w:rPr>
        <w:t xml:space="preserve">EPA, DOE, FERC, State public-utility commissions, State attorneys general, and permitting agencies may enforce applicable provisions. Civil penalties shall be proportionate to avoided cost, harm, duration, and culpability. Facilities receive notice and an opportunity to cure nonmaterial first violations.</w:t>
      </w:r>
    </w:p>
    <w:bookmarkEnd w:id="188"/>
    <w:bookmarkStart w:id="189" w:name="Xc2f48d6cfb5ecb54e091fa5cdaec6dad9c018ad"/>
    <w:p>
      <w:pPr>
        <w:pStyle w:val="Heading2"/>
        <w:keepNext/>
        <w:spacing w:before="160" w:after="60"/>
      </w:pPr>
      <w:r>
        <w:rPr>
          <w:rFonts w:ascii="Inter" w:hAnsi="Inter" w:eastAsia="Inter"/>
          <w:b/>
          <w:color w:val="1F3F5B"/>
          <w:sz w:val="23"/>
        </w:rPr>
        <w:t xml:space="preserve">SEC. 1119. AUTHORIZATION OF APPROPRIATIONS.</w:t>
      </w:r>
    </w:p>
    <w:p>
      <w:pPr>
        <w:pStyle w:val="FirstParagraph"/>
        <w:widowControl/>
        <w:spacing w:after="60" w:line="250" w:lineRule="auto"/>
      </w:pPr>
      <w:r>
        <w:rPr>
          <w:rFonts w:ascii="Noto Serif" w:hAnsi="Noto Serif" w:eastAsia="Noto Serif"/>
          <w:sz w:val="19"/>
        </w:rPr>
        <w:t xml:space="preserve">There are authorized to be appropriated $20,000,000,000 annually for fiscal years 2027 through 2036 for grid modernization, transmission, storage, resilience, public power, rural and Tribal energy, and consumer protection, in addition to existing authority.</w:t>
      </w:r>
    </w:p>
    <w:bookmarkEnd w:id="189"/>
    <w:bookmarkStart w:id="190" w:name="sec.-1120.-periodic-threshold-review."/>
    <w:p>
      <w:pPr>
        <w:pStyle w:val="Heading2"/>
        <w:keepNext/>
        <w:spacing w:before="160" w:after="60"/>
      </w:pPr>
      <w:r>
        <w:rPr>
          <w:rFonts w:ascii="Inter" w:hAnsi="Inter" w:eastAsia="Inter"/>
          <w:b/>
          <w:color w:val="1F3F5B"/>
          <w:sz w:val="23"/>
        </w:rPr>
        <w:t xml:space="preserve">SEC. 1120. PERIODIC THRESHOLD REVIEW.</w:t>
      </w:r>
    </w:p>
    <w:p>
      <w:pPr>
        <w:pStyle w:val="FirstParagraph"/>
        <w:widowControl/>
        <w:spacing w:after="60" w:line="250" w:lineRule="auto"/>
      </w:pPr>
      <w:r>
        <w:rPr>
          <w:rFonts w:ascii="Noto Serif" w:hAnsi="Noto Serif" w:eastAsia="Noto Serif"/>
          <w:sz w:val="19"/>
        </w:rPr>
        <w:t xml:space="preserve">Every three years, DOE and EPA shall review data-center thresholds and standards based on technology, resource conditions, grid effects, and administrative burden. A revision may strengthen but not materially weaken protections without a public finding supported by substantial evidence.</w:t>
      </w:r>
    </w:p>
    <w:bookmarkEnd w:id="190"/>
    <w:bookmarkEnd w:id="191"/>
    <w:bookmarkStart w:id="206" w:name="Xdabdcc9db1294688d89d5141a7b3e196d38eacc"/>
    <w:p>
      <w:pPr>
        <w:pStyle w:val="Heading1"/>
        <w:keepNext/>
        <w:pageBreakBefore/>
        <w:spacing w:before="0" w:after="180"/>
        <w:pBdr>
          <w:bottom w:val="single" w:sz="8" w:space="4" w:color="9EB0BF"/>
        </w:pBdr>
      </w:pPr>
      <w:r>
        <w:rPr>
          <w:rFonts w:ascii="Inter" w:hAnsi="Inter" w:eastAsia="Inter"/>
          <w:b/>
          <w:color w:val="142D48"/>
          <w:sz w:val="34"/>
        </w:rPr>
        <w:t xml:space="preserve">TITLE XII - DIGITAL PRIVACY, DATA BROKERS, AND GOVERNMENT SURVEILLANCE</w:t>
      </w:r>
    </w:p>
    <w:bookmarkStart w:id="192" w:name="sec.-1201.-federal-privacy-floor."/>
    <w:p>
      <w:pPr>
        <w:pStyle w:val="Heading2"/>
        <w:keepNext/>
        <w:spacing w:before="160" w:after="60"/>
      </w:pPr>
      <w:r>
        <w:rPr>
          <w:rFonts w:ascii="Inter" w:hAnsi="Inter" w:eastAsia="Inter"/>
          <w:b/>
          <w:color w:val="1F3F5B"/>
          <w:sz w:val="23"/>
        </w:rPr>
        <w:t xml:space="preserve">SEC. 1201. FEDERAL PRIVACY FLOOR.</w:t>
      </w:r>
    </w:p>
    <w:p>
      <w:pPr>
        <w:pStyle w:val="FirstParagraph"/>
        <w:widowControl/>
        <w:spacing w:after="60" w:line="250" w:lineRule="auto"/>
      </w:pPr>
      <w:r>
        <w:rPr>
          <w:rFonts w:ascii="Noto Serif" w:hAnsi="Noto Serif" w:eastAsia="Noto Serif"/>
          <w:sz w:val="19"/>
        </w:rPr>
        <w:t xml:space="preserve">A covered entity collecting personal data in interstate commerce shall provide clear notice, collect only data reasonably necessary for a disclosed purpose, maintain reasonable security, honor access, correction, deletion, and portability rights, and avoid materially deceptive secondary use. This title does not preempt stronger State privacy law.</w:t>
      </w:r>
    </w:p>
    <w:bookmarkEnd w:id="192"/>
    <w:bookmarkStart w:id="193" w:name="Xabfd50eef460cd1cc369f3952c73944148ec732"/>
    <w:p>
      <w:pPr>
        <w:pStyle w:val="Heading2"/>
        <w:keepNext/>
        <w:spacing w:before="160" w:after="60"/>
      </w:pPr>
      <w:r>
        <w:rPr>
          <w:rFonts w:ascii="Inter" w:hAnsi="Inter" w:eastAsia="Inter"/>
          <w:b/>
          <w:color w:val="1F3F5B"/>
          <w:sz w:val="23"/>
        </w:rPr>
        <w:t xml:space="preserve">SEC. 1202. SENSITIVE DATA SALE AND TRANSFER.</w:t>
      </w:r>
    </w:p>
    <w:p>
      <w:pPr>
        <w:widowControl/>
        <w:numPr>
          <w:ilvl w:val="0"/>
          <w:numId w:val="1084"/>
        </w:numPr>
        <w:spacing w:after="30" w:line="245" w:lineRule="auto"/>
      </w:pPr>
      <w:r>
        <w:rPr>
          <w:rFonts w:ascii="Noto Serif" w:hAnsi="Noto Serif" w:eastAsia="Noto Serif"/>
          <w:sz w:val="18"/>
        </w:rPr>
        <w:t xml:space="preserve">A covered entity may not sell or transfer sensitive personal data without affirmative, specific consent, except for a transaction requested by the individual, fraud prevention, security, legal compliance, or another narrow purpose established by rule.</w:t>
      </w:r>
    </w:p>
    <w:p>
      <w:pPr>
        <w:widowControl/>
        <w:numPr>
          <w:ilvl w:val="0"/>
          <w:numId w:val="1084"/>
        </w:numPr>
        <w:spacing w:after="30" w:line="245" w:lineRule="auto"/>
      </w:pPr>
      <w:r>
        <w:rPr>
          <w:rFonts w:ascii="Noto Serif" w:hAnsi="Noto Serif" w:eastAsia="Noto Serif"/>
          <w:sz w:val="18"/>
        </w:rPr>
        <w:t xml:space="preserve">Consent obtained through dark patterns, bundled unrelated terms, coercive service denial, or inability to understand the request is invalid.</w:t>
      </w:r>
    </w:p>
    <w:p>
      <w:pPr>
        <w:widowControl/>
        <w:numPr>
          <w:ilvl w:val="0"/>
          <w:numId w:val="1084"/>
        </w:numPr>
        <w:spacing w:after="30" w:line="245" w:lineRule="auto"/>
      </w:pPr>
      <w:r>
        <w:rPr>
          <w:rFonts w:ascii="Noto Serif" w:hAnsi="Noto Serif" w:eastAsia="Noto Serif"/>
          <w:sz w:val="18"/>
        </w:rPr>
        <w:t xml:space="preserve">The sale or transfer of precise geolocation, communications content, biometric templates, reproductive data, or immigration-status data for surveillance, discrimination, or law-enforcement circumvention is prohibited.</w:t>
      </w:r>
    </w:p>
    <w:bookmarkEnd w:id="193"/>
    <w:bookmarkStart w:id="194" w:name="sec.-1203.-government-purchase-of-data."/>
    <w:p>
      <w:pPr>
        <w:pStyle w:val="Heading2"/>
        <w:keepNext/>
        <w:spacing w:before="160" w:after="60"/>
      </w:pPr>
      <w:r>
        <w:rPr>
          <w:rFonts w:ascii="Inter" w:hAnsi="Inter" w:eastAsia="Inter"/>
          <w:b/>
          <w:color w:val="1F3F5B"/>
          <w:sz w:val="23"/>
        </w:rPr>
        <w:t xml:space="preserve">SEC. 1203. GOVERNMENT PURCHASE OF DATA.</w:t>
      </w:r>
    </w:p>
    <w:p>
      <w:pPr>
        <w:widowControl/>
        <w:numPr>
          <w:ilvl w:val="0"/>
          <w:numId w:val="1085"/>
        </w:numPr>
        <w:spacing w:after="30" w:line="245" w:lineRule="auto"/>
      </w:pPr>
      <w:r>
        <w:rPr>
          <w:rFonts w:ascii="Noto Serif" w:hAnsi="Noto Serif" w:eastAsia="Noto Serif"/>
          <w:sz w:val="18"/>
        </w:rPr>
        <w:t xml:space="preserve">A Federal agency may not purchase, license, request from a broker, or otherwise obtain sensitive personal data that would require a warrant, court order, subpoena, or other compulsory process if obtained directly from the person or service provider, unless the agency obtains that process.</w:t>
      </w:r>
    </w:p>
    <w:p>
      <w:pPr>
        <w:widowControl/>
        <w:numPr>
          <w:ilvl w:val="0"/>
          <w:numId w:val="1085"/>
        </w:numPr>
        <w:spacing w:after="30" w:line="245" w:lineRule="auto"/>
      </w:pPr>
      <w:r>
        <w:rPr>
          <w:rFonts w:ascii="Noto Serif" w:hAnsi="Noto Serif" w:eastAsia="Noto Serif"/>
          <w:sz w:val="18"/>
        </w:rPr>
        <w:t xml:space="preserve">Emergency access is permitted where necessary to prevent imminent death or serious bodily harm, with judicial review within 72 hours.</w:t>
      </w:r>
    </w:p>
    <w:p>
      <w:pPr>
        <w:widowControl/>
        <w:numPr>
          <w:ilvl w:val="0"/>
          <w:numId w:val="1085"/>
        </w:numPr>
        <w:spacing w:after="30" w:line="245" w:lineRule="auto"/>
      </w:pPr>
      <w:r>
        <w:rPr>
          <w:rFonts w:ascii="Noto Serif" w:hAnsi="Noto Serif" w:eastAsia="Noto Serif"/>
          <w:sz w:val="18"/>
        </w:rPr>
        <w:t xml:space="preserve">Publicly available information does not include data made technically accessible through breach, scraping contrary to access controls, deceptive collection, or a commercial dataset assembled for individualized tracking.</w:t>
      </w:r>
    </w:p>
    <w:bookmarkEnd w:id="194"/>
    <w:bookmarkStart w:id="195" w:name="sec.-1204.-data-broker-registry."/>
    <w:p>
      <w:pPr>
        <w:pStyle w:val="Heading2"/>
        <w:keepNext/>
        <w:spacing w:before="160" w:after="60"/>
      </w:pPr>
      <w:r>
        <w:rPr>
          <w:rFonts w:ascii="Inter" w:hAnsi="Inter" w:eastAsia="Inter"/>
          <w:b/>
          <w:color w:val="1F3F5B"/>
          <w:sz w:val="23"/>
        </w:rPr>
        <w:t xml:space="preserve">SEC. 1204. DATA-BROKER REGISTRY.</w:t>
      </w:r>
    </w:p>
    <w:p>
      <w:pPr>
        <w:pStyle w:val="FirstParagraph"/>
        <w:widowControl/>
        <w:spacing w:after="60" w:line="250" w:lineRule="auto"/>
      </w:pPr>
      <w:r>
        <w:rPr>
          <w:rFonts w:ascii="Noto Serif" w:hAnsi="Noto Serif" w:eastAsia="Noto Serif"/>
          <w:sz w:val="19"/>
        </w:rPr>
        <w:t xml:space="preserve">The Federal Trade Commission shall maintain a public registry of data brokers, require disclosure of data categories and sources, provide a universal deletion and opt-out mechanism, and conduct annual audits of high-risk brokers. Brokers shall verify purchasers and prohibit use for stalking, discrimination, immigration raids without legal process, voter intimidation, or targeting health-care patients.</w:t>
      </w:r>
    </w:p>
    <w:bookmarkEnd w:id="195"/>
    <w:bookmarkStart w:id="196" w:name="sec.-1205.-federal-data-firewall."/>
    <w:p>
      <w:pPr>
        <w:pStyle w:val="Heading2"/>
        <w:keepNext/>
        <w:spacing w:before="160" w:after="60"/>
      </w:pPr>
      <w:r>
        <w:rPr>
          <w:rFonts w:ascii="Inter" w:hAnsi="Inter" w:eastAsia="Inter"/>
          <w:b/>
          <w:color w:val="1F3F5B"/>
          <w:sz w:val="23"/>
        </w:rPr>
        <w:t xml:space="preserve">SEC. 1205. FEDERAL DATA FIREWALL.</w:t>
      </w:r>
    </w:p>
    <w:p>
      <w:pPr>
        <w:widowControl/>
        <w:numPr>
          <w:ilvl w:val="0"/>
          <w:numId w:val="1086"/>
        </w:numPr>
        <w:spacing w:after="30" w:line="245" w:lineRule="auto"/>
      </w:pPr>
      <w:r>
        <w:rPr>
          <w:rFonts w:ascii="Noto Serif" w:hAnsi="Noto Serif" w:eastAsia="Noto Serif"/>
          <w:sz w:val="18"/>
        </w:rPr>
        <w:t xml:space="preserve">Each agency shall inventory sensitive datasets, users, contractors, interfaces, bulk exports, cross-agency links, and algorithmic uses.</w:t>
      </w:r>
    </w:p>
    <w:p>
      <w:pPr>
        <w:widowControl/>
        <w:numPr>
          <w:ilvl w:val="0"/>
          <w:numId w:val="1086"/>
        </w:numPr>
        <w:spacing w:after="30" w:line="245" w:lineRule="auto"/>
      </w:pPr>
      <w:r>
        <w:rPr>
          <w:rFonts w:ascii="Noto Serif" w:hAnsi="Noto Serif" w:eastAsia="Noto Serif"/>
          <w:sz w:val="18"/>
        </w:rPr>
        <w:t xml:space="preserve">Access shall be role-based, purpose-limited, time-limited, logged, and periodically recertified.</w:t>
      </w:r>
    </w:p>
    <w:p>
      <w:pPr>
        <w:widowControl/>
        <w:numPr>
          <w:ilvl w:val="0"/>
          <w:numId w:val="1086"/>
        </w:numPr>
        <w:spacing w:after="30" w:line="245" w:lineRule="auto"/>
      </w:pPr>
      <w:r>
        <w:rPr>
          <w:rFonts w:ascii="Noto Serif" w:hAnsi="Noto Serif" w:eastAsia="Noto Serif"/>
          <w:sz w:val="18"/>
        </w:rPr>
        <w:t xml:space="preserve">Bulk access by special government employees, detailees, political appointees, contractors, or efficiency teams requires the written order and safeguards specified in section 507.</w:t>
      </w:r>
    </w:p>
    <w:p>
      <w:pPr>
        <w:widowControl/>
        <w:numPr>
          <w:ilvl w:val="0"/>
          <w:numId w:val="1086"/>
        </w:numPr>
        <w:spacing w:after="30" w:line="245" w:lineRule="auto"/>
      </w:pPr>
      <w:r>
        <w:rPr>
          <w:rFonts w:ascii="Noto Serif" w:hAnsi="Noto Serif" w:eastAsia="Noto Serif"/>
          <w:sz w:val="18"/>
        </w:rPr>
        <w:t xml:space="preserve">Agencies shall use privacy-enhancing technologies and de-identification where feasible.</w:t>
      </w:r>
    </w:p>
    <w:bookmarkEnd w:id="196"/>
    <w:bookmarkStart w:id="197" w:name="X943a2bf0040a69ec37c9e2f6ad32673b3c21bc9"/>
    <w:p>
      <w:pPr>
        <w:pStyle w:val="Heading2"/>
        <w:keepNext/>
        <w:spacing w:before="160" w:after="60"/>
      </w:pPr>
      <w:r>
        <w:rPr>
          <w:rFonts w:ascii="Inter" w:hAnsi="Inter" w:eastAsia="Inter"/>
          <w:b/>
          <w:color w:val="1F3F5B"/>
          <w:sz w:val="23"/>
        </w:rPr>
        <w:t xml:space="preserve">SEC. 1206. DATA OBTAINED THROUGH COVERED ROLLBACK ACTIONS.</w:t>
      </w:r>
    </w:p>
    <w:p>
      <w:pPr>
        <w:pStyle w:val="FirstParagraph"/>
        <w:widowControl/>
        <w:spacing w:after="60" w:line="250" w:lineRule="auto"/>
      </w:pPr>
      <w:r>
        <w:rPr>
          <w:rFonts w:ascii="Noto Serif" w:hAnsi="Noto Serif" w:eastAsia="Noto Serif"/>
          <w:sz w:val="19"/>
        </w:rPr>
        <w:t xml:space="preserve">The Restoration Council shall identify data copied, linked, exported, or accessed through a covered rollback action. Agencies shall terminate unauthorized access, recover copies, rotate credentials, notify affected persons where appropriate, preserve evidence, and certify deletion or lawful retention.</w:t>
      </w:r>
    </w:p>
    <w:bookmarkEnd w:id="197"/>
    <w:bookmarkStart w:id="198" w:name="sec.-1207.-biometric-surveillance."/>
    <w:p>
      <w:pPr>
        <w:pStyle w:val="Heading2"/>
        <w:keepNext/>
        <w:spacing w:before="160" w:after="60"/>
      </w:pPr>
      <w:r>
        <w:rPr>
          <w:rFonts w:ascii="Inter" w:hAnsi="Inter" w:eastAsia="Inter"/>
          <w:b/>
          <w:color w:val="1F3F5B"/>
          <w:sz w:val="23"/>
        </w:rPr>
        <w:t xml:space="preserve">SEC. 1207. BIOMETRIC SURVEILLANCE.</w:t>
      </w:r>
    </w:p>
    <w:p>
      <w:pPr>
        <w:widowControl/>
        <w:numPr>
          <w:ilvl w:val="0"/>
          <w:numId w:val="1087"/>
        </w:numPr>
        <w:spacing w:after="30" w:line="245" w:lineRule="auto"/>
      </w:pPr>
      <w:r>
        <w:rPr>
          <w:rFonts w:ascii="Noto Serif" w:hAnsi="Noto Serif" w:eastAsia="Noto Serif"/>
          <w:sz w:val="18"/>
        </w:rPr>
        <w:t xml:space="preserve">Federal use of facial recognition, gait recognition, voiceprints, emotion inference, or other remote biometrics in public spaces requires statutory authority, documented necessity, accuracy testing, human review, audit, and notice where compatible with the purpose.</w:t>
      </w:r>
    </w:p>
    <w:p>
      <w:pPr>
        <w:widowControl/>
        <w:numPr>
          <w:ilvl w:val="0"/>
          <w:numId w:val="1087"/>
        </w:numPr>
        <w:spacing w:after="30" w:line="245" w:lineRule="auto"/>
      </w:pPr>
      <w:r>
        <w:rPr>
          <w:rFonts w:ascii="Noto Serif" w:hAnsi="Noto Serif" w:eastAsia="Noto Serif"/>
          <w:sz w:val="18"/>
        </w:rPr>
        <w:t xml:space="preserve">Real-time persistent identification of persons engaged in First Amendment-protected activity requires a warrant based on probable cause, except for a narrowly defined emergency involving imminent serious harm.</w:t>
      </w:r>
    </w:p>
    <w:p>
      <w:pPr>
        <w:widowControl/>
        <w:numPr>
          <w:ilvl w:val="0"/>
          <w:numId w:val="1087"/>
        </w:numPr>
        <w:spacing w:after="30" w:line="245" w:lineRule="auto"/>
      </w:pPr>
      <w:r>
        <w:rPr>
          <w:rFonts w:ascii="Noto Serif" w:hAnsi="Noto Serif" w:eastAsia="Noto Serif"/>
          <w:sz w:val="18"/>
        </w:rPr>
        <w:t xml:space="preserve">Emotion recognition shall not be used as the sole or material basis for employment, benefits, education, immigration, law enforcement, or security decisions.</w:t>
      </w:r>
    </w:p>
    <w:bookmarkEnd w:id="198"/>
    <w:bookmarkStart w:id="199" w:name="X7a719514511fbeba37d087e9162d6821307c506"/>
    <w:p>
      <w:pPr>
        <w:pStyle w:val="Heading2"/>
        <w:keepNext/>
        <w:spacing w:before="160" w:after="60"/>
      </w:pPr>
      <w:r>
        <w:rPr>
          <w:rFonts w:ascii="Inter" w:hAnsi="Inter" w:eastAsia="Inter"/>
          <w:b/>
          <w:color w:val="1F3F5B"/>
          <w:sz w:val="23"/>
        </w:rPr>
        <w:t xml:space="preserve">SEC. 1208. LOCATION, HEALTH, AND REPRODUCTIVE PRIVACY.</w:t>
      </w:r>
    </w:p>
    <w:p>
      <w:pPr>
        <w:pStyle w:val="FirstParagraph"/>
        <w:widowControl/>
        <w:spacing w:after="60" w:line="250" w:lineRule="auto"/>
      </w:pPr>
      <w:r>
        <w:rPr>
          <w:rFonts w:ascii="Noto Serif" w:hAnsi="Noto Serif" w:eastAsia="Noto Serif"/>
          <w:sz w:val="19"/>
        </w:rPr>
        <w:t xml:space="preserve">No Federal agency or recipient of Federal funds shall use location or health data to identify, investigate, or penalize a person for obtaining, providing, assisting, or traveling for health care lawful in the jurisdiction where provided, except pursuant to a valid warrant investigating an independently unlawful act causing serious harm.</w:t>
      </w:r>
    </w:p>
    <w:bookmarkEnd w:id="199"/>
    <w:bookmarkStart w:id="200" w:name="X8448c581fe617c90fb41b46f2a0ae7d5b67d453"/>
    <w:p>
      <w:pPr>
        <w:pStyle w:val="Heading2"/>
        <w:keepNext/>
        <w:spacing w:before="160" w:after="60"/>
      </w:pPr>
      <w:r>
        <w:rPr>
          <w:rFonts w:ascii="Inter" w:hAnsi="Inter" w:eastAsia="Inter"/>
          <w:b/>
          <w:color w:val="1F3F5B"/>
          <w:sz w:val="23"/>
        </w:rPr>
        <w:t xml:space="preserve">SEC. 1209. AUTOMATED GOVERNMENT DECISIONS.</w:t>
      </w:r>
    </w:p>
    <w:p>
      <w:pPr>
        <w:widowControl/>
        <w:numPr>
          <w:ilvl w:val="0"/>
          <w:numId w:val="1088"/>
        </w:numPr>
        <w:spacing w:after="30" w:line="245" w:lineRule="auto"/>
      </w:pPr>
      <w:r>
        <w:rPr>
          <w:rFonts w:ascii="Noto Serif" w:hAnsi="Noto Serif" w:eastAsia="Noto Serif"/>
          <w:sz w:val="18"/>
        </w:rPr>
        <w:t xml:space="preserve">A high-impact automated system used for benefits, employment, education, housing, immigration, health, taxation, law enforcement, or licensing shall undergo an impact assessment, bias and error testing, cybersecurity review, public description, and human-appeal process.</w:t>
      </w:r>
    </w:p>
    <w:p>
      <w:pPr>
        <w:widowControl/>
        <w:numPr>
          <w:ilvl w:val="0"/>
          <w:numId w:val="1088"/>
        </w:numPr>
        <w:spacing w:after="30" w:line="245" w:lineRule="auto"/>
      </w:pPr>
      <w:r>
        <w:rPr>
          <w:rFonts w:ascii="Noto Serif" w:hAnsi="Noto Serif" w:eastAsia="Noto Serif"/>
          <w:sz w:val="18"/>
        </w:rPr>
        <w:t xml:space="preserve">A person is entitled to notice of material automated use, the principal factors, correction of inaccurate data, and review by an authorized human decisionmaker.</w:t>
      </w:r>
    </w:p>
    <w:p>
      <w:pPr>
        <w:widowControl/>
        <w:numPr>
          <w:ilvl w:val="0"/>
          <w:numId w:val="1088"/>
        </w:numPr>
        <w:spacing w:after="30" w:line="245" w:lineRule="auto"/>
      </w:pPr>
      <w:r>
        <w:rPr>
          <w:rFonts w:ascii="Noto Serif" w:hAnsi="Noto Serif" w:eastAsia="Noto Serif"/>
          <w:sz w:val="18"/>
        </w:rPr>
        <w:t xml:space="preserve">Trade secrecy does not defeat meaningful explanation or government audit.</w:t>
      </w:r>
    </w:p>
    <w:bookmarkEnd w:id="200"/>
    <w:bookmarkStart w:id="201" w:name="sec.-1210.-children-and-teens."/>
    <w:p>
      <w:pPr>
        <w:pStyle w:val="Heading2"/>
        <w:keepNext/>
        <w:spacing w:before="160" w:after="60"/>
      </w:pPr>
      <w:r>
        <w:rPr>
          <w:rFonts w:ascii="Inter" w:hAnsi="Inter" w:eastAsia="Inter"/>
          <w:b/>
          <w:color w:val="1F3F5B"/>
          <w:sz w:val="23"/>
        </w:rPr>
        <w:t xml:space="preserve">SEC. 1210. CHILDREN AND TEENS.</w:t>
      </w:r>
    </w:p>
    <w:p>
      <w:pPr>
        <w:pStyle w:val="FirstParagraph"/>
        <w:widowControl/>
        <w:spacing w:after="60" w:line="250" w:lineRule="auto"/>
      </w:pPr>
      <w:r>
        <w:rPr>
          <w:rFonts w:ascii="Noto Serif" w:hAnsi="Noto Serif" w:eastAsia="Noto Serif"/>
          <w:sz w:val="19"/>
        </w:rPr>
        <w:t xml:space="preserve">Covered online services reasonably likely to be used by children or teenagers shall use high-privacy defaults, minimize profiling, prohibit targeted advertising based on sensitive data, avoid manipulative engagement design, and provide age-appropriate explanations without requiring intrusive age verification where less invasive methods are available.</w:t>
      </w:r>
    </w:p>
    <w:bookmarkEnd w:id="201"/>
    <w:bookmarkStart w:id="202" w:name="X631f03c7f4e015f040aa2a8236c3f096d658382"/>
    <w:p>
      <w:pPr>
        <w:pStyle w:val="Heading2"/>
        <w:keepNext/>
        <w:spacing w:before="160" w:after="60"/>
      </w:pPr>
      <w:r>
        <w:rPr>
          <w:rFonts w:ascii="Inter" w:hAnsi="Inter" w:eastAsia="Inter"/>
          <w:b/>
          <w:color w:val="1F3F5B"/>
          <w:sz w:val="23"/>
        </w:rPr>
        <w:t xml:space="preserve">SEC. 1211. CYBERSECURITY AND BREACH NOTICE.</w:t>
      </w:r>
    </w:p>
    <w:p>
      <w:pPr>
        <w:pStyle w:val="FirstParagraph"/>
        <w:widowControl/>
        <w:spacing w:after="60" w:line="250" w:lineRule="auto"/>
      </w:pPr>
      <w:r>
        <w:rPr>
          <w:rFonts w:ascii="Noto Serif" w:hAnsi="Noto Serif" w:eastAsia="Noto Serif"/>
          <w:sz w:val="19"/>
        </w:rPr>
        <w:t xml:space="preserve">Covered entities shall maintain risk-based security, vendor controls, encryption, authentication, incident response, and timely breach notice. Federal contractors handling sensitive data shall meet NIST standards and report material incidents promptly.</w:t>
      </w:r>
    </w:p>
    <w:bookmarkEnd w:id="202"/>
    <w:bookmarkStart w:id="203" w:name="sec.-1212.-enforcement-and-remedies."/>
    <w:p>
      <w:pPr>
        <w:pStyle w:val="Heading2"/>
        <w:keepNext/>
        <w:spacing w:before="160" w:after="60"/>
      </w:pPr>
      <w:r>
        <w:rPr>
          <w:rFonts w:ascii="Inter" w:hAnsi="Inter" w:eastAsia="Inter"/>
          <w:b/>
          <w:color w:val="1F3F5B"/>
          <w:sz w:val="23"/>
        </w:rPr>
        <w:t xml:space="preserve">SEC. 1212. ENFORCEMENT AND REMEDIES.</w:t>
      </w:r>
    </w:p>
    <w:p>
      <w:pPr>
        <w:pStyle w:val="FirstParagraph"/>
        <w:widowControl/>
        <w:spacing w:after="60" w:line="250" w:lineRule="auto"/>
      </w:pPr>
      <w:r>
        <w:rPr>
          <w:rFonts w:ascii="Noto Serif" w:hAnsi="Noto Serif" w:eastAsia="Noto Serif"/>
          <w:sz w:val="19"/>
        </w:rPr>
        <w:t xml:space="preserve">The FTC, State attorneys general, and appropriate sector regulators may enforce this title. A person suffering concrete financial, physical, discriminatory, or privacy injury from an intentional or reckless violation may seek actual damages, injunctive relief, and attorney fees. Statutory damages may be provided by companion legislation for specified high-risk violations.</w:t>
      </w:r>
    </w:p>
    <w:bookmarkEnd w:id="203"/>
    <w:bookmarkStart w:id="204" w:name="X952a3ee81746a1bcbc57fbb909252734cd78c88"/>
    <w:p>
      <w:pPr>
        <w:pStyle w:val="Heading2"/>
        <w:keepNext/>
        <w:spacing w:before="160" w:after="60"/>
      </w:pPr>
      <w:r>
        <w:rPr>
          <w:rFonts w:ascii="Inter" w:hAnsi="Inter" w:eastAsia="Inter"/>
          <w:b/>
          <w:color w:val="1F3F5B"/>
          <w:sz w:val="23"/>
        </w:rPr>
        <w:t xml:space="preserve">SEC. 1213. RESEARCH, JOURNALISM, AND PUBLIC-INTEREST SAFEGUARDS.</w:t>
      </w:r>
    </w:p>
    <w:p>
      <w:pPr>
        <w:pStyle w:val="FirstParagraph"/>
        <w:widowControl/>
        <w:spacing w:after="60" w:line="250" w:lineRule="auto"/>
      </w:pPr>
      <w:r>
        <w:rPr>
          <w:rFonts w:ascii="Noto Serif" w:hAnsi="Noto Serif" w:eastAsia="Noto Serif"/>
          <w:sz w:val="19"/>
        </w:rPr>
        <w:t xml:space="preserve">Nothing in this title prohibits good-faith journalism, academic research, security research, archival activity, civil-rights testing, or public-interest investigation, subject to reasonable safeguards against publication of unnecessary sensitive data.</w:t>
      </w:r>
    </w:p>
    <w:bookmarkEnd w:id="204"/>
    <w:bookmarkStart w:id="205" w:name="X9fdf7daebe929fc023c1d99fab8f3468857b79a"/>
    <w:p>
      <w:pPr>
        <w:pStyle w:val="Heading2"/>
        <w:keepNext/>
        <w:spacing w:before="160" w:after="60"/>
      </w:pPr>
      <w:r>
        <w:rPr>
          <w:rFonts w:ascii="Inter" w:hAnsi="Inter" w:eastAsia="Inter"/>
          <w:b/>
          <w:color w:val="1F3F5B"/>
          <w:sz w:val="23"/>
        </w:rPr>
        <w:t xml:space="preserve">SEC. 1214. RELATIONSHIP TO COMPANION ACTS.</w:t>
      </w:r>
    </w:p>
    <w:p>
      <w:pPr>
        <w:pStyle w:val="FirstParagraph"/>
        <w:widowControl/>
        <w:spacing w:after="60" w:line="250" w:lineRule="auto"/>
      </w:pPr>
      <w:r>
        <w:rPr>
          <w:rFonts w:ascii="Noto Serif" w:hAnsi="Noto Serif" w:eastAsia="Noto Serif"/>
          <w:sz w:val="19"/>
        </w:rPr>
        <w:t xml:space="preserve">The Human Species Well-Being and Cognitive Liberty Act, Transparent Government Act, Public Comfort Act, and Project 2029 data-firewall measures control where they provide more specific or stronger protections.</w:t>
      </w:r>
    </w:p>
    <w:bookmarkEnd w:id="205"/>
    <w:bookmarkEnd w:id="206"/>
    <w:bookmarkStart w:id="219" w:name="Xbd9d9cfccff2c1aa7ea24485976d72f1ba3f938"/>
    <w:p>
      <w:pPr>
        <w:pStyle w:val="Heading1"/>
        <w:keepNext/>
        <w:pageBreakBefore/>
        <w:spacing w:before="0" w:after="180"/>
        <w:pBdr>
          <w:bottom w:val="single" w:sz="8" w:space="4" w:color="9EB0BF"/>
        </w:pBdr>
      </w:pPr>
      <w:r>
        <w:rPr>
          <w:rFonts w:ascii="Inter" w:hAnsi="Inter" w:eastAsia="Inter"/>
          <w:b/>
          <w:color w:val="142D48"/>
          <w:sz w:val="34"/>
        </w:rPr>
        <w:t xml:space="preserve">TITLE XIII - EDUCATION, RESEARCH, AND KNOWLEDGE INSTITUTIONS</w:t>
      </w:r>
    </w:p>
    <w:bookmarkStart w:id="207" w:name="X710328bfb49cee54c5180597d7ded23e58a2701"/>
    <w:p>
      <w:pPr>
        <w:pStyle w:val="Heading2"/>
        <w:keepNext/>
        <w:spacing w:before="160" w:after="60"/>
      </w:pPr>
      <w:r>
        <w:rPr>
          <w:rFonts w:ascii="Inter" w:hAnsi="Inter" w:eastAsia="Inter"/>
          <w:b/>
          <w:color w:val="1F3F5B"/>
          <w:sz w:val="23"/>
        </w:rPr>
        <w:t xml:space="preserve">SEC. 1301. CONTINUATION OF THE DEPARTMENT OF EDUCATION.</w:t>
      </w:r>
    </w:p>
    <w:p>
      <w:pPr>
        <w:pStyle w:val="FirstParagraph"/>
        <w:widowControl/>
        <w:spacing w:after="60" w:line="250" w:lineRule="auto"/>
      </w:pPr>
      <w:r>
        <w:rPr>
          <w:rFonts w:ascii="Noto Serif" w:hAnsi="Noto Serif" w:eastAsia="Noto Serif"/>
          <w:sz w:val="19"/>
        </w:rPr>
        <w:t xml:space="preserve">The Department of Education is reaffirmed as an Executive department. No officer may abolish, transfer, or substantially disable the Department, Federal Student Aid, Office for Civil Rights, Institute of Education Sciences, Office of Special Education and Rehabilitative Services, or another congressionally created function without an Act of Congress.</w:t>
      </w:r>
    </w:p>
    <w:bookmarkEnd w:id="207"/>
    <w:bookmarkStart w:id="208" w:name="X1f0be7cd7dbc0a75b851edd6ba226a1851fe468"/>
    <w:p>
      <w:pPr>
        <w:pStyle w:val="Heading2"/>
        <w:keepNext/>
        <w:spacing w:before="160" w:after="60"/>
      </w:pPr>
      <w:r>
        <w:rPr>
          <w:rFonts w:ascii="Inter" w:hAnsi="Inter" w:eastAsia="Inter"/>
          <w:b/>
          <w:color w:val="1F3F5B"/>
          <w:sz w:val="23"/>
        </w:rPr>
        <w:t xml:space="preserve">SEC. 1302. WORKFORCE AND OFFICE RESTORATION.</w:t>
      </w:r>
    </w:p>
    <w:p>
      <w:pPr>
        <w:pStyle w:val="FirstParagraph"/>
        <w:widowControl/>
        <w:spacing w:after="60" w:line="250" w:lineRule="auto"/>
      </w:pPr>
      <w:r>
        <w:rPr>
          <w:rFonts w:ascii="Noto Serif" w:hAnsi="Noto Serif" w:eastAsia="Noto Serif"/>
          <w:sz w:val="19"/>
        </w:rPr>
        <w:t xml:space="preserve">Within 24 months, the Secretary shall restore sufficient staffing, regional access, technical assistance, complaint processing, student-aid operations, data, research, grant management, and oversight. Former employees separated through a covered rollback action shall receive priority consideration under merit procedures.</w:t>
      </w:r>
    </w:p>
    <w:bookmarkEnd w:id="208"/>
    <w:bookmarkStart w:id="209" w:name="sec.-1303.-office-for-civil-rights."/>
    <w:p>
      <w:pPr>
        <w:pStyle w:val="Heading2"/>
        <w:keepNext/>
        <w:spacing w:before="160" w:after="60"/>
      </w:pPr>
      <w:r>
        <w:rPr>
          <w:rFonts w:ascii="Inter" w:hAnsi="Inter" w:eastAsia="Inter"/>
          <w:b/>
          <w:color w:val="1F3F5B"/>
          <w:sz w:val="23"/>
        </w:rPr>
        <w:t xml:space="preserve">SEC. 1303. OFFICE FOR CIVIL RIGHTS.</w:t>
      </w:r>
    </w:p>
    <w:p>
      <w:pPr>
        <w:pStyle w:val="FirstParagraph"/>
        <w:widowControl/>
        <w:spacing w:after="60" w:line="250" w:lineRule="auto"/>
      </w:pPr>
      <w:r>
        <w:rPr>
          <w:rFonts w:ascii="Noto Serif" w:hAnsi="Noto Serif" w:eastAsia="Noto Serif"/>
          <w:sz w:val="19"/>
        </w:rPr>
        <w:t xml:space="preserve">OCR shall restore investigations and guidance concerning race, sex, pregnancy, LGBTQ status, disability, harassment, language access, discipline, accessibility, and retaliation. Guidance shall distinguish binding law from recommended practice and respect constitutional speech and religious-liberty protections.</w:t>
      </w:r>
    </w:p>
    <w:bookmarkEnd w:id="209"/>
    <w:bookmarkStart w:id="210" w:name="X4ea62faaea2fca702d31f0dea58c4a550433271"/>
    <w:p>
      <w:pPr>
        <w:pStyle w:val="Heading2"/>
        <w:keepNext/>
        <w:spacing w:before="160" w:after="60"/>
      </w:pPr>
      <w:r>
        <w:rPr>
          <w:rFonts w:ascii="Inter" w:hAnsi="Inter" w:eastAsia="Inter"/>
          <w:b/>
          <w:color w:val="1F3F5B"/>
          <w:sz w:val="23"/>
        </w:rPr>
        <w:t xml:space="preserve">SEC. 1304. INSTITUTE OF EDUCATION SCIENCES.</w:t>
      </w:r>
    </w:p>
    <w:p>
      <w:pPr>
        <w:pStyle w:val="FirstParagraph"/>
        <w:widowControl/>
        <w:spacing w:after="60" w:line="250" w:lineRule="auto"/>
      </w:pPr>
      <w:r>
        <w:rPr>
          <w:rFonts w:ascii="Noto Serif" w:hAnsi="Noto Serif" w:eastAsia="Noto Serif"/>
          <w:sz w:val="19"/>
        </w:rPr>
        <w:t xml:space="preserve">IES shall maintain independent statistics, longitudinal studies, assessments, special-education research, program evaluation, and public data. Contracts or grants terminated solely for disfavored terminology or conclusions shall be reconsidered under objective scientific and performance criteria.</w:t>
      </w:r>
    </w:p>
    <w:bookmarkEnd w:id="210"/>
    <w:bookmarkStart w:id="211" w:name="sec.-1305.-federal-student-aid."/>
    <w:p>
      <w:pPr>
        <w:pStyle w:val="Heading2"/>
        <w:keepNext/>
        <w:spacing w:before="160" w:after="60"/>
      </w:pPr>
      <w:r>
        <w:rPr>
          <w:rFonts w:ascii="Inter" w:hAnsi="Inter" w:eastAsia="Inter"/>
          <w:b/>
          <w:color w:val="1F3F5B"/>
          <w:sz w:val="23"/>
        </w:rPr>
        <w:t xml:space="preserve">SEC. 1305. FEDERAL STUDENT AID.</w:t>
      </w:r>
    </w:p>
    <w:p>
      <w:pPr>
        <w:pStyle w:val="FirstParagraph"/>
        <w:widowControl/>
        <w:spacing w:after="60" w:line="250" w:lineRule="auto"/>
      </w:pPr>
      <w:r>
        <w:rPr>
          <w:rFonts w:ascii="Noto Serif" w:hAnsi="Noto Serif" w:eastAsia="Noto Serif"/>
          <w:sz w:val="19"/>
        </w:rPr>
        <w:t xml:space="preserve">Federal Student Aid shall maintain accurate servicing, borrower communication, income-driven repayment, disability discharge, public-service forgiveness, school accountability, fraud recovery, cybersecurity, and ombuds services. Major servicing changes require public testing and continuity planning.</w:t>
      </w:r>
    </w:p>
    <w:bookmarkEnd w:id="211"/>
    <w:bookmarkStart w:id="212" w:name="X03cd4aa71af37e0b95cfcf186e763bdf3639028"/>
    <w:p>
      <w:pPr>
        <w:pStyle w:val="Heading2"/>
        <w:keepNext/>
        <w:spacing w:before="160" w:after="60"/>
      </w:pPr>
      <w:r>
        <w:rPr>
          <w:rFonts w:ascii="Inter" w:hAnsi="Inter" w:eastAsia="Inter"/>
          <w:b/>
          <w:color w:val="1F3F5B"/>
          <w:sz w:val="23"/>
        </w:rPr>
        <w:t xml:space="preserve">SEC. 1306. TITLE I, IDEA, AND STUDENT SUPPORTS.</w:t>
      </w:r>
    </w:p>
    <w:p>
      <w:pPr>
        <w:pStyle w:val="FirstParagraph"/>
        <w:widowControl/>
        <w:spacing w:after="60" w:line="250" w:lineRule="auto"/>
      </w:pPr>
      <w:r>
        <w:rPr>
          <w:rFonts w:ascii="Noto Serif" w:hAnsi="Noto Serif" w:eastAsia="Noto Serif"/>
          <w:sz w:val="19"/>
        </w:rPr>
        <w:t xml:space="preserve">The Secretary shall restore timely administration of Title I, IDEA, homeless-student, rural, English-learner, after-school, school mental-health, teacher-quality, and other statutory grants. Conditions must relate to program law and may not be used to coerce unrelated curriculum or ideology.</w:t>
      </w:r>
    </w:p>
    <w:bookmarkEnd w:id="212"/>
    <w:bookmarkStart w:id="213" w:name="Xb52d797cece9e51678bb475e60cbcd4af835264"/>
    <w:p>
      <w:pPr>
        <w:pStyle w:val="Heading2"/>
        <w:keepNext/>
        <w:spacing w:before="160" w:after="60"/>
      </w:pPr>
      <w:r>
        <w:rPr>
          <w:rFonts w:ascii="Inter" w:hAnsi="Inter" w:eastAsia="Inter"/>
          <w:b/>
          <w:color w:val="1F3F5B"/>
          <w:sz w:val="23"/>
        </w:rPr>
        <w:t xml:space="preserve">SEC. 1307. RESEARCH, LIBRARIES, AND OPEN KNOWLEDGE.</w:t>
      </w:r>
    </w:p>
    <w:p>
      <w:pPr>
        <w:widowControl/>
        <w:numPr>
          <w:ilvl w:val="0"/>
          <w:numId w:val="1089"/>
        </w:numPr>
        <w:spacing w:after="30" w:line="245" w:lineRule="auto"/>
      </w:pPr>
      <w:r>
        <w:rPr>
          <w:rFonts w:ascii="Noto Serif" w:hAnsi="Noto Serif" w:eastAsia="Noto Serif"/>
          <w:sz w:val="18"/>
        </w:rPr>
        <w:t xml:space="preserve">Federally funded research shall be made publicly accessible within a reasonable period, with lawful protection for privacy, national security, and intellectual property.</w:t>
      </w:r>
    </w:p>
    <w:p>
      <w:pPr>
        <w:widowControl/>
        <w:numPr>
          <w:ilvl w:val="0"/>
          <w:numId w:val="1089"/>
        </w:numPr>
        <w:spacing w:after="30" w:line="245" w:lineRule="auto"/>
      </w:pPr>
      <w:r>
        <w:rPr>
          <w:rFonts w:ascii="Noto Serif" w:hAnsi="Noto Serif" w:eastAsia="Noto Serif"/>
          <w:sz w:val="18"/>
        </w:rPr>
        <w:t xml:space="preserve">Agencies shall retain authority to purchase journal access and pay reasonable publication charges when cost-effective or necessary for mission performance.</w:t>
      </w:r>
    </w:p>
    <w:p>
      <w:pPr>
        <w:widowControl/>
        <w:numPr>
          <w:ilvl w:val="0"/>
          <w:numId w:val="1089"/>
        </w:numPr>
        <w:spacing w:after="30" w:line="245" w:lineRule="auto"/>
      </w:pPr>
      <w:r>
        <w:rPr>
          <w:rFonts w:ascii="Noto Serif" w:hAnsi="Noto Serif" w:eastAsia="Noto Serif"/>
          <w:sz w:val="18"/>
        </w:rPr>
        <w:t xml:space="preserve">The Government shall negotiate fair, transparent publishing agreements and support repositories, libraries, and open standards.</w:t>
      </w:r>
    </w:p>
    <w:bookmarkEnd w:id="213"/>
    <w:bookmarkStart w:id="214" w:name="X00c7d5244916dc18a07ca15f4b62e08d2fa4387"/>
    <w:p>
      <w:pPr>
        <w:pStyle w:val="Heading2"/>
        <w:keepNext/>
        <w:spacing w:before="160" w:after="60"/>
      </w:pPr>
      <w:r>
        <w:rPr>
          <w:rFonts w:ascii="Inter" w:hAnsi="Inter" w:eastAsia="Inter"/>
          <w:b/>
          <w:color w:val="1F3F5B"/>
          <w:sz w:val="23"/>
        </w:rPr>
        <w:t xml:space="preserve">SEC. 1308. ACADEMIC FREEDOM AND NONDISCRIMINATION.</w:t>
      </w:r>
    </w:p>
    <w:p>
      <w:pPr>
        <w:pStyle w:val="FirstParagraph"/>
        <w:widowControl/>
        <w:spacing w:after="60" w:line="250" w:lineRule="auto"/>
      </w:pPr>
      <w:r>
        <w:rPr>
          <w:rFonts w:ascii="Noto Serif" w:hAnsi="Noto Serif" w:eastAsia="Noto Serif"/>
          <w:sz w:val="19"/>
        </w:rPr>
        <w:t xml:space="preserve">Federal education or research funds may not be conditioned on suppression of lawful viewpoints, compelled ideological statements, partisan loyalty, or discrimination. Institutions remain responsible for civil-rights compliance, academic standards, safety, research integrity, and non-harassment.</w:t>
      </w:r>
    </w:p>
    <w:bookmarkEnd w:id="214"/>
    <w:bookmarkStart w:id="215" w:name="Xf7f8a3029a337b5da780740562d07036caed606"/>
    <w:p>
      <w:pPr>
        <w:pStyle w:val="Heading2"/>
        <w:keepNext/>
        <w:spacing w:before="160" w:after="60"/>
      </w:pPr>
      <w:r>
        <w:rPr>
          <w:rFonts w:ascii="Inter" w:hAnsi="Inter" w:eastAsia="Inter"/>
          <w:b/>
          <w:color w:val="1F3F5B"/>
          <w:sz w:val="23"/>
        </w:rPr>
        <w:t xml:space="preserve">SEC. 1309. PUBLIC-SCHOOL RELIGIOUS NEUTRALITY.</w:t>
      </w:r>
    </w:p>
    <w:p>
      <w:pPr>
        <w:pStyle w:val="FirstParagraph"/>
        <w:widowControl/>
        <w:spacing w:after="60" w:line="250" w:lineRule="auto"/>
      </w:pPr>
      <w:r>
        <w:rPr>
          <w:rFonts w:ascii="Noto Serif" w:hAnsi="Noto Serif" w:eastAsia="Noto Serif"/>
          <w:sz w:val="19"/>
        </w:rPr>
        <w:t xml:space="preserve">Public schools receiving Federal funds shall neither sponsor worship nor display hostility toward religion. Objective instruction about religion is permitted. Student expression receives equal treatment under neutral rules. The FAITH Act controls more specific conscience and institutional rules.</w:t>
      </w:r>
    </w:p>
    <w:bookmarkEnd w:id="215"/>
    <w:bookmarkStart w:id="216" w:name="Xd2f9cca3dd5eb47d25075fc674ab69a83c73d3c"/>
    <w:p>
      <w:pPr>
        <w:pStyle w:val="Heading2"/>
        <w:keepNext/>
        <w:spacing w:before="160" w:after="60"/>
      </w:pPr>
      <w:r>
        <w:rPr>
          <w:rFonts w:ascii="Inter" w:hAnsi="Inter" w:eastAsia="Inter"/>
          <w:b/>
          <w:color w:val="1F3F5B"/>
          <w:sz w:val="23"/>
        </w:rPr>
        <w:t xml:space="preserve">SEC. 1310. CAREER AND WORKFORCE EDUCATION.</w:t>
      </w:r>
    </w:p>
    <w:p>
      <w:pPr>
        <w:pStyle w:val="FirstParagraph"/>
        <w:widowControl/>
        <w:spacing w:after="60" w:line="250" w:lineRule="auto"/>
      </w:pPr>
      <w:r>
        <w:rPr>
          <w:rFonts w:ascii="Noto Serif" w:hAnsi="Noto Serif" w:eastAsia="Noto Serif"/>
          <w:sz w:val="19"/>
        </w:rPr>
        <w:t xml:space="preserve">Education and Labor shall restore Job Corps, apprenticeships, community-college partnerships, adult education, senior employment, and career pathways, with performance reforms, safety standards, independent evaluation, and authority to close persistently failing sites after due process and transition assistance.</w:t>
      </w:r>
    </w:p>
    <w:bookmarkEnd w:id="216"/>
    <w:bookmarkStart w:id="217" w:name="Xeaf506a3f806e1dcbbf2fd671fb78b395d143fc"/>
    <w:p>
      <w:pPr>
        <w:pStyle w:val="Heading2"/>
        <w:keepNext/>
        <w:spacing w:before="160" w:after="60"/>
      </w:pPr>
      <w:r>
        <w:rPr>
          <w:rFonts w:ascii="Inter" w:hAnsi="Inter" w:eastAsia="Inter"/>
          <w:b/>
          <w:color w:val="1F3F5B"/>
          <w:sz w:val="23"/>
        </w:rPr>
        <w:t xml:space="preserve">SEC. 1311. GRANT CONTINUITY AND TERMINATION.</w:t>
      </w:r>
    </w:p>
    <w:p>
      <w:pPr>
        <w:pStyle w:val="FirstParagraph"/>
        <w:widowControl/>
        <w:spacing w:after="60" w:line="250" w:lineRule="auto"/>
      </w:pPr>
      <w:r>
        <w:rPr>
          <w:rFonts w:ascii="Noto Serif" w:hAnsi="Noto Serif" w:eastAsia="Noto Serif"/>
          <w:sz w:val="19"/>
        </w:rPr>
        <w:t xml:space="preserve">An education grant may be terminated for material nonperformance, illegality, fraud, loss of authorization, or documented program need, but not solely through a generalized</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termination for convenience</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clause used to defeat statutory purpose or punish protected speech. Notice, evidence, cure, and appeal are required.</w:t>
      </w:r>
    </w:p>
    <w:bookmarkEnd w:id="217"/>
    <w:bookmarkStart w:id="218" w:name="X263c1ddae57f00f0d5d69c27dbd0f32331e05ae"/>
    <w:p>
      <w:pPr>
        <w:pStyle w:val="Heading2"/>
        <w:keepNext/>
        <w:spacing w:before="160" w:after="60"/>
      </w:pPr>
      <w:r>
        <w:rPr>
          <w:rFonts w:ascii="Inter" w:hAnsi="Inter" w:eastAsia="Inter"/>
          <w:b/>
          <w:color w:val="1F3F5B"/>
          <w:sz w:val="23"/>
        </w:rPr>
        <w:t xml:space="preserve">SEC. 1312. RELATIONSHIP TO EDUCATION COMPANION ACTS.</w:t>
      </w:r>
    </w:p>
    <w:p>
      <w:pPr>
        <w:pStyle w:val="FirstParagraph"/>
        <w:widowControl/>
        <w:spacing w:after="60" w:line="250" w:lineRule="auto"/>
      </w:pPr>
      <w:r>
        <w:rPr>
          <w:rFonts w:ascii="Noto Serif" w:hAnsi="Noto Serif" w:eastAsia="Noto Serif"/>
          <w:sz w:val="19"/>
        </w:rPr>
        <w:t xml:space="preserve">The Enlightenment Act and the $450 Education Act govern comprehensive education funding, teachers, facilities, tutoring, curriculum-support, career pathways, and student well-being. This title restores the Federal institutional platform needed to implement them.</w:t>
      </w:r>
    </w:p>
    <w:bookmarkEnd w:id="218"/>
    <w:bookmarkEnd w:id="219"/>
    <w:bookmarkStart w:id="235" w:name="X0a0bf48be94ee3bd8b3dcd3b5bd8527fe4b3981"/>
    <w:p>
      <w:pPr>
        <w:pStyle w:val="Heading1"/>
        <w:keepNext/>
        <w:pageBreakBefore/>
        <w:spacing w:before="0" w:after="180"/>
        <w:pBdr>
          <w:bottom w:val="single" w:sz="8" w:space="4" w:color="9EB0BF"/>
        </w:pBdr>
      </w:pPr>
      <w:r>
        <w:rPr>
          <w:rFonts w:ascii="Inter" w:hAnsi="Inter" w:eastAsia="Inter"/>
          <w:b/>
          <w:color w:val="142D48"/>
          <w:sz w:val="34"/>
        </w:rPr>
        <w:t xml:space="preserve">TITLE XIV - PUBLIC HEALTH, SCIENCE, AND HEALTH-AGENCY RESTORATION</w:t>
      </w:r>
    </w:p>
    <w:bookmarkStart w:id="220" w:name="sec.-1401.-hhs-reconstitution."/>
    <w:p>
      <w:pPr>
        <w:pStyle w:val="Heading2"/>
        <w:keepNext/>
        <w:spacing w:before="160" w:after="60"/>
      </w:pPr>
      <w:r>
        <w:rPr>
          <w:rFonts w:ascii="Inter" w:hAnsi="Inter" w:eastAsia="Inter"/>
          <w:b/>
          <w:color w:val="1F3F5B"/>
          <w:sz w:val="23"/>
        </w:rPr>
        <w:t xml:space="preserve">SEC. 1401. HHS RECONSTITUTION.</w:t>
      </w:r>
    </w:p>
    <w:p>
      <w:pPr>
        <w:pStyle w:val="FirstParagraph"/>
        <w:widowControl/>
        <w:spacing w:after="60" w:line="250" w:lineRule="auto"/>
      </w:pPr>
      <w:r>
        <w:rPr>
          <w:rFonts w:ascii="Noto Serif" w:hAnsi="Noto Serif" w:eastAsia="Noto Serif"/>
          <w:sz w:val="19"/>
        </w:rPr>
        <w:t xml:space="preserve">The Secretary of Health and Human Services shall reverse reorganizations and reductions that materially impair statutory missions of CDC, FDA, NIH, CMS, AHRQ, SAMHSA, HRSA, ACL, ASPR, and civil-rights functions. The Secretary may retain efficiencies demonstrated to improve service and legality, but shall publish a mission-by-mission staffing and capacity plan.</w:t>
      </w:r>
    </w:p>
    <w:bookmarkEnd w:id="220"/>
    <w:bookmarkStart w:id="221" w:name="X9f30a3684aadf770891658bc396dab542736104"/>
    <w:p>
      <w:pPr>
        <w:pStyle w:val="Heading2"/>
        <w:keepNext/>
        <w:spacing w:before="160" w:after="60"/>
      </w:pPr>
      <w:r>
        <w:rPr>
          <w:rFonts w:ascii="Inter" w:hAnsi="Inter" w:eastAsia="Inter"/>
          <w:b/>
          <w:color w:val="1F3F5B"/>
          <w:sz w:val="23"/>
        </w:rPr>
        <w:t xml:space="preserve">SEC. 1402. DISEASE SURVEILLANCE AND EMERGENCY READINESS.</w:t>
      </w:r>
    </w:p>
    <w:p>
      <w:pPr>
        <w:pStyle w:val="FirstParagraph"/>
        <w:widowControl/>
        <w:spacing w:after="60" w:line="250" w:lineRule="auto"/>
      </w:pPr>
      <w:r>
        <w:rPr>
          <w:rFonts w:ascii="Noto Serif" w:hAnsi="Noto Serif" w:eastAsia="Noto Serif"/>
          <w:sz w:val="19"/>
        </w:rPr>
        <w:t xml:space="preserve">CDC and ASPR shall maintain integrated national surveillance, laboratory networks, wastewater monitoring, stockpiles, genomic capacity, public communication, hospital preparedness, and State, local, and Tribal support. Data standards shall protect privacy and permit rapid interoperability.</w:t>
      </w:r>
    </w:p>
    <w:bookmarkEnd w:id="221"/>
    <w:bookmarkStart w:id="222" w:name="sec.-1403.-scientific-communication."/>
    <w:p>
      <w:pPr>
        <w:pStyle w:val="Heading2"/>
        <w:keepNext/>
        <w:spacing w:before="160" w:after="60"/>
      </w:pPr>
      <w:r>
        <w:rPr>
          <w:rFonts w:ascii="Inter" w:hAnsi="Inter" w:eastAsia="Inter"/>
          <w:b/>
          <w:color w:val="1F3F5B"/>
          <w:sz w:val="23"/>
        </w:rPr>
        <w:t xml:space="preserve">SEC. 1403. SCIENTIFIC COMMUNICATION.</w:t>
      </w:r>
    </w:p>
    <w:p>
      <w:pPr>
        <w:pStyle w:val="FirstParagraph"/>
        <w:widowControl/>
        <w:spacing w:after="60" w:line="250" w:lineRule="auto"/>
      </w:pPr>
      <w:r>
        <w:rPr>
          <w:rFonts w:ascii="Noto Serif" w:hAnsi="Noto Serif" w:eastAsia="Noto Serif"/>
          <w:sz w:val="19"/>
        </w:rPr>
        <w:t xml:space="preserve">Public-health guidance shall disclose evidence, uncertainty, dissent, conflicts, and revision criteria. Political officials may set lawful policy but may not falsify or suppress underlying scientific findings. Agencies shall correct material errors promptly without retaliating against good-faith dissent.</w:t>
      </w:r>
    </w:p>
    <w:bookmarkEnd w:id="222"/>
    <w:bookmarkStart w:id="223" w:name="X3e97e123a3095d6fd59c108548125fa4ecd031e"/>
    <w:p>
      <w:pPr>
        <w:pStyle w:val="Heading2"/>
        <w:keepNext/>
        <w:spacing w:before="160" w:after="60"/>
      </w:pPr>
      <w:r>
        <w:rPr>
          <w:rFonts w:ascii="Inter" w:hAnsi="Inter" w:eastAsia="Inter"/>
          <w:b/>
          <w:color w:val="1F3F5B"/>
          <w:sz w:val="23"/>
        </w:rPr>
        <w:t xml:space="preserve">SEC. 1404. WORLD HEALTH ORGANIZATION AND INTERNATIONAL HEALTH.</w:t>
      </w:r>
    </w:p>
    <w:p>
      <w:pPr>
        <w:pStyle w:val="FirstParagraph"/>
        <w:widowControl/>
        <w:spacing w:after="60" w:line="250" w:lineRule="auto"/>
      </w:pPr>
      <w:r>
        <w:rPr>
          <w:rFonts w:ascii="Noto Serif" w:hAnsi="Noto Serif" w:eastAsia="Noto Serif"/>
          <w:sz w:val="19"/>
        </w:rPr>
        <w:t xml:space="preserve">The President shall pursue United States membership and constructive leadership in the World Health Organization, subject to statutory authority, appropriations, transparency, audit, reform, national sovereignty, and treaty requirements. Withdrawal requires 180 days’ notice, consultation with Congress, and a continuity plan for disease surveillance and global health commitments.</w:t>
      </w:r>
    </w:p>
    <w:bookmarkEnd w:id="223"/>
    <w:bookmarkStart w:id="224" w:name="sec.-1405.-global-health-security."/>
    <w:p>
      <w:pPr>
        <w:pStyle w:val="Heading2"/>
        <w:keepNext/>
        <w:spacing w:before="160" w:after="60"/>
      </w:pPr>
      <w:r>
        <w:rPr>
          <w:rFonts w:ascii="Inter" w:hAnsi="Inter" w:eastAsia="Inter"/>
          <w:b/>
          <w:color w:val="1F3F5B"/>
          <w:sz w:val="23"/>
        </w:rPr>
        <w:t xml:space="preserve">SEC. 1405. GLOBAL HEALTH SECURITY.</w:t>
      </w:r>
    </w:p>
    <w:p>
      <w:pPr>
        <w:pStyle w:val="FirstParagraph"/>
        <w:widowControl/>
        <w:spacing w:after="60" w:line="250" w:lineRule="auto"/>
      </w:pPr>
      <w:r>
        <w:rPr>
          <w:rFonts w:ascii="Noto Serif" w:hAnsi="Noto Serif" w:eastAsia="Noto Serif"/>
          <w:sz w:val="19"/>
        </w:rPr>
        <w:t xml:space="preserve">HHS, State, USAID, and Defense shall coordinate pandemic prevention, vaccination, maternal and child health, HIV/AIDS, tuberculosis, malaria, nutrition, antimicrobial resistance, laboratory security, and outbreak response. Programs shall include independent evaluation, anti-corruption controls, and local capacity building.</w:t>
      </w:r>
    </w:p>
    <w:bookmarkEnd w:id="224"/>
    <w:bookmarkStart w:id="225" w:name="sec.-1406.-nih-and-research-institutes."/>
    <w:p>
      <w:pPr>
        <w:pStyle w:val="Heading2"/>
        <w:keepNext/>
        <w:spacing w:before="160" w:after="60"/>
      </w:pPr>
      <w:r>
        <w:rPr>
          <w:rFonts w:ascii="Inter" w:hAnsi="Inter" w:eastAsia="Inter"/>
          <w:b/>
          <w:color w:val="1F3F5B"/>
          <w:sz w:val="23"/>
        </w:rPr>
        <w:t xml:space="preserve">SEC. 1406. NIH AND RESEARCH INSTITUTES.</w:t>
      </w:r>
    </w:p>
    <w:p>
      <w:pPr>
        <w:widowControl/>
        <w:numPr>
          <w:ilvl w:val="0"/>
          <w:numId w:val="1090"/>
        </w:numPr>
        <w:spacing w:after="30" w:line="245" w:lineRule="auto"/>
      </w:pPr>
      <w:r>
        <w:rPr>
          <w:rFonts w:ascii="Noto Serif" w:hAnsi="Noto Serif" w:eastAsia="Noto Serif"/>
          <w:sz w:val="18"/>
        </w:rPr>
        <w:t xml:space="preserve">The National Institute on Minority Health and Health Disparities, Fogarty International Center, National Center for Complementary and Integrative Health, AHRQ, and other statutory research entities shall not be abolished without an Act of Congress.</w:t>
      </w:r>
    </w:p>
    <w:p>
      <w:pPr>
        <w:widowControl/>
        <w:numPr>
          <w:ilvl w:val="0"/>
          <w:numId w:val="1090"/>
        </w:numPr>
        <w:spacing w:after="30" w:line="245" w:lineRule="auto"/>
      </w:pPr>
      <w:r>
        <w:rPr>
          <w:rFonts w:ascii="Noto Serif" w:hAnsi="Noto Serif" w:eastAsia="Noto Serif"/>
          <w:sz w:val="18"/>
        </w:rPr>
        <w:t xml:space="preserve">Research priorities may be revised through transparent scientific planning, not ideological exclusion.</w:t>
      </w:r>
    </w:p>
    <w:p>
      <w:pPr>
        <w:widowControl/>
        <w:numPr>
          <w:ilvl w:val="0"/>
          <w:numId w:val="1090"/>
        </w:numPr>
        <w:spacing w:after="30" w:line="245" w:lineRule="auto"/>
      </w:pPr>
      <w:r>
        <w:rPr>
          <w:rFonts w:ascii="Noto Serif" w:hAnsi="Noto Serif" w:eastAsia="Noto Serif"/>
          <w:sz w:val="18"/>
        </w:rPr>
        <w:t xml:space="preserve">Grants shall be evaluated for scientific merit, ethics, safety, reproducibility, public value, and conflicts.</w:t>
      </w:r>
    </w:p>
    <w:bookmarkEnd w:id="225"/>
    <w:bookmarkStart w:id="226" w:name="X352d42d4cfb0b0c3754917bbad3411b271b0243"/>
    <w:p>
      <w:pPr>
        <w:pStyle w:val="Heading2"/>
        <w:keepNext/>
        <w:spacing w:before="160" w:after="60"/>
      </w:pPr>
      <w:r>
        <w:rPr>
          <w:rFonts w:ascii="Inter" w:hAnsi="Inter" w:eastAsia="Inter"/>
          <w:b/>
          <w:color w:val="1F3F5B"/>
          <w:sz w:val="23"/>
        </w:rPr>
        <w:t xml:space="preserve">SEC. 1407. REPRODUCTIVE AND MATERNAL HEALTH.</w:t>
      </w:r>
    </w:p>
    <w:p>
      <w:pPr>
        <w:pStyle w:val="FirstParagraph"/>
        <w:widowControl/>
        <w:spacing w:after="60" w:line="250" w:lineRule="auto"/>
      </w:pPr>
      <w:r>
        <w:rPr>
          <w:rFonts w:ascii="Noto Serif" w:hAnsi="Noto Serif" w:eastAsia="Noto Serif"/>
          <w:sz w:val="19"/>
        </w:rPr>
        <w:t xml:space="preserve">HHS shall restore evidence-based programs for contraception, maternal health, infertility, miscarriage care, pregnancy care, abortion-related health information consistent with Federal law, and protection of health privacy. No program shall coerce a reproductive decision.</w:t>
      </w:r>
    </w:p>
    <w:bookmarkEnd w:id="226"/>
    <w:bookmarkStart w:id="227" w:name="X51c8644b384ed31864b9f378feed1ef026e5965"/>
    <w:p>
      <w:pPr>
        <w:pStyle w:val="Heading2"/>
        <w:keepNext/>
        <w:spacing w:before="160" w:after="60"/>
      </w:pPr>
      <w:r>
        <w:rPr>
          <w:rFonts w:ascii="Inter" w:hAnsi="Inter" w:eastAsia="Inter"/>
          <w:b/>
          <w:color w:val="1F3F5B"/>
          <w:sz w:val="23"/>
        </w:rPr>
        <w:t xml:space="preserve">SEC. 1408. LGBTQ AND SEX-SPECIFIC HEALTH.</w:t>
      </w:r>
    </w:p>
    <w:p>
      <w:pPr>
        <w:pStyle w:val="FirstParagraph"/>
        <w:widowControl/>
        <w:spacing w:after="60" w:line="250" w:lineRule="auto"/>
      </w:pPr>
      <w:r>
        <w:rPr>
          <w:rFonts w:ascii="Noto Serif" w:hAnsi="Noto Serif" w:eastAsia="Noto Serif"/>
          <w:sz w:val="19"/>
        </w:rPr>
        <w:t xml:space="preserve">HHS shall support respectful, evidence-based care and research concerning sexual orientation, gender identity, intersex traits, HIV, mental health, cancer, aging, and violence. Sex-specific research and clinical standards remain permissible where scientifically relevant. Federal policy shall not deny medically necessary care through categorical animus or require unsupported treatment.</w:t>
      </w:r>
    </w:p>
    <w:bookmarkEnd w:id="227"/>
    <w:bookmarkStart w:id="228" w:name="sec.-1409.-vaccines-and-immunization."/>
    <w:p>
      <w:pPr>
        <w:pStyle w:val="Heading2"/>
        <w:keepNext/>
        <w:spacing w:before="160" w:after="60"/>
      </w:pPr>
      <w:r>
        <w:rPr>
          <w:rFonts w:ascii="Inter" w:hAnsi="Inter" w:eastAsia="Inter"/>
          <w:b/>
          <w:color w:val="1F3F5B"/>
          <w:sz w:val="23"/>
        </w:rPr>
        <w:t xml:space="preserve">SEC. 1409. VACCINES AND IMMUNIZATION.</w:t>
      </w:r>
    </w:p>
    <w:p>
      <w:pPr>
        <w:pStyle w:val="FirstParagraph"/>
        <w:widowControl/>
        <w:spacing w:after="60" w:line="250" w:lineRule="auto"/>
      </w:pPr>
      <w:r>
        <w:rPr>
          <w:rFonts w:ascii="Noto Serif" w:hAnsi="Noto Serif" w:eastAsia="Noto Serif"/>
          <w:sz w:val="19"/>
        </w:rPr>
        <w:t xml:space="preserve">Vaccine recommendations shall be made through transparent expert review of safety, effectiveness, disease burden, uncertainty, and public comment. Federal officials shall disclose conflicts and shall not knowingly disseminate materially false safety claims. Injury compensation and post-market surveillance shall be strengthened.</w:t>
      </w:r>
    </w:p>
    <w:bookmarkEnd w:id="228"/>
    <w:bookmarkStart w:id="229" w:name="Xebfedd702bc7fc05eb46d2d832756574eb05bba"/>
    <w:p>
      <w:pPr>
        <w:pStyle w:val="Heading2"/>
        <w:keepNext/>
        <w:spacing w:before="160" w:after="60"/>
      </w:pPr>
      <w:r>
        <w:rPr>
          <w:rFonts w:ascii="Inter" w:hAnsi="Inter" w:eastAsia="Inter"/>
          <w:b/>
          <w:color w:val="1F3F5B"/>
          <w:sz w:val="23"/>
        </w:rPr>
        <w:t xml:space="preserve">SEC. 1410. HARM REDUCTION AND SUBSTANCE USE.</w:t>
      </w:r>
    </w:p>
    <w:p>
      <w:pPr>
        <w:pStyle w:val="FirstParagraph"/>
        <w:widowControl/>
        <w:spacing w:after="60" w:line="250" w:lineRule="auto"/>
      </w:pPr>
      <w:r>
        <w:rPr>
          <w:rFonts w:ascii="Noto Serif" w:hAnsi="Noto Serif" w:eastAsia="Noto Serif"/>
          <w:sz w:val="19"/>
        </w:rPr>
        <w:t xml:space="preserve">SAMHSA and CDC may support evidence-based overdose prevention, naloxone, syringe services, treatment, recovery, infectious-disease prevention, and outreach. Programs shall track outcomes, protect communities from disorder and unsafe waste, and connect participants to treatment and social services.</w:t>
      </w:r>
    </w:p>
    <w:bookmarkEnd w:id="229"/>
    <w:bookmarkStart w:id="230" w:name="sec.-1411.-health-data-and-algorithms."/>
    <w:p>
      <w:pPr>
        <w:pStyle w:val="Heading2"/>
        <w:keepNext/>
        <w:spacing w:before="160" w:after="60"/>
      </w:pPr>
      <w:r>
        <w:rPr>
          <w:rFonts w:ascii="Inter" w:hAnsi="Inter" w:eastAsia="Inter"/>
          <w:b/>
          <w:color w:val="1F3F5B"/>
          <w:sz w:val="23"/>
        </w:rPr>
        <w:t xml:space="preserve">SEC. 1411. HEALTH DATA AND ALGORITHMS.</w:t>
      </w:r>
    </w:p>
    <w:p>
      <w:pPr>
        <w:pStyle w:val="FirstParagraph"/>
        <w:widowControl/>
        <w:spacing w:after="60" w:line="250" w:lineRule="auto"/>
      </w:pPr>
      <w:r>
        <w:rPr>
          <w:rFonts w:ascii="Noto Serif" w:hAnsi="Noto Serif" w:eastAsia="Noto Serif"/>
          <w:sz w:val="19"/>
        </w:rPr>
        <w:t xml:space="preserve">Health agencies and contractors shall comply with Title XII, HIPAA, and specific confidentiality statutes. High-impact clinical or coverage algorithms require validation, bias testing, explanation, appeal, and monitoring for patient harm.</w:t>
      </w:r>
    </w:p>
    <w:bookmarkEnd w:id="230"/>
    <w:bookmarkStart w:id="231" w:name="X30493de2e64c01fe0f8bb858813144eca7c0fdc"/>
    <w:p>
      <w:pPr>
        <w:pStyle w:val="Heading2"/>
        <w:keepNext/>
        <w:spacing w:before="160" w:after="60"/>
      </w:pPr>
      <w:r>
        <w:rPr>
          <w:rFonts w:ascii="Inter" w:hAnsi="Inter" w:eastAsia="Inter"/>
          <w:b/>
          <w:color w:val="1F3F5B"/>
          <w:sz w:val="23"/>
        </w:rPr>
        <w:t xml:space="preserve">SEC. 1412. RURAL, TRIBAL, AND UNDERSERVED HEALTH.</w:t>
      </w:r>
    </w:p>
    <w:p>
      <w:pPr>
        <w:pStyle w:val="FirstParagraph"/>
        <w:widowControl/>
        <w:spacing w:after="60" w:line="250" w:lineRule="auto"/>
      </w:pPr>
      <w:r>
        <w:rPr>
          <w:rFonts w:ascii="Noto Serif" w:hAnsi="Noto Serif" w:eastAsia="Noto Serif"/>
          <w:sz w:val="19"/>
        </w:rPr>
        <w:t xml:space="preserve">The Secretary shall prioritize rural hospitals, community health centers, Tribal health, maternal-care deserts, disability access, language services, behavioral health, and public-health departments with weak tax bases.</w:t>
      </w:r>
    </w:p>
    <w:bookmarkEnd w:id="231"/>
    <w:bookmarkStart w:id="232" w:name="X12ee65a7bb2bddd1386d9f6bea50b29e24be62f"/>
    <w:p>
      <w:pPr>
        <w:pStyle w:val="Heading2"/>
        <w:keepNext/>
        <w:spacing w:before="160" w:after="60"/>
      </w:pPr>
      <w:r>
        <w:rPr>
          <w:rFonts w:ascii="Inter" w:hAnsi="Inter" w:eastAsia="Inter"/>
          <w:b/>
          <w:color w:val="1F3F5B"/>
          <w:sz w:val="23"/>
        </w:rPr>
        <w:t xml:space="preserve">SEC. 1413. GRANT AND CONTRACT RESTORATION.</w:t>
      </w:r>
    </w:p>
    <w:p>
      <w:pPr>
        <w:pStyle w:val="FirstParagraph"/>
        <w:widowControl/>
        <w:spacing w:after="60" w:line="250" w:lineRule="auto"/>
      </w:pPr>
      <w:r>
        <w:rPr>
          <w:rFonts w:ascii="Noto Serif" w:hAnsi="Noto Serif" w:eastAsia="Noto Serif"/>
          <w:sz w:val="19"/>
        </w:rPr>
        <w:t xml:space="preserve">Research and health grants cancelled solely because they addressed climate, structural determinants, minority health, LGBTQ populations, international collaboration, reproductive health, or other disfavored subjects shall be reconsidered under neutral scientific, legal, and programmatic criteria.</w:t>
      </w:r>
    </w:p>
    <w:bookmarkEnd w:id="232"/>
    <w:bookmarkStart w:id="233" w:name="X928b4395b191b80eb3fcb4f5cc9d45f39872954"/>
    <w:p>
      <w:pPr>
        <w:pStyle w:val="Heading2"/>
        <w:keepNext/>
        <w:spacing w:before="160" w:after="60"/>
      </w:pPr>
      <w:r>
        <w:rPr>
          <w:rFonts w:ascii="Inter" w:hAnsi="Inter" w:eastAsia="Inter"/>
          <w:b/>
          <w:color w:val="1F3F5B"/>
          <w:sz w:val="23"/>
        </w:rPr>
        <w:t xml:space="preserve">SEC. 1414. PUBLIC HEALTH INDEPENDENCE REVIEW BOARD.</w:t>
      </w:r>
    </w:p>
    <w:p>
      <w:pPr>
        <w:pStyle w:val="FirstParagraph"/>
        <w:widowControl/>
        <w:spacing w:after="60" w:line="250" w:lineRule="auto"/>
      </w:pPr>
      <w:r>
        <w:rPr>
          <w:rFonts w:ascii="Noto Serif" w:hAnsi="Noto Serif" w:eastAsia="Noto Serif"/>
          <w:sz w:val="19"/>
        </w:rPr>
        <w:t xml:space="preserve">A board of epidemiologists, clinicians, economists, ethicists, State and Tribal officials, patient representatives, civil-liberties experts, and emergency managers shall review major emergency guidance after each declared emergency and recommend reforms. The board does not exercise operational command.</w:t>
      </w:r>
    </w:p>
    <w:bookmarkEnd w:id="233"/>
    <w:bookmarkStart w:id="234" w:name="X0901404a56f8937244477d62921759847c5eafc"/>
    <w:p>
      <w:pPr>
        <w:pStyle w:val="Heading2"/>
        <w:keepNext/>
        <w:spacing w:before="160" w:after="60"/>
      </w:pPr>
      <w:r>
        <w:rPr>
          <w:rFonts w:ascii="Inter" w:hAnsi="Inter" w:eastAsia="Inter"/>
          <w:b/>
          <w:color w:val="1F3F5B"/>
          <w:sz w:val="23"/>
        </w:rPr>
        <w:t xml:space="preserve">SEC. 1415. RELATIONSHIP TO THE AMERICAN HEALTH ACT.</w:t>
      </w:r>
    </w:p>
    <w:p>
      <w:pPr>
        <w:pStyle w:val="FirstParagraph"/>
        <w:widowControl/>
        <w:spacing w:after="60" w:line="250" w:lineRule="auto"/>
      </w:pPr>
      <w:r>
        <w:rPr>
          <w:rFonts w:ascii="Noto Serif" w:hAnsi="Noto Serif" w:eastAsia="Noto Serif"/>
          <w:sz w:val="19"/>
        </w:rPr>
        <w:t xml:space="preserve">This title restores institutions, science, preparedness, and rights. The American Health Act governs comprehensive coverage, delivery, affordability, benefits, and long-term health-system design.</w:t>
      </w:r>
    </w:p>
    <w:bookmarkEnd w:id="234"/>
    <w:bookmarkEnd w:id="235"/>
    <w:bookmarkStart w:id="251" w:name="X69d5473a84fc25a5212d66b3c10588c137a4751"/>
    <w:p>
      <w:pPr>
        <w:pStyle w:val="Heading1"/>
        <w:keepNext/>
        <w:pageBreakBefore/>
        <w:spacing w:before="0" w:after="180"/>
        <w:pBdr>
          <w:bottom w:val="single" w:sz="8" w:space="4" w:color="9EB0BF"/>
        </w:pBdr>
      </w:pPr>
      <w:r>
        <w:rPr>
          <w:rFonts w:ascii="Inter" w:hAnsi="Inter" w:eastAsia="Inter"/>
          <w:b/>
          <w:color w:val="142D48"/>
          <w:sz w:val="34"/>
        </w:rPr>
        <w:t xml:space="preserve">TITLE XV - WORKERS, CONSUMERS, HOUSING, AND FAIR ECONOMIC ADMINISTRATION</w:t>
      </w:r>
    </w:p>
    <w:bookmarkStart w:id="236" w:name="Xded23cdbd60ef3e27e014184f45373e37bd6c83"/>
    <w:p>
      <w:pPr>
        <w:pStyle w:val="Heading2"/>
        <w:keepNext/>
        <w:spacing w:before="160" w:after="60"/>
      </w:pPr>
      <w:r>
        <w:rPr>
          <w:rFonts w:ascii="Inter" w:hAnsi="Inter" w:eastAsia="Inter"/>
          <w:b/>
          <w:color w:val="1F3F5B"/>
          <w:sz w:val="23"/>
        </w:rPr>
        <w:t xml:space="preserve">SEC. 1501. DEPARTMENT OF LABOR ENFORCEMENT.</w:t>
      </w:r>
    </w:p>
    <w:p>
      <w:pPr>
        <w:pStyle w:val="FirstParagraph"/>
        <w:widowControl/>
        <w:spacing w:after="60" w:line="250" w:lineRule="auto"/>
      </w:pPr>
      <w:r>
        <w:rPr>
          <w:rFonts w:ascii="Noto Serif" w:hAnsi="Noto Serif" w:eastAsia="Noto Serif"/>
          <w:sz w:val="19"/>
        </w:rPr>
        <w:t xml:space="preserve">The Department of Labor shall restore Wage and Hour, OSHA, OFCCP, Employee Benefits Security Administration, mine-safety, worker-training, unemployment, and statistical capacity. Enforcement priorities shall be based on risk, statutory mandate, complaints, vulnerable workers, and repeat violations.</w:t>
      </w:r>
    </w:p>
    <w:bookmarkEnd w:id="236"/>
    <w:bookmarkStart w:id="237" w:name="X6207a00a0f13c5e68e72dd532d8eca036253e37"/>
    <w:p>
      <w:pPr>
        <w:pStyle w:val="Heading2"/>
        <w:keepNext/>
        <w:spacing w:before="160" w:after="60"/>
      </w:pPr>
      <w:r>
        <w:rPr>
          <w:rFonts w:ascii="Inter" w:hAnsi="Inter" w:eastAsia="Inter"/>
          <w:b/>
          <w:color w:val="1F3F5B"/>
          <w:sz w:val="23"/>
        </w:rPr>
        <w:t xml:space="preserve">SEC. 1502. NATIONAL LABOR RELATIONS BOARD.</w:t>
      </w:r>
    </w:p>
    <w:p>
      <w:pPr>
        <w:pStyle w:val="FirstParagraph"/>
        <w:widowControl/>
        <w:spacing w:after="60" w:line="250" w:lineRule="auto"/>
      </w:pPr>
      <w:r>
        <w:rPr>
          <w:rFonts w:ascii="Noto Serif" w:hAnsi="Noto Serif" w:eastAsia="Noto Serif"/>
          <w:sz w:val="19"/>
        </w:rPr>
        <w:t xml:space="preserve">The NLRB shall exercise its statutory functions independently. Removal, case assignment, rulemaking, and prosecution shall comply with the National Labor Relations Act, due process, and constitutional requirements. Political officials may not direct outcomes in specific representation or unfair-labor-practice cases.</w:t>
      </w:r>
    </w:p>
    <w:bookmarkEnd w:id="237"/>
    <w:bookmarkStart w:id="238" w:name="sec.-1503.-overtime-and-classification."/>
    <w:p>
      <w:pPr>
        <w:pStyle w:val="Heading2"/>
        <w:keepNext/>
        <w:spacing w:before="160" w:after="60"/>
      </w:pPr>
      <w:r>
        <w:rPr>
          <w:rFonts w:ascii="Inter" w:hAnsi="Inter" w:eastAsia="Inter"/>
          <w:b/>
          <w:color w:val="1F3F5B"/>
          <w:sz w:val="23"/>
        </w:rPr>
        <w:t xml:space="preserve">SEC. 1503. OVERTIME AND CLASSIFICATION.</w:t>
      </w:r>
    </w:p>
    <w:p>
      <w:pPr>
        <w:pStyle w:val="FirstParagraph"/>
        <w:widowControl/>
        <w:spacing w:after="60" w:line="250" w:lineRule="auto"/>
      </w:pPr>
      <w:r>
        <w:rPr>
          <w:rFonts w:ascii="Noto Serif" w:hAnsi="Noto Serif" w:eastAsia="Noto Serif"/>
          <w:sz w:val="19"/>
        </w:rPr>
        <w:t xml:space="preserve">The Secretary of Labor shall maintain an inflation-adjusted salary threshold and duties tests protecting employees who lack genuine executive, administrative, or professional authority. Independent-contractor rules shall consider economic dependence, control, investment, permanence, opportunity for profit or loss, and integration, with sector-specific clarity.</w:t>
      </w:r>
    </w:p>
    <w:bookmarkEnd w:id="238"/>
    <w:bookmarkStart w:id="239" w:name="sec.-1504.-workplace-safety."/>
    <w:p>
      <w:pPr>
        <w:pStyle w:val="Heading2"/>
        <w:keepNext/>
        <w:spacing w:before="160" w:after="60"/>
      </w:pPr>
      <w:r>
        <w:rPr>
          <w:rFonts w:ascii="Inter" w:hAnsi="Inter" w:eastAsia="Inter"/>
          <w:b/>
          <w:color w:val="1F3F5B"/>
          <w:sz w:val="23"/>
        </w:rPr>
        <w:t xml:space="preserve">SEC. 1504. WORKPLACE SAFETY.</w:t>
      </w:r>
    </w:p>
    <w:p>
      <w:pPr>
        <w:pStyle w:val="FirstParagraph"/>
        <w:widowControl/>
        <w:spacing w:after="60" w:line="250" w:lineRule="auto"/>
      </w:pPr>
      <w:r>
        <w:rPr>
          <w:rFonts w:ascii="Noto Serif" w:hAnsi="Noto Serif" w:eastAsia="Noto Serif"/>
          <w:sz w:val="19"/>
        </w:rPr>
        <w:t xml:space="preserve">OSHA shall update standards for heat, infectious disease, silica, chemical exposure, ergonomic risk, workplace violence in high-risk sectors, and emergency response. Standards shall be evidence-based, feasible, and accompanied by small-employer assistance.</w:t>
      </w:r>
    </w:p>
    <w:bookmarkEnd w:id="239"/>
    <w:bookmarkStart w:id="240" w:name="sec.-1505.-wage-theft-and-retaliation."/>
    <w:p>
      <w:pPr>
        <w:pStyle w:val="Heading2"/>
        <w:keepNext/>
        <w:spacing w:before="160" w:after="60"/>
      </w:pPr>
      <w:r>
        <w:rPr>
          <w:rFonts w:ascii="Inter" w:hAnsi="Inter" w:eastAsia="Inter"/>
          <w:b/>
          <w:color w:val="1F3F5B"/>
          <w:sz w:val="23"/>
        </w:rPr>
        <w:t xml:space="preserve">SEC. 1505. WAGE THEFT AND RETALIATION.</w:t>
      </w:r>
    </w:p>
    <w:p>
      <w:pPr>
        <w:pStyle w:val="FirstParagraph"/>
        <w:widowControl/>
        <w:spacing w:after="60" w:line="250" w:lineRule="auto"/>
      </w:pPr>
      <w:r>
        <w:rPr>
          <w:rFonts w:ascii="Noto Serif" w:hAnsi="Noto Serif" w:eastAsia="Noto Serif"/>
          <w:sz w:val="19"/>
        </w:rPr>
        <w:t xml:space="preserve">Knowing nonpayment of wages, falsification of payroll, coercive misclassification, or retaliation may result in back pay, liquidated damages, civil penalties, debarment for repeat offenders, and criminal referral where existing law applies. Good-faith disputes receive ordinary civil process.</w:t>
      </w:r>
    </w:p>
    <w:bookmarkEnd w:id="240"/>
    <w:bookmarkStart w:id="241" w:name="X57308546947b1c31f4ba2e225079a4436469c98"/>
    <w:p>
      <w:pPr>
        <w:pStyle w:val="Heading2"/>
        <w:keepNext/>
        <w:spacing w:before="160" w:after="60"/>
      </w:pPr>
      <w:r>
        <w:rPr>
          <w:rFonts w:ascii="Inter" w:hAnsi="Inter" w:eastAsia="Inter"/>
          <w:b/>
          <w:color w:val="1F3F5B"/>
          <w:sz w:val="23"/>
        </w:rPr>
        <w:t xml:space="preserve">SEC. 1506. CONSUMER FINANCIAL PROTECTION BUREAU.</w:t>
      </w:r>
    </w:p>
    <w:p>
      <w:pPr>
        <w:widowControl/>
        <w:numPr>
          <w:ilvl w:val="0"/>
          <w:numId w:val="1091"/>
        </w:numPr>
        <w:spacing w:after="30" w:line="245" w:lineRule="auto"/>
      </w:pPr>
      <w:r>
        <w:rPr>
          <w:rFonts w:ascii="Noto Serif" w:hAnsi="Noto Serif" w:eastAsia="Noto Serif"/>
          <w:sz w:val="18"/>
        </w:rPr>
        <w:t xml:space="preserve">CFPB shall maintain supervision and enforcement sufficient to protect consumers in mortgages, credit cards, auto finance, student loans, payments, remittances, debt collection, credit reporting, earned-wage products, and emerging financial technology.</w:t>
      </w:r>
    </w:p>
    <w:p>
      <w:pPr>
        <w:widowControl/>
        <w:numPr>
          <w:ilvl w:val="0"/>
          <w:numId w:val="1091"/>
        </w:numPr>
        <w:spacing w:after="30" w:line="245" w:lineRule="auto"/>
      </w:pPr>
      <w:r>
        <w:rPr>
          <w:rFonts w:ascii="Noto Serif" w:hAnsi="Noto Serif" w:eastAsia="Noto Serif"/>
          <w:sz w:val="18"/>
        </w:rPr>
        <w:t xml:space="preserve">Supervisory scope shall be risk-based and shall not categorically exclude large market segments because of policy preference.</w:t>
      </w:r>
    </w:p>
    <w:p>
      <w:pPr>
        <w:widowControl/>
        <w:numPr>
          <w:ilvl w:val="0"/>
          <w:numId w:val="1091"/>
        </w:numPr>
        <w:spacing w:after="30" w:line="245" w:lineRule="auto"/>
      </w:pPr>
      <w:r>
        <w:rPr>
          <w:rFonts w:ascii="Noto Serif" w:hAnsi="Noto Serif" w:eastAsia="Noto Serif"/>
          <w:sz w:val="18"/>
        </w:rPr>
        <w:t xml:space="preserve">Enforcement policies may prioritize harm but may not announce blanket nonenforcement of a statute without reasoned explanation.</w:t>
      </w:r>
    </w:p>
    <w:bookmarkEnd w:id="241"/>
    <w:bookmarkStart w:id="242" w:name="X7b92ecb4a73c30317129221f15be37cb27c98c2"/>
    <w:p>
      <w:pPr>
        <w:pStyle w:val="Heading2"/>
        <w:keepNext/>
        <w:spacing w:before="160" w:after="60"/>
      </w:pPr>
      <w:r>
        <w:rPr>
          <w:rFonts w:ascii="Inter" w:hAnsi="Inter" w:eastAsia="Inter"/>
          <w:b/>
          <w:color w:val="1F3F5B"/>
          <w:sz w:val="23"/>
        </w:rPr>
        <w:t xml:space="preserve">SEC. 1507. FEDERAL TRADE COMMISSION AND ANTITRUST.</w:t>
      </w:r>
    </w:p>
    <w:p>
      <w:pPr>
        <w:pStyle w:val="FirstParagraph"/>
        <w:widowControl/>
        <w:spacing w:after="60" w:line="250" w:lineRule="auto"/>
      </w:pPr>
      <w:r>
        <w:rPr>
          <w:rFonts w:ascii="Noto Serif" w:hAnsi="Noto Serif" w:eastAsia="Noto Serif"/>
          <w:sz w:val="19"/>
        </w:rPr>
        <w:t xml:space="preserve">FTC and the Antitrust Division shall restore consumer-protection, privacy, competition, merger, fraud, subscription, junk-fee, dark-pattern, and monopolization capacity. Enforcement shall be evidence-based, economically rigorous, procedurally fair, and independent of political retaliation.</w:t>
      </w:r>
    </w:p>
    <w:bookmarkEnd w:id="242"/>
    <w:bookmarkStart w:id="243" w:name="Xeef7ef5094a064611ef2c4f1330fd3757e7c787"/>
    <w:p>
      <w:pPr>
        <w:pStyle w:val="Heading2"/>
        <w:keepNext/>
        <w:spacing w:before="160" w:after="60"/>
      </w:pPr>
      <w:r>
        <w:rPr>
          <w:rFonts w:ascii="Inter" w:hAnsi="Inter" w:eastAsia="Inter"/>
          <w:b/>
          <w:color w:val="1F3F5B"/>
          <w:sz w:val="23"/>
        </w:rPr>
        <w:t xml:space="preserve">SEC. 1508. BUY NOW, PAY LATER AND EMERGING CREDIT.</w:t>
      </w:r>
    </w:p>
    <w:p>
      <w:pPr>
        <w:pStyle w:val="FirstParagraph"/>
        <w:widowControl/>
        <w:spacing w:after="60" w:line="250" w:lineRule="auto"/>
      </w:pPr>
      <w:r>
        <w:rPr>
          <w:rFonts w:ascii="Noto Serif" w:hAnsi="Noto Serif" w:eastAsia="Noto Serif"/>
          <w:sz w:val="19"/>
        </w:rPr>
        <w:t xml:space="preserve">CFPB shall issue rules establishing clear disclosures, dispute rights, refund coordination, error resolution, credit-reporting standards, ability-to-repay safeguards proportionate to risk, and protection against repeated fee cycling for buy-now-pay-later and functionally equivalent products.</w:t>
      </w:r>
    </w:p>
    <w:bookmarkEnd w:id="243"/>
    <w:bookmarkStart w:id="244" w:name="Xa4d5ff9a94c6d760fc880a0ef8e798f650e9f99"/>
    <w:p>
      <w:pPr>
        <w:pStyle w:val="Heading2"/>
        <w:keepNext/>
        <w:spacing w:before="160" w:after="60"/>
      </w:pPr>
      <w:r>
        <w:rPr>
          <w:rFonts w:ascii="Inter" w:hAnsi="Inter" w:eastAsia="Inter"/>
          <w:b/>
          <w:color w:val="1F3F5B"/>
          <w:sz w:val="23"/>
        </w:rPr>
        <w:t xml:space="preserve">SEC. 1509. HOUSING AND COMMUNITY DEVELOPMENT RESTORATION.</w:t>
      </w:r>
    </w:p>
    <w:p>
      <w:pPr>
        <w:pStyle w:val="FirstParagraph"/>
        <w:widowControl/>
        <w:spacing w:after="60" w:line="250" w:lineRule="auto"/>
      </w:pPr>
      <w:r>
        <w:rPr>
          <w:rFonts w:ascii="Noto Serif" w:hAnsi="Noto Serif" w:eastAsia="Noto Serif"/>
          <w:sz w:val="19"/>
        </w:rPr>
        <w:t xml:space="preserve">HUD shall restore rental assistance, public housing, housing for elderly and disabled persons, fair housing, homelessness programs, CDBG, HOME, Native American and Native Hawaiian housing, lead hazard control, and community development, subject to performance reform and fraud controls.</w:t>
      </w:r>
    </w:p>
    <w:bookmarkEnd w:id="244"/>
    <w:bookmarkStart w:id="245" w:name="sec.-1510.-rental-assistance-continuity."/>
    <w:p>
      <w:pPr>
        <w:pStyle w:val="Heading2"/>
        <w:keepNext/>
        <w:spacing w:before="160" w:after="60"/>
      </w:pPr>
      <w:r>
        <w:rPr>
          <w:rFonts w:ascii="Inter" w:hAnsi="Inter" w:eastAsia="Inter"/>
          <w:b/>
          <w:color w:val="1F3F5B"/>
          <w:sz w:val="23"/>
        </w:rPr>
        <w:t xml:space="preserve">SEC. 1510. RENTAL-ASSISTANCE CONTINUITY.</w:t>
      </w:r>
    </w:p>
    <w:p>
      <w:pPr>
        <w:pStyle w:val="FirstParagraph"/>
        <w:widowControl/>
        <w:spacing w:after="60" w:line="250" w:lineRule="auto"/>
      </w:pPr>
      <w:r>
        <w:rPr>
          <w:rFonts w:ascii="Noto Serif" w:hAnsi="Noto Serif" w:eastAsia="Noto Serif"/>
          <w:sz w:val="19"/>
        </w:rPr>
        <w:t xml:space="preserve">No Federal two-year lifetime cap shall apply to rental assistance. Work-support initiatives may be offered, but loss of housing shall not be used as a punitive work requirement. Assistance shall prioritize severe rent burden, disability, age, children, survivors, veterans, and homelessness risk.</w:t>
      </w:r>
    </w:p>
    <w:bookmarkEnd w:id="245"/>
    <w:bookmarkStart w:id="246" w:name="Xd50ab9159d812c09fdc5dd65e47b2c4e5e308fb"/>
    <w:p>
      <w:pPr>
        <w:pStyle w:val="Heading2"/>
        <w:keepNext/>
        <w:spacing w:before="160" w:after="60"/>
      </w:pPr>
      <w:r>
        <w:rPr>
          <w:rFonts w:ascii="Inter" w:hAnsi="Inter" w:eastAsia="Inter"/>
          <w:b/>
          <w:color w:val="1F3F5B"/>
          <w:sz w:val="23"/>
        </w:rPr>
        <w:t xml:space="preserve">SEC. 1511. JOB CORPS AND SENIOR EMPLOYMENT.</w:t>
      </w:r>
    </w:p>
    <w:p>
      <w:pPr>
        <w:pStyle w:val="FirstParagraph"/>
        <w:widowControl/>
        <w:spacing w:after="60" w:line="250" w:lineRule="auto"/>
      </w:pPr>
      <w:r>
        <w:rPr>
          <w:rFonts w:ascii="Noto Serif" w:hAnsi="Noto Serif" w:eastAsia="Noto Serif"/>
          <w:sz w:val="19"/>
        </w:rPr>
        <w:t xml:space="preserve">Job Corps and the Senior Community Service Employment Program are restored with safety, performance, placement, wage, cost, and independent-evaluation reforms. Persistently failing operators may be replaced through orderly transition without abandoning participants.</w:t>
      </w:r>
    </w:p>
    <w:bookmarkEnd w:id="246"/>
    <w:bookmarkStart w:id="247" w:name="Xeee01cd132f7137f47c8dc96964e25a2514c9d3"/>
    <w:p>
      <w:pPr>
        <w:pStyle w:val="Heading2"/>
        <w:keepNext/>
        <w:spacing w:before="160" w:after="60"/>
      </w:pPr>
      <w:r>
        <w:rPr>
          <w:rFonts w:ascii="Inter" w:hAnsi="Inter" w:eastAsia="Inter"/>
          <w:b/>
          <w:color w:val="1F3F5B"/>
          <w:sz w:val="23"/>
        </w:rPr>
        <w:t xml:space="preserve">SEC. 1512. ECONOMIC DEVELOPMENT ADMINISTRATION.</w:t>
      </w:r>
    </w:p>
    <w:p>
      <w:pPr>
        <w:pStyle w:val="FirstParagraph"/>
        <w:widowControl/>
        <w:spacing w:after="60" w:line="250" w:lineRule="auto"/>
      </w:pPr>
      <w:r>
        <w:rPr>
          <w:rFonts w:ascii="Noto Serif" w:hAnsi="Noto Serif" w:eastAsia="Noto Serif"/>
          <w:sz w:val="19"/>
        </w:rPr>
        <w:t xml:space="preserve">EDA is reaffirmed and shall support distressed communities, infrastructure, innovation, disaster recovery, manufacturing, business formation, and regional planning. Grants require measurable outcomes, conflict controls, maintenance plans, and protection against political favoritism.</w:t>
      </w:r>
    </w:p>
    <w:bookmarkEnd w:id="247"/>
    <w:bookmarkStart w:id="248" w:name="Xccc33dd095bbebec5241a950d5a54fe66068c27"/>
    <w:p>
      <w:pPr>
        <w:pStyle w:val="Heading2"/>
        <w:keepNext/>
        <w:spacing w:before="160" w:after="60"/>
      </w:pPr>
      <w:r>
        <w:rPr>
          <w:rFonts w:ascii="Inter" w:hAnsi="Inter" w:eastAsia="Inter"/>
          <w:b/>
          <w:color w:val="1F3F5B"/>
          <w:sz w:val="23"/>
        </w:rPr>
        <w:t xml:space="preserve">SEC. 1513. GRANT TERMINATION AND RELIANCE.</w:t>
      </w:r>
    </w:p>
    <w:p>
      <w:pPr>
        <w:pStyle w:val="FirstParagraph"/>
        <w:widowControl/>
        <w:spacing w:after="60" w:line="250" w:lineRule="auto"/>
      </w:pPr>
      <w:r>
        <w:rPr>
          <w:rFonts w:ascii="Noto Serif" w:hAnsi="Noto Serif" w:eastAsia="Noto Serif"/>
          <w:sz w:val="19"/>
        </w:rPr>
        <w:t xml:space="preserve">A Federal economic, labor, housing, or community grant may be terminated only for statutory expiration, material breach, fraud, nonperformance, lack of funds, or a documented programmatic necessity consistent with the authorizing law. Agencies shall consider reliance costs, partial performance, orderly closeout, and continuation of essential services.</w:t>
      </w:r>
    </w:p>
    <w:bookmarkEnd w:id="248"/>
    <w:bookmarkStart w:id="249" w:name="sec.-1514.-financial-and-market-data."/>
    <w:p>
      <w:pPr>
        <w:pStyle w:val="Heading2"/>
        <w:keepNext/>
        <w:spacing w:before="160" w:after="60"/>
      </w:pPr>
      <w:r>
        <w:rPr>
          <w:rFonts w:ascii="Inter" w:hAnsi="Inter" w:eastAsia="Inter"/>
          <w:b/>
          <w:color w:val="1F3F5B"/>
          <w:sz w:val="23"/>
        </w:rPr>
        <w:t xml:space="preserve">SEC. 1514. FINANCIAL AND MARKET DATA.</w:t>
      </w:r>
    </w:p>
    <w:p>
      <w:pPr>
        <w:pStyle w:val="FirstParagraph"/>
        <w:widowControl/>
        <w:spacing w:after="60" w:line="250" w:lineRule="auto"/>
      </w:pPr>
      <w:r>
        <w:rPr>
          <w:rFonts w:ascii="Noto Serif" w:hAnsi="Noto Serif" w:eastAsia="Noto Serif"/>
          <w:sz w:val="19"/>
        </w:rPr>
        <w:t xml:space="preserve">Agencies shall restore accurate, timely, independent data on employment, wages, prices, housing, business formation, inequality, credit, consumer complaints, and market concentration. Methodological changes require professional review and transparent back-series treatment.</w:t>
      </w:r>
    </w:p>
    <w:bookmarkEnd w:id="249"/>
    <w:bookmarkStart w:id="250" w:name="X7b94a6655ea25c508c9f3bf6d9bc2d9e988c50b"/>
    <w:p>
      <w:pPr>
        <w:pStyle w:val="Heading2"/>
        <w:keepNext/>
        <w:spacing w:before="160" w:after="60"/>
      </w:pPr>
      <w:r>
        <w:rPr>
          <w:rFonts w:ascii="Inter" w:hAnsi="Inter" w:eastAsia="Inter"/>
          <w:b/>
          <w:color w:val="1F3F5B"/>
          <w:sz w:val="23"/>
        </w:rPr>
        <w:t xml:space="preserve">SEC. 1515. RELATIONSHIP TO COMPANION ECONOMIC ACTS.</w:t>
      </w:r>
    </w:p>
    <w:p>
      <w:pPr>
        <w:pStyle w:val="FirstParagraph"/>
        <w:widowControl/>
        <w:spacing w:after="60" w:line="250" w:lineRule="auto"/>
      </w:pPr>
      <w:r>
        <w:rPr>
          <w:rFonts w:ascii="Noto Serif" w:hAnsi="Noto Serif" w:eastAsia="Noto Serif"/>
          <w:sz w:val="19"/>
        </w:rPr>
        <w:t xml:space="preserve">The American Dignity Act, Homes for America Act, BANKING Act, PRICING Act, and other specialized measures govern benefit levels, housing-system redesign, banking structure, and price regulation where more specific.</w:t>
      </w:r>
    </w:p>
    <w:bookmarkEnd w:id="250"/>
    <w:bookmarkEnd w:id="251"/>
    <w:bookmarkStart w:id="262" w:name="X0ee929391fb3704fc354f92763d3bf7bb37564f"/>
    <w:p>
      <w:pPr>
        <w:pStyle w:val="Heading1"/>
        <w:keepNext/>
        <w:pageBreakBefore/>
        <w:spacing w:before="0" w:after="180"/>
        <w:pBdr>
          <w:bottom w:val="single" w:sz="8" w:space="4" w:color="9EB0BF"/>
        </w:pBdr>
      </w:pPr>
      <w:r>
        <w:rPr>
          <w:rFonts w:ascii="Inter" w:hAnsi="Inter" w:eastAsia="Inter"/>
          <w:b/>
          <w:color w:val="142D48"/>
          <w:sz w:val="34"/>
        </w:rPr>
        <w:t xml:space="preserve">TITLE XVI - TRADE, TARIFFS, AND ECONOMIC EMERGENCY POWERS</w:t>
      </w:r>
    </w:p>
    <w:bookmarkStart w:id="252" w:name="X803aea32ad8c7cf397d6afc56c5bd50c2c00cab"/>
    <w:p>
      <w:pPr>
        <w:pStyle w:val="Heading2"/>
        <w:keepNext/>
        <w:spacing w:before="160" w:after="60"/>
      </w:pPr>
      <w:r>
        <w:rPr>
          <w:rFonts w:ascii="Inter" w:hAnsi="Inter" w:eastAsia="Inter"/>
          <w:b/>
          <w:color w:val="1F3F5B"/>
          <w:sz w:val="23"/>
        </w:rPr>
        <w:t xml:space="preserve">SEC. 1601. NO GENERAL TARIFF AUTHORITY UNDER IEEPA.</w:t>
      </w:r>
    </w:p>
    <w:p>
      <w:pPr>
        <w:pStyle w:val="FirstParagraph"/>
        <w:widowControl/>
        <w:spacing w:after="60" w:line="250" w:lineRule="auto"/>
      </w:pPr>
      <w:r>
        <w:rPr>
          <w:rFonts w:ascii="Noto Serif" w:hAnsi="Noto Serif" w:eastAsia="Noto Serif"/>
          <w:sz w:val="19"/>
        </w:rPr>
        <w:t xml:space="preserve">The International Emergency Economic Powers Act does not authorize the President to impose a general customs duty, tariff, surcharge, quota, or equivalent import tax. Such measures require authority under the trade laws or another statute that expressly refers to tariffs or customs duties.</w:t>
      </w:r>
    </w:p>
    <w:bookmarkEnd w:id="252"/>
    <w:bookmarkStart w:id="253" w:name="X1d2d3c78e9d5a3fd146422ad65ea54df07178ce"/>
    <w:p>
      <w:pPr>
        <w:pStyle w:val="Heading2"/>
        <w:keepNext/>
        <w:spacing w:before="160" w:after="60"/>
      </w:pPr>
      <w:r>
        <w:rPr>
          <w:rFonts w:ascii="Inter" w:hAnsi="Inter" w:eastAsia="Inter"/>
          <w:b/>
          <w:color w:val="1F3F5B"/>
          <w:sz w:val="23"/>
        </w:rPr>
        <w:t xml:space="preserve">SEC. 1602. REVIEW AND REFUND OF UNLAWFUL EMERGENCY TARIFFS.</w:t>
      </w:r>
    </w:p>
    <w:p>
      <w:pPr>
        <w:widowControl/>
        <w:numPr>
          <w:ilvl w:val="0"/>
          <w:numId w:val="1092"/>
        </w:numPr>
        <w:spacing w:after="30" w:line="245" w:lineRule="auto"/>
      </w:pPr>
      <w:r>
        <w:rPr>
          <w:rFonts w:ascii="Noto Serif" w:hAnsi="Noto Serif" w:eastAsia="Noto Serif"/>
          <w:sz w:val="18"/>
        </w:rPr>
        <w:t xml:space="preserve">Customs and Border Protection and Treasury shall identify duties collected under an authority that a final court judgment or this Act determines did not authorize the levy.</w:t>
      </w:r>
    </w:p>
    <w:p>
      <w:pPr>
        <w:widowControl/>
        <w:numPr>
          <w:ilvl w:val="0"/>
          <w:numId w:val="1092"/>
        </w:numPr>
        <w:spacing w:after="30" w:line="245" w:lineRule="auto"/>
      </w:pPr>
      <w:r>
        <w:rPr>
          <w:rFonts w:ascii="Noto Serif" w:hAnsi="Noto Serif" w:eastAsia="Noto Serif"/>
          <w:sz w:val="18"/>
        </w:rPr>
        <w:t xml:space="preserve">Importers of record shall receive an administratively efficient refund, with interest as provided by law, subject to audit, drawback coordination, anti-duplication, and protection against fraudulent claims.</w:t>
      </w:r>
    </w:p>
    <w:p>
      <w:pPr>
        <w:widowControl/>
        <w:numPr>
          <w:ilvl w:val="0"/>
          <w:numId w:val="1092"/>
        </w:numPr>
        <w:spacing w:after="30" w:line="245" w:lineRule="auto"/>
      </w:pPr>
      <w:r>
        <w:rPr>
          <w:rFonts w:ascii="Noto Serif" w:hAnsi="Noto Serif" w:eastAsia="Noto Serif"/>
          <w:sz w:val="18"/>
        </w:rPr>
        <w:t xml:space="preserve">Congress may establish a separate consumer or small-business relief mechanism where economic incidence materially differed from the importer of record.</w:t>
      </w:r>
    </w:p>
    <w:bookmarkEnd w:id="253"/>
    <w:bookmarkStart w:id="254" w:name="sec.-1603.-trade-action-procedures."/>
    <w:p>
      <w:pPr>
        <w:pStyle w:val="Heading2"/>
        <w:keepNext/>
        <w:spacing w:before="160" w:after="60"/>
      </w:pPr>
      <w:r>
        <w:rPr>
          <w:rFonts w:ascii="Inter" w:hAnsi="Inter" w:eastAsia="Inter"/>
          <w:b/>
          <w:color w:val="1F3F5B"/>
          <w:sz w:val="23"/>
        </w:rPr>
        <w:t xml:space="preserve">SEC. 1603. TRADE-ACTION PROCEDURES.</w:t>
      </w:r>
    </w:p>
    <w:p>
      <w:pPr>
        <w:pStyle w:val="FirstParagraph"/>
        <w:widowControl/>
        <w:spacing w:after="60" w:line="250" w:lineRule="auto"/>
      </w:pPr>
      <w:r>
        <w:rPr>
          <w:rFonts w:ascii="Noto Serif" w:hAnsi="Noto Serif" w:eastAsia="Noto Serif"/>
          <w:sz w:val="19"/>
        </w:rPr>
        <w:t xml:space="preserve">Before a tariff or quota affecting more than $25,000,000,000 in annual imports takes effect, the responsible agency shall publish:</w:t>
      </w:r>
    </w:p>
    <w:p>
      <w:pPr>
        <w:pStyle w:val="Compact"/>
        <w:widowControl/>
        <w:numPr>
          <w:ilvl w:val="0"/>
          <w:numId w:val="1093"/>
        </w:numPr>
        <w:spacing w:after="30" w:line="245" w:lineRule="auto"/>
      </w:pPr>
      <w:r>
        <w:rPr>
          <w:rFonts w:ascii="Noto Serif" w:hAnsi="Noto Serif" w:eastAsia="Noto Serif"/>
          <w:sz w:val="18"/>
        </w:rPr>
        <w:t xml:space="preserve">statutory authority and objective;</w:t>
      </w:r>
    </w:p>
    <w:p>
      <w:pPr>
        <w:pStyle w:val="Compact"/>
        <w:widowControl/>
        <w:numPr>
          <w:ilvl w:val="0"/>
          <w:numId w:val="1093"/>
        </w:numPr>
        <w:spacing w:after="30" w:line="245" w:lineRule="auto"/>
      </w:pPr>
      <w:r>
        <w:rPr>
          <w:rFonts w:ascii="Noto Serif" w:hAnsi="Noto Serif" w:eastAsia="Noto Serif"/>
          <w:sz w:val="18"/>
        </w:rPr>
        <w:t xml:space="preserve">covered goods and countries;</w:t>
      </w:r>
    </w:p>
    <w:p>
      <w:pPr>
        <w:pStyle w:val="Compact"/>
        <w:widowControl/>
        <w:numPr>
          <w:ilvl w:val="0"/>
          <w:numId w:val="1093"/>
        </w:numPr>
        <w:spacing w:after="30" w:line="245" w:lineRule="auto"/>
      </w:pPr>
      <w:r>
        <w:rPr>
          <w:rFonts w:ascii="Noto Serif" w:hAnsi="Noto Serif" w:eastAsia="Noto Serif"/>
          <w:sz w:val="18"/>
        </w:rPr>
        <w:t xml:space="preserve">evidence of the unfair trade practice, security risk, or safeguard need;</w:t>
      </w:r>
    </w:p>
    <w:p>
      <w:pPr>
        <w:pStyle w:val="Compact"/>
        <w:widowControl/>
        <w:numPr>
          <w:ilvl w:val="0"/>
          <w:numId w:val="1093"/>
        </w:numPr>
        <w:spacing w:after="30" w:line="245" w:lineRule="auto"/>
      </w:pPr>
      <w:r>
        <w:rPr>
          <w:rFonts w:ascii="Noto Serif" w:hAnsi="Noto Serif" w:eastAsia="Noto Serif"/>
          <w:sz w:val="18"/>
        </w:rPr>
        <w:t xml:space="preserve">expected effects on prices, employment, investment, agriculture, manufacturing, consumers, allies, retaliation, and supply chains;</w:t>
      </w:r>
    </w:p>
    <w:p>
      <w:pPr>
        <w:pStyle w:val="Compact"/>
        <w:widowControl/>
        <w:numPr>
          <w:ilvl w:val="0"/>
          <w:numId w:val="1093"/>
        </w:numPr>
        <w:spacing w:after="30" w:line="245" w:lineRule="auto"/>
      </w:pPr>
      <w:r>
        <w:rPr>
          <w:rFonts w:ascii="Noto Serif" w:hAnsi="Noto Serif" w:eastAsia="Noto Serif"/>
          <w:sz w:val="18"/>
        </w:rPr>
        <w:t xml:space="preserve">alternatives;</w:t>
      </w:r>
    </w:p>
    <w:p>
      <w:pPr>
        <w:pStyle w:val="Compact"/>
        <w:widowControl/>
        <w:numPr>
          <w:ilvl w:val="0"/>
          <w:numId w:val="1093"/>
        </w:numPr>
        <w:spacing w:after="30" w:line="245" w:lineRule="auto"/>
      </w:pPr>
      <w:r>
        <w:rPr>
          <w:rFonts w:ascii="Noto Serif" w:hAnsi="Noto Serif" w:eastAsia="Noto Serif"/>
          <w:sz w:val="18"/>
        </w:rPr>
        <w:t xml:space="preserve">duration and exit criteria; and</w:t>
      </w:r>
    </w:p>
    <w:p>
      <w:pPr>
        <w:pStyle w:val="Compact"/>
        <w:widowControl/>
        <w:numPr>
          <w:ilvl w:val="0"/>
          <w:numId w:val="1093"/>
        </w:numPr>
        <w:spacing w:after="30" w:line="245" w:lineRule="auto"/>
      </w:pPr>
      <w:r>
        <w:rPr>
          <w:rFonts w:ascii="Noto Serif" w:hAnsi="Noto Serif" w:eastAsia="Noto Serif"/>
          <w:sz w:val="18"/>
        </w:rPr>
        <w:t xml:space="preserve">exclusion and hardship procedures.</w:t>
      </w:r>
    </w:p>
    <w:p>
      <w:pPr>
        <w:pStyle w:val="FirstParagraph"/>
        <w:widowControl/>
        <w:spacing w:after="60" w:line="250" w:lineRule="auto"/>
      </w:pPr>
      <w:r>
        <w:rPr>
          <w:rFonts w:ascii="Noto Serif" w:hAnsi="Noto Serif" w:eastAsia="Noto Serif"/>
          <w:sz w:val="19"/>
        </w:rPr>
        <w:t xml:space="preserve">An urgent measure may take effect for 60 days, after which ordinary procedures apply.</w:t>
      </w:r>
    </w:p>
    <w:bookmarkEnd w:id="254"/>
    <w:bookmarkStart w:id="255" w:name="Xbb5c8a3d0723d8632368da936763f9715aef819"/>
    <w:p>
      <w:pPr>
        <w:pStyle w:val="Heading2"/>
        <w:keepNext/>
        <w:spacing w:before="160" w:after="60"/>
      </w:pPr>
      <w:r>
        <w:rPr>
          <w:rFonts w:ascii="Inter" w:hAnsi="Inter" w:eastAsia="Inter"/>
          <w:b/>
          <w:color w:val="1F3F5B"/>
          <w:sz w:val="23"/>
        </w:rPr>
        <w:t xml:space="preserve">SEC. 1604. CONGRESSIONAL APPROVAL OF BROAD TRADE MEASURES.</w:t>
      </w:r>
    </w:p>
    <w:p>
      <w:pPr>
        <w:pStyle w:val="FirstParagraph"/>
        <w:widowControl/>
        <w:spacing w:after="60" w:line="250" w:lineRule="auto"/>
      </w:pPr>
      <w:r>
        <w:rPr>
          <w:rFonts w:ascii="Noto Serif" w:hAnsi="Noto Serif" w:eastAsia="Noto Serif"/>
          <w:sz w:val="19"/>
        </w:rPr>
        <w:t xml:space="preserve">A tariff or quota expected to affect more than 25 percent of United States goods imports, or to remain in effect beyond one year, expires unless approved by joint resolution. Product-specific antidumping, countervailing-duty, safeguard, and national-security actions under existing trade statutes remain governed by those statutes.</w:t>
      </w:r>
    </w:p>
    <w:bookmarkEnd w:id="255"/>
    <w:bookmarkStart w:id="256" w:name="Xd73643bda0c45c617eb98c3c90b7be457b10258"/>
    <w:p>
      <w:pPr>
        <w:pStyle w:val="Heading2"/>
        <w:keepNext/>
        <w:spacing w:before="160" w:after="60"/>
      </w:pPr>
      <w:r>
        <w:rPr>
          <w:rFonts w:ascii="Inter" w:hAnsi="Inter" w:eastAsia="Inter"/>
          <w:b/>
          <w:color w:val="1F3F5B"/>
          <w:sz w:val="23"/>
        </w:rPr>
        <w:t xml:space="preserve">SEC. 1605. NATIONAL-SECURITY TRADE ACTIONS.</w:t>
      </w:r>
    </w:p>
    <w:p>
      <w:pPr>
        <w:pStyle w:val="FirstParagraph"/>
        <w:widowControl/>
        <w:spacing w:after="60" w:line="250" w:lineRule="auto"/>
      </w:pPr>
      <w:r>
        <w:rPr>
          <w:rFonts w:ascii="Noto Serif" w:hAnsi="Noto Serif" w:eastAsia="Noto Serif"/>
          <w:sz w:val="19"/>
        </w:rPr>
        <w:t xml:space="preserve">A national-security trade action shall identify the defense or critical-infrastructure risk, distinguish allies and adversaries where appropriate, evaluate domestic production capacity, and avoid unnecessary downstream harm. The Department of Defense shall provide an independent assessment for actions justified principally by defense needs.</w:t>
      </w:r>
    </w:p>
    <w:bookmarkEnd w:id="256"/>
    <w:bookmarkStart w:id="257" w:name="Xa1e27a1b93842208231c58af9d6966482c44b55"/>
    <w:p>
      <w:pPr>
        <w:pStyle w:val="Heading2"/>
        <w:keepNext/>
        <w:spacing w:before="160" w:after="60"/>
      </w:pPr>
      <w:r>
        <w:rPr>
          <w:rFonts w:ascii="Inter" w:hAnsi="Inter" w:eastAsia="Inter"/>
          <w:b/>
          <w:color w:val="1F3F5B"/>
          <w:sz w:val="23"/>
        </w:rPr>
        <w:t xml:space="preserve">SEC. 1606. EXCLUSIONS AND SMALL-BUSINESS RELIEF.</w:t>
      </w:r>
    </w:p>
    <w:p>
      <w:pPr>
        <w:pStyle w:val="FirstParagraph"/>
        <w:widowControl/>
        <w:spacing w:after="60" w:line="250" w:lineRule="auto"/>
      </w:pPr>
      <w:r>
        <w:rPr>
          <w:rFonts w:ascii="Noto Serif" w:hAnsi="Noto Serif" w:eastAsia="Noto Serif"/>
          <w:sz w:val="19"/>
        </w:rPr>
        <w:t xml:space="preserve">The Government shall operate transparent, timely, reviewable product-exclusion procedures considering domestic availability, supply-chain dependence, medical and humanitarian need, small-business hardship, and evasion risk. Decisions and meetings with interested parties shall be disclosed under the Transparent Government Act.</w:t>
      </w:r>
    </w:p>
    <w:bookmarkEnd w:id="257"/>
    <w:bookmarkStart w:id="258" w:name="X92aae4da661b810eae3154d18230b06319f34e7"/>
    <w:p>
      <w:pPr>
        <w:pStyle w:val="Heading2"/>
        <w:keepNext/>
        <w:spacing w:before="160" w:after="60"/>
      </w:pPr>
      <w:r>
        <w:rPr>
          <w:rFonts w:ascii="Inter" w:hAnsi="Inter" w:eastAsia="Inter"/>
          <w:b/>
          <w:color w:val="1F3F5B"/>
          <w:sz w:val="23"/>
        </w:rPr>
        <w:t xml:space="preserve">SEC. 1607. RETALIATION AND AGRICULTURAL SUPPORT.</w:t>
      </w:r>
    </w:p>
    <w:p>
      <w:pPr>
        <w:pStyle w:val="FirstParagraph"/>
        <w:widowControl/>
        <w:spacing w:after="60" w:line="250" w:lineRule="auto"/>
      </w:pPr>
      <w:r>
        <w:rPr>
          <w:rFonts w:ascii="Noto Serif" w:hAnsi="Noto Serif" w:eastAsia="Noto Serif"/>
          <w:sz w:val="19"/>
        </w:rPr>
        <w:t xml:space="preserve">Where lawful trade retaliation causes concentrated harm to farmers, workers, or small businesses, assistance shall be targeted, temporary, transparent, and financed through appropriations rather than undisclosed tariff proceeds. Assistance may not favor political supporters.</w:t>
      </w:r>
    </w:p>
    <w:bookmarkEnd w:id="258"/>
    <w:bookmarkStart w:id="259" w:name="sec.-1608.-supply-chain-resilience."/>
    <w:p>
      <w:pPr>
        <w:pStyle w:val="Heading2"/>
        <w:keepNext/>
        <w:spacing w:before="160" w:after="60"/>
      </w:pPr>
      <w:r>
        <w:rPr>
          <w:rFonts w:ascii="Inter" w:hAnsi="Inter" w:eastAsia="Inter"/>
          <w:b/>
          <w:color w:val="1F3F5B"/>
          <w:sz w:val="23"/>
        </w:rPr>
        <w:t xml:space="preserve">SEC. 1608. SUPPLY-CHAIN RESILIENCE.</w:t>
      </w:r>
    </w:p>
    <w:p>
      <w:pPr>
        <w:pStyle w:val="FirstParagraph"/>
        <w:widowControl/>
        <w:spacing w:after="60" w:line="250" w:lineRule="auto"/>
      </w:pPr>
      <w:r>
        <w:rPr>
          <w:rFonts w:ascii="Noto Serif" w:hAnsi="Noto Serif" w:eastAsia="Noto Serif"/>
          <w:sz w:val="19"/>
        </w:rPr>
        <w:t xml:space="preserve">Commerce, Treasury, Energy, Defense, Agriculture, HHS, and Transportation shall maintain risk maps and investment plans for semiconductors, medicines, food, grid equipment, critical minerals, communications, water systems, and other essential supply chains, using diversification, allies, recycling, strategic reserves, domestic manufacturing, and demand management.</w:t>
      </w:r>
    </w:p>
    <w:bookmarkEnd w:id="259"/>
    <w:bookmarkStart w:id="260" w:name="Xd38f0c7af69c7ff134d51f4ebff89d72468ac3c"/>
    <w:p>
      <w:pPr>
        <w:pStyle w:val="Heading2"/>
        <w:keepNext/>
        <w:spacing w:before="160" w:after="60"/>
      </w:pPr>
      <w:r>
        <w:rPr>
          <w:rFonts w:ascii="Inter" w:hAnsi="Inter" w:eastAsia="Inter"/>
          <w:b/>
          <w:color w:val="1F3F5B"/>
          <w:sz w:val="23"/>
        </w:rPr>
        <w:t xml:space="preserve">SEC. 1609. SANCTIONS AND HUMANITARIAN EXCEPTIONS.</w:t>
      </w:r>
    </w:p>
    <w:p>
      <w:pPr>
        <w:pStyle w:val="FirstParagraph"/>
        <w:widowControl/>
        <w:spacing w:after="60" w:line="250" w:lineRule="auto"/>
      </w:pPr>
      <w:r>
        <w:rPr>
          <w:rFonts w:ascii="Noto Serif" w:hAnsi="Noto Serif" w:eastAsia="Noto Serif"/>
          <w:sz w:val="19"/>
        </w:rPr>
        <w:t xml:space="preserve">Economic sanctions shall include clear humanitarian, medical, food, remittance, journalism, internet-freedom, and civil-society exceptions, together with licensing deadlines and anti-evasion controls. Sanctions shall be reviewed for effectiveness and unintended civilian harm.</w:t>
      </w:r>
    </w:p>
    <w:bookmarkEnd w:id="260"/>
    <w:bookmarkStart w:id="261" w:name="sec.-1610.-judicial-review."/>
    <w:p>
      <w:pPr>
        <w:pStyle w:val="Heading2"/>
        <w:keepNext/>
        <w:spacing w:before="160" w:after="60"/>
      </w:pPr>
      <w:r>
        <w:rPr>
          <w:rFonts w:ascii="Inter" w:hAnsi="Inter" w:eastAsia="Inter"/>
          <w:b/>
          <w:color w:val="1F3F5B"/>
          <w:sz w:val="23"/>
        </w:rPr>
        <w:t xml:space="preserve">SEC. 1610. JUDICIAL REVIEW.</w:t>
      </w:r>
    </w:p>
    <w:p>
      <w:pPr>
        <w:pStyle w:val="FirstParagraph"/>
        <w:widowControl/>
        <w:spacing w:after="60" w:line="250" w:lineRule="auto"/>
      </w:pPr>
      <w:r>
        <w:rPr>
          <w:rFonts w:ascii="Noto Serif" w:hAnsi="Noto Serif" w:eastAsia="Noto Serif"/>
          <w:sz w:val="19"/>
        </w:rPr>
        <w:t xml:space="preserve">A person adversely affected by a trade measure may obtain review of statutory authority, procedure, classification, exclusion, and constitutional claims in the court designated by law. National-security evidence may be protected through appropriate procedures, but a conclusory invocation of national security is not unreviewable.</w:t>
      </w:r>
    </w:p>
    <w:bookmarkEnd w:id="261"/>
    <w:bookmarkEnd w:id="262"/>
    <w:bookmarkStart w:id="279" w:name="Xb449572e3ddc3fa9c3ad94faabab587b9dff54e"/>
    <w:p>
      <w:pPr>
        <w:pStyle w:val="Heading1"/>
        <w:keepNext/>
        <w:pageBreakBefore/>
        <w:spacing w:before="0" w:after="180"/>
        <w:pBdr>
          <w:bottom w:val="single" w:sz="8" w:space="4" w:color="9EB0BF"/>
        </w:pBdr>
      </w:pPr>
      <w:r>
        <w:rPr>
          <w:rFonts w:ascii="Inter" w:hAnsi="Inter" w:eastAsia="Inter"/>
          <w:b/>
          <w:color w:val="142D48"/>
          <w:sz w:val="34"/>
        </w:rPr>
        <w:t xml:space="preserve">TITLE XVII - USAID, HUMANITARIAN LEADERSHIP, GLOBAL HEALTH, AND SOFT POWER</w:t>
      </w:r>
    </w:p>
    <w:bookmarkStart w:id="263" w:name="X2e5fd97a282557a88b5a13ba76f5cd4153653d3"/>
    <w:p>
      <w:pPr>
        <w:pStyle w:val="Heading2"/>
        <w:keepNext/>
        <w:spacing w:before="160" w:after="60"/>
      </w:pPr>
      <w:r>
        <w:rPr>
          <w:rFonts w:ascii="Inter" w:hAnsi="Inter" w:eastAsia="Inter"/>
          <w:b/>
          <w:color w:val="1F3F5B"/>
          <w:sz w:val="23"/>
        </w:rPr>
        <w:t xml:space="preserve">SEC. 1701. UNITED STATES AGENCY FOR INTERNATIONAL DEVELOPMENT.</w:t>
      </w:r>
    </w:p>
    <w:p>
      <w:pPr>
        <w:widowControl/>
        <w:numPr>
          <w:ilvl w:val="0"/>
          <w:numId w:val="1094"/>
        </w:numPr>
        <w:spacing w:after="30" w:line="245" w:lineRule="auto"/>
      </w:pPr>
      <w:r>
        <w:rPr>
          <w:rFonts w:ascii="Noto Serif" w:hAnsi="Noto Serif" w:eastAsia="Noto Serif"/>
          <w:sz w:val="18"/>
        </w:rPr>
        <w:t xml:space="preserve">USAID is reaffirmed as an independent establishment in the executive branch responsible for international development, humanitarian assistance, disaster response, global health, food security, democratic governance, economic growth, education, water and sanitation, climate resilience, and related functions assigned by law.</w:t>
      </w:r>
    </w:p>
    <w:p>
      <w:pPr>
        <w:widowControl/>
        <w:numPr>
          <w:ilvl w:val="0"/>
          <w:numId w:val="1094"/>
        </w:numPr>
        <w:spacing w:after="30" w:line="245" w:lineRule="auto"/>
      </w:pPr>
      <w:r>
        <w:rPr>
          <w:rFonts w:ascii="Noto Serif" w:hAnsi="Noto Serif" w:eastAsia="Noto Serif"/>
          <w:sz w:val="18"/>
        </w:rPr>
        <w:t xml:space="preserve">USAID may not be abolished, reduced to a shell, or transferred in substantial part without an Act of Congress.</w:t>
      </w:r>
    </w:p>
    <w:p>
      <w:pPr>
        <w:widowControl/>
        <w:numPr>
          <w:ilvl w:val="0"/>
          <w:numId w:val="1094"/>
        </w:numPr>
        <w:spacing w:after="30" w:line="245" w:lineRule="auto"/>
      </w:pPr>
      <w:r>
        <w:rPr>
          <w:rFonts w:ascii="Noto Serif" w:hAnsi="Noto Serif" w:eastAsia="Noto Serif"/>
          <w:sz w:val="18"/>
        </w:rPr>
        <w:t xml:space="preserve">The Administrator shall report to and receive foreign-policy guidance from the President and Secretary of State while retaining operational, procurement, program, and professional independence established by law.</w:t>
      </w:r>
    </w:p>
    <w:bookmarkEnd w:id="263"/>
    <w:bookmarkStart w:id="264" w:name="sec.-1702.-administrator-and-leadership."/>
    <w:p>
      <w:pPr>
        <w:pStyle w:val="Heading2"/>
        <w:keepNext/>
        <w:spacing w:before="160" w:after="60"/>
      </w:pPr>
      <w:r>
        <w:rPr>
          <w:rFonts w:ascii="Inter" w:hAnsi="Inter" w:eastAsia="Inter"/>
          <w:b/>
          <w:color w:val="1F3F5B"/>
          <w:sz w:val="23"/>
        </w:rPr>
        <w:t xml:space="preserve">SEC. 1702. ADMINISTRATOR AND LEADERSHIP.</w:t>
      </w:r>
    </w:p>
    <w:p>
      <w:pPr>
        <w:pStyle w:val="FirstParagraph"/>
        <w:widowControl/>
        <w:spacing w:after="60" w:line="250" w:lineRule="auto"/>
      </w:pPr>
      <w:r>
        <w:rPr>
          <w:rFonts w:ascii="Noto Serif" w:hAnsi="Noto Serif" w:eastAsia="Noto Serif"/>
          <w:sz w:val="19"/>
        </w:rPr>
        <w:t xml:space="preserve">The Administrator shall be appointed by the President, by and with the advice and consent of the Senate. The Administrator shall have demonstrated experience in development, humanitarian response, diplomacy, public administration, global health, economics, or related fields. Key technical bureaus shall be led by qualified professionals.</w:t>
      </w:r>
    </w:p>
    <w:bookmarkEnd w:id="264"/>
    <w:bookmarkStart w:id="265" w:name="X8ea23b7532a684288d466bc1219708ab318d84a"/>
    <w:p>
      <w:pPr>
        <w:pStyle w:val="Heading2"/>
        <w:keepNext/>
        <w:spacing w:before="160" w:after="60"/>
      </w:pPr>
      <w:r>
        <w:rPr>
          <w:rFonts w:ascii="Inter" w:hAnsi="Inter" w:eastAsia="Inter"/>
          <w:b/>
          <w:color w:val="1F3F5B"/>
          <w:sz w:val="23"/>
        </w:rPr>
        <w:t xml:space="preserve">SEC. 1703. RESTORATION OF PERSONNEL AND MISSIONS.</w:t>
      </w:r>
    </w:p>
    <w:p>
      <w:pPr>
        <w:widowControl/>
        <w:numPr>
          <w:ilvl w:val="0"/>
          <w:numId w:val="1095"/>
        </w:numPr>
        <w:spacing w:after="30" w:line="245" w:lineRule="auto"/>
      </w:pPr>
      <w:r>
        <w:rPr>
          <w:rFonts w:ascii="Noto Serif" w:hAnsi="Noto Serif" w:eastAsia="Noto Serif"/>
          <w:sz w:val="18"/>
        </w:rPr>
        <w:t xml:space="preserve">USAID shall restore a worldwide career workforce, Foreign Service, civil service, locally employed staff, surge rosters, inspectors, contracting officers, humanitarian specialists, and technical experts sufficient to administer this title.</w:t>
      </w:r>
    </w:p>
    <w:p>
      <w:pPr>
        <w:widowControl/>
        <w:numPr>
          <w:ilvl w:val="0"/>
          <w:numId w:val="1095"/>
        </w:numPr>
        <w:spacing w:after="30" w:line="245" w:lineRule="auto"/>
      </w:pPr>
      <w:r>
        <w:rPr>
          <w:rFonts w:ascii="Noto Serif" w:hAnsi="Noto Serif" w:eastAsia="Noto Serif"/>
          <w:sz w:val="18"/>
        </w:rPr>
        <w:t xml:space="preserve">Personnel unlawfully or improperly separated, placed on leave, recalled, or denied assignment through a covered rollback action shall receive restoration review, priority reemployment, and appropriate relief.</w:t>
      </w:r>
    </w:p>
    <w:p>
      <w:pPr>
        <w:widowControl/>
        <w:numPr>
          <w:ilvl w:val="0"/>
          <w:numId w:val="1095"/>
        </w:numPr>
        <w:spacing w:after="30" w:line="245" w:lineRule="auto"/>
      </w:pPr>
      <w:r>
        <w:rPr>
          <w:rFonts w:ascii="Noto Serif" w:hAnsi="Noto Serif" w:eastAsia="Noto Serif"/>
          <w:sz w:val="18"/>
        </w:rPr>
        <w:t xml:space="preserve">Missions closed or reduced without adequate review shall be assessed for reopening based on need, security, strategic value, partner capacity, and cost.</w:t>
      </w:r>
    </w:p>
    <w:bookmarkEnd w:id="265"/>
    <w:bookmarkStart w:id="266" w:name="X50efbbddc966f1b38a0b077cf3cf90a89016058"/>
    <w:p>
      <w:pPr>
        <w:pStyle w:val="Heading2"/>
        <w:keepNext/>
        <w:spacing w:before="160" w:after="60"/>
      </w:pPr>
      <w:r>
        <w:rPr>
          <w:rFonts w:ascii="Inter" w:hAnsi="Inter" w:eastAsia="Inter"/>
          <w:b/>
          <w:color w:val="1F3F5B"/>
          <w:sz w:val="23"/>
        </w:rPr>
        <w:t xml:space="preserve">SEC. 1704. CONTINUITY OF FOREIGN ASSISTANCE.</w:t>
      </w:r>
    </w:p>
    <w:p>
      <w:pPr>
        <w:widowControl/>
        <w:numPr>
          <w:ilvl w:val="0"/>
          <w:numId w:val="1096"/>
        </w:numPr>
        <w:spacing w:after="30" w:line="245" w:lineRule="auto"/>
      </w:pPr>
      <w:r>
        <w:rPr>
          <w:rFonts w:ascii="Noto Serif" w:hAnsi="Noto Serif" w:eastAsia="Noto Serif"/>
          <w:sz w:val="18"/>
        </w:rPr>
        <w:t xml:space="preserve">A blanket pause of foreign assistance is prohibited unless Congress expressly authorizes it.</w:t>
      </w:r>
    </w:p>
    <w:p>
      <w:pPr>
        <w:widowControl/>
        <w:numPr>
          <w:ilvl w:val="0"/>
          <w:numId w:val="1096"/>
        </w:numPr>
        <w:spacing w:after="30" w:line="245" w:lineRule="auto"/>
      </w:pPr>
      <w:r>
        <w:rPr>
          <w:rFonts w:ascii="Noto Serif" w:hAnsi="Noto Serif" w:eastAsia="Noto Serif"/>
          <w:sz w:val="18"/>
        </w:rPr>
        <w:t xml:space="preserve">A program may be suspended for illegality, fraud, diversion, security risk, material nonperformance, changed conditions, or conflict with a statutory foreign-policy objective, but the agency shall provide written reasons, humanitarian exceptions, reliance analysis, and an orderly transition.</w:t>
      </w:r>
    </w:p>
    <w:p>
      <w:pPr>
        <w:widowControl/>
        <w:numPr>
          <w:ilvl w:val="0"/>
          <w:numId w:val="1096"/>
        </w:numPr>
        <w:spacing w:after="30" w:line="245" w:lineRule="auto"/>
      </w:pPr>
      <w:r>
        <w:rPr>
          <w:rFonts w:ascii="Noto Serif" w:hAnsi="Noto Serif" w:eastAsia="Noto Serif"/>
          <w:sz w:val="18"/>
        </w:rPr>
        <w:t xml:space="preserve">Lifesaving food, water, shelter, disease treatment, maternal and child health, refugee support, and disaster response shall not be interrupted absent an imminent security or diversion risk that cannot be mitigated.</w:t>
      </w:r>
    </w:p>
    <w:bookmarkEnd w:id="266"/>
    <w:bookmarkStart w:id="267" w:name="X55f5164828158921d9d87887d3e9069f08da0f3"/>
    <w:p>
      <w:pPr>
        <w:pStyle w:val="Heading2"/>
        <w:keepNext/>
        <w:spacing w:before="160" w:after="60"/>
      </w:pPr>
      <w:r>
        <w:rPr>
          <w:rFonts w:ascii="Inter" w:hAnsi="Inter" w:eastAsia="Inter"/>
          <w:b/>
          <w:color w:val="1F3F5B"/>
          <w:sz w:val="23"/>
        </w:rPr>
        <w:t xml:space="preserve">SEC. 1705. INTERNATIONAL DEVELOPMENT AND HUMANITARIAN APPROPRIATIONS.</w:t>
      </w:r>
    </w:p>
    <w:p>
      <w:pPr>
        <w:widowControl/>
        <w:numPr>
          <w:ilvl w:val="0"/>
          <w:numId w:val="1097"/>
        </w:numPr>
        <w:spacing w:after="30" w:line="245" w:lineRule="auto"/>
      </w:pPr>
      <w:r>
        <w:rPr>
          <w:rFonts w:ascii="Noto Serif" w:hAnsi="Noto Serif" w:eastAsia="Noto Serif"/>
          <w:sz w:val="18"/>
        </w:rPr>
        <w:t xml:space="preserve">There is authorized to be appropriated to USAID and related State Department accounts $72,000,000,000 for fiscal year 2027, increased by 3 percent annually through fiscal year 2036, in addition to emergency supplemental appropriations.</w:t>
      </w:r>
    </w:p>
    <w:p>
      <w:pPr>
        <w:widowControl/>
        <w:numPr>
          <w:ilvl w:val="0"/>
          <w:numId w:val="1097"/>
        </w:numPr>
        <w:spacing w:after="30" w:line="245" w:lineRule="auto"/>
      </w:pPr>
      <w:r>
        <w:rPr>
          <w:rFonts w:ascii="Noto Serif" w:hAnsi="Noto Serif" w:eastAsia="Noto Serif"/>
          <w:sz w:val="18"/>
        </w:rPr>
        <w:t xml:space="preserve">It is the policy of the United States to progress toward official development assistance equal to 0.30 percent of gross national income by fiscal year 2032, subject to annual appropriations and absorptive capacity.</w:t>
      </w:r>
    </w:p>
    <w:p>
      <w:pPr>
        <w:widowControl/>
        <w:numPr>
          <w:ilvl w:val="0"/>
          <w:numId w:val="1097"/>
        </w:numPr>
        <w:spacing w:after="30" w:line="245" w:lineRule="auto"/>
      </w:pPr>
      <w:r>
        <w:rPr>
          <w:rFonts w:ascii="Noto Serif" w:hAnsi="Noto Serif" w:eastAsia="Noto Serif"/>
          <w:sz w:val="18"/>
        </w:rPr>
        <w:t xml:space="preserve">Not less than 12 percent of annual development and humanitarian assistance shall be reserved for sudden-onset emergencies, famine prevention, displacement, and flexible contingency response.</w:t>
      </w:r>
    </w:p>
    <w:bookmarkEnd w:id="267"/>
    <w:bookmarkStart w:id="268" w:name="X9b103905a1bc7756cec538e760e57302b4137a0"/>
    <w:p>
      <w:pPr>
        <w:pStyle w:val="Heading2"/>
        <w:keepNext/>
        <w:spacing w:before="160" w:after="60"/>
      </w:pPr>
      <w:r>
        <w:rPr>
          <w:rFonts w:ascii="Inter" w:hAnsi="Inter" w:eastAsia="Inter"/>
          <w:b/>
          <w:color w:val="1F3F5B"/>
          <w:sz w:val="23"/>
        </w:rPr>
        <w:t xml:space="preserve">SEC. 1706. GLOBAL HEALTH AND PANDEMIC PREVENTION.</w:t>
      </w:r>
    </w:p>
    <w:p>
      <w:pPr>
        <w:pStyle w:val="FirstParagraph"/>
        <w:widowControl/>
        <w:spacing w:after="60" w:line="250" w:lineRule="auto"/>
      </w:pPr>
      <w:r>
        <w:rPr>
          <w:rFonts w:ascii="Noto Serif" w:hAnsi="Noto Serif" w:eastAsia="Noto Serif"/>
          <w:sz w:val="19"/>
        </w:rPr>
        <w:t xml:space="preserve">USAID, HHS, State, and implementing partners shall restore and expand programs addressing HIV/AIDS, malaria, tuberculosis, maternal and child health, nutrition, neglected tropical diseases, vaccination, water and sanitation, antimicrobial resistance, and outbreak prevention, with strong monitoring, local laboratories, transparent procurement, and anti-corruption controls.</w:t>
      </w:r>
    </w:p>
    <w:bookmarkEnd w:id="268"/>
    <w:bookmarkStart w:id="269" w:name="Xb87eff32a383d96cbbe6d285e345e04e6a83a04"/>
    <w:p>
      <w:pPr>
        <w:pStyle w:val="Heading2"/>
        <w:keepNext/>
        <w:spacing w:before="160" w:after="60"/>
      </w:pPr>
      <w:r>
        <w:rPr>
          <w:rFonts w:ascii="Inter" w:hAnsi="Inter" w:eastAsia="Inter"/>
          <w:b/>
          <w:color w:val="1F3F5B"/>
          <w:sz w:val="23"/>
        </w:rPr>
        <w:t xml:space="preserve">SEC. 1707. FOOD SECURITY AND FAMINE PREVENTION.</w:t>
      </w:r>
    </w:p>
    <w:p>
      <w:pPr>
        <w:pStyle w:val="FirstParagraph"/>
        <w:widowControl/>
        <w:spacing w:after="60" w:line="250" w:lineRule="auto"/>
      </w:pPr>
      <w:r>
        <w:rPr>
          <w:rFonts w:ascii="Noto Serif" w:hAnsi="Noto Serif" w:eastAsia="Noto Serif"/>
          <w:sz w:val="19"/>
        </w:rPr>
        <w:t xml:space="preserve">The United States shall maintain early-warning systems, flexible food procurement, cash and voucher assistance where appropriate, agricultural resilience, school feeding, nutrition treatment, and diplomatic engagement to prevent deliberate obstruction of humanitarian aid.</w:t>
      </w:r>
    </w:p>
    <w:bookmarkEnd w:id="269"/>
    <w:bookmarkStart w:id="270" w:name="X51284edf033b40361e480118cea8d46085282b5"/>
    <w:p>
      <w:pPr>
        <w:pStyle w:val="Heading2"/>
        <w:keepNext/>
        <w:spacing w:before="160" w:after="60"/>
      </w:pPr>
      <w:r>
        <w:rPr>
          <w:rFonts w:ascii="Inter" w:hAnsi="Inter" w:eastAsia="Inter"/>
          <w:b/>
          <w:color w:val="1F3F5B"/>
          <w:sz w:val="23"/>
        </w:rPr>
        <w:t xml:space="preserve">SEC. 1708. DEMOCRACY, HUMAN RIGHTS, AND INDEPENDENT MEDIA.</w:t>
      </w:r>
    </w:p>
    <w:p>
      <w:pPr>
        <w:pStyle w:val="FirstParagraph"/>
        <w:widowControl/>
        <w:spacing w:after="60" w:line="250" w:lineRule="auto"/>
      </w:pPr>
      <w:r>
        <w:rPr>
          <w:rFonts w:ascii="Noto Serif" w:hAnsi="Noto Serif" w:eastAsia="Noto Serif"/>
          <w:sz w:val="19"/>
        </w:rPr>
        <w:t xml:space="preserve">USAID and State may support election administration, civic participation, rule of law, anti-corruption, independent media, labor rights, women’s rights, disability rights, LGBTQ human rights, religious freedom, and protection of activists, provided programs are transparent, locally informed, nonviolent, and do not covertly support a political party or candidate.</w:t>
      </w:r>
    </w:p>
    <w:bookmarkEnd w:id="270"/>
    <w:bookmarkStart w:id="271" w:name="Xa7324defcd89dd9049fd633139a11eb92a848e1"/>
    <w:p>
      <w:pPr>
        <w:pStyle w:val="Heading2"/>
        <w:keepNext/>
        <w:spacing w:before="160" w:after="60"/>
      </w:pPr>
      <w:r>
        <w:rPr>
          <w:rFonts w:ascii="Inter" w:hAnsi="Inter" w:eastAsia="Inter"/>
          <w:b/>
          <w:color w:val="1F3F5B"/>
          <w:sz w:val="23"/>
        </w:rPr>
        <w:t xml:space="preserve">SEC. 1709. CLIMATE, ENERGY, AND RESILIENCE ABROAD.</w:t>
      </w:r>
    </w:p>
    <w:p>
      <w:pPr>
        <w:pStyle w:val="FirstParagraph"/>
        <w:widowControl/>
        <w:spacing w:after="60" w:line="250" w:lineRule="auto"/>
      </w:pPr>
      <w:r>
        <w:rPr>
          <w:rFonts w:ascii="Noto Serif" w:hAnsi="Noto Serif" w:eastAsia="Noto Serif"/>
          <w:sz w:val="19"/>
        </w:rPr>
        <w:t xml:space="preserve">Development programs may support clean energy, climate adaptation, sustainable agriculture, disaster resilience, biodiversity, methane reduction, water security, and just-transition strategies where consistent with host-country priorities and United States interests.</w:t>
      </w:r>
    </w:p>
    <w:bookmarkEnd w:id="271"/>
    <w:bookmarkStart w:id="272" w:name="X841d344b5288fc4dd7b31f6edb2fb9c7b344499"/>
    <w:p>
      <w:pPr>
        <w:pStyle w:val="Heading2"/>
        <w:keepNext/>
        <w:spacing w:before="160" w:after="60"/>
      </w:pPr>
      <w:r>
        <w:rPr>
          <w:rFonts w:ascii="Inter" w:hAnsi="Inter" w:eastAsia="Inter"/>
          <w:b/>
          <w:color w:val="1F3F5B"/>
          <w:sz w:val="23"/>
        </w:rPr>
        <w:t xml:space="preserve">SEC. 1710. LOCALIZATION AND PARTNER DIVERSITY.</w:t>
      </w:r>
    </w:p>
    <w:p>
      <w:pPr>
        <w:widowControl/>
        <w:numPr>
          <w:ilvl w:val="0"/>
          <w:numId w:val="1098"/>
        </w:numPr>
        <w:spacing w:after="30" w:line="245" w:lineRule="auto"/>
      </w:pPr>
      <w:r>
        <w:rPr>
          <w:rFonts w:ascii="Noto Serif" w:hAnsi="Noto Serif" w:eastAsia="Noto Serif"/>
          <w:sz w:val="18"/>
        </w:rPr>
        <w:t xml:space="preserve">USAID shall increase direct funding to qualified local organizations, municipal entities, cooperatives, universities, and businesses while preserving fiduciary controls.</w:t>
      </w:r>
    </w:p>
    <w:p>
      <w:pPr>
        <w:widowControl/>
        <w:numPr>
          <w:ilvl w:val="0"/>
          <w:numId w:val="1098"/>
        </w:numPr>
        <w:spacing w:after="30" w:line="245" w:lineRule="auto"/>
      </w:pPr>
      <w:r>
        <w:rPr>
          <w:rFonts w:ascii="Noto Serif" w:hAnsi="Noto Serif" w:eastAsia="Noto Serif"/>
          <w:sz w:val="18"/>
        </w:rPr>
        <w:t xml:space="preserve">At least 30 percent of program funds should be managed through local partners by fiscal year 2032, where capacity and risk permit.</w:t>
      </w:r>
    </w:p>
    <w:p>
      <w:pPr>
        <w:widowControl/>
        <w:numPr>
          <w:ilvl w:val="0"/>
          <w:numId w:val="1098"/>
        </w:numPr>
        <w:spacing w:after="30" w:line="245" w:lineRule="auto"/>
      </w:pPr>
      <w:r>
        <w:rPr>
          <w:rFonts w:ascii="Noto Serif" w:hAnsi="Noto Serif" w:eastAsia="Noto Serif"/>
          <w:sz w:val="18"/>
        </w:rPr>
        <w:t xml:space="preserve">Large contractors shall disclose indirect cost, executive compensation, subcontracting, local procurement, and performance.</w:t>
      </w:r>
    </w:p>
    <w:bookmarkEnd w:id="272"/>
    <w:bookmarkStart w:id="273" w:name="X5c4a6c98767e53fa9ede25f8e86dfbb3721121e"/>
    <w:p>
      <w:pPr>
        <w:pStyle w:val="Heading2"/>
        <w:keepNext/>
        <w:spacing w:before="160" w:after="60"/>
      </w:pPr>
      <w:r>
        <w:rPr>
          <w:rFonts w:ascii="Inter" w:hAnsi="Inter" w:eastAsia="Inter"/>
          <w:b/>
          <w:color w:val="1F3F5B"/>
          <w:sz w:val="23"/>
        </w:rPr>
        <w:t xml:space="preserve">SEC. 1711. HUMANITARIAN NEUTRALITY AND NONDISCRIMINATION.</w:t>
      </w:r>
    </w:p>
    <w:p>
      <w:pPr>
        <w:pStyle w:val="FirstParagraph"/>
        <w:widowControl/>
        <w:spacing w:after="60" w:line="250" w:lineRule="auto"/>
      </w:pPr>
      <w:r>
        <w:rPr>
          <w:rFonts w:ascii="Noto Serif" w:hAnsi="Noto Serif" w:eastAsia="Noto Serif"/>
          <w:sz w:val="19"/>
        </w:rPr>
        <w:t xml:space="preserve">Assistance shall be based on need and delivered without discrimination based on race, ethnicity, nationality, religion, sex, sexual orientation, gender identity, disability, or political opinion. Neutral needs-based distinctions and lawful program targeting remain permissible.</w:t>
      </w:r>
    </w:p>
    <w:bookmarkEnd w:id="273"/>
    <w:bookmarkStart w:id="274" w:name="X497b4ee332acdeb9383798b3b1f4fcc476181b6"/>
    <w:p>
      <w:pPr>
        <w:pStyle w:val="Heading2"/>
        <w:keepNext/>
        <w:spacing w:before="160" w:after="60"/>
      </w:pPr>
      <w:r>
        <w:rPr>
          <w:rFonts w:ascii="Inter" w:hAnsi="Inter" w:eastAsia="Inter"/>
          <w:b/>
          <w:color w:val="1F3F5B"/>
          <w:sz w:val="23"/>
        </w:rPr>
        <w:t xml:space="preserve">SEC. 1712. PROCUREMENT, FRAUD, AND TRANSPARENCY.</w:t>
      </w:r>
    </w:p>
    <w:p>
      <w:pPr>
        <w:pStyle w:val="FirstParagraph"/>
        <w:widowControl/>
        <w:spacing w:after="60" w:line="250" w:lineRule="auto"/>
      </w:pPr>
      <w:r>
        <w:rPr>
          <w:rFonts w:ascii="Noto Serif" w:hAnsi="Noto Serif" w:eastAsia="Noto Serif"/>
          <w:sz w:val="19"/>
        </w:rPr>
        <w:t xml:space="preserve">USAID shall maintain a public project database with awards, locations, objectives, partners, evaluations, audits, suspensions, and results, subject to safety and privacy protection. High-risk programs require enhanced monitoring, beneficial-ownership disclosure, sanctions screening, and whistleblower channels.</w:t>
      </w:r>
    </w:p>
    <w:bookmarkEnd w:id="274"/>
    <w:bookmarkStart w:id="275" w:name="Xd9f3e1fbfbeca66245ef640a89fb49925ab881e"/>
    <w:p>
      <w:pPr>
        <w:pStyle w:val="Heading2"/>
        <w:keepNext/>
        <w:spacing w:before="160" w:after="60"/>
      </w:pPr>
      <w:r>
        <w:rPr>
          <w:rFonts w:ascii="Inter" w:hAnsi="Inter" w:eastAsia="Inter"/>
          <w:b/>
          <w:color w:val="1F3F5B"/>
          <w:sz w:val="23"/>
        </w:rPr>
        <w:t xml:space="preserve">SEC. 1713. CLAIMS ARISING FROM ABRUPT TERMINATION.</w:t>
      </w:r>
    </w:p>
    <w:p>
      <w:pPr>
        <w:pStyle w:val="FirstParagraph"/>
        <w:widowControl/>
        <w:spacing w:after="60" w:line="250" w:lineRule="auto"/>
      </w:pPr>
      <w:r>
        <w:rPr>
          <w:rFonts w:ascii="Noto Serif" w:hAnsi="Noto Serif" w:eastAsia="Noto Serif"/>
          <w:sz w:val="19"/>
        </w:rPr>
        <w:t xml:space="preserve">A contractor, grantee, local partner, or employee harmed by a covered blanket termination may submit a claim for allowable closeout, demobilization, protected reliance, employee severance required by local law, preservation of assets, and lifesaving continuity costs. Speculative future profits are not compensable.</w:t>
      </w:r>
    </w:p>
    <w:bookmarkEnd w:id="275"/>
    <w:bookmarkStart w:id="276" w:name="sec.-1714.-development-impact-council."/>
    <w:p>
      <w:pPr>
        <w:pStyle w:val="Heading2"/>
        <w:keepNext/>
        <w:spacing w:before="160" w:after="60"/>
      </w:pPr>
      <w:r>
        <w:rPr>
          <w:rFonts w:ascii="Inter" w:hAnsi="Inter" w:eastAsia="Inter"/>
          <w:b/>
          <w:color w:val="1F3F5B"/>
          <w:sz w:val="23"/>
        </w:rPr>
        <w:t xml:space="preserve">SEC. 1714. DEVELOPMENT IMPACT COUNCIL.</w:t>
      </w:r>
    </w:p>
    <w:p>
      <w:pPr>
        <w:pStyle w:val="FirstParagraph"/>
        <w:widowControl/>
        <w:spacing w:after="60" w:line="250" w:lineRule="auto"/>
      </w:pPr>
      <w:r>
        <w:rPr>
          <w:rFonts w:ascii="Noto Serif" w:hAnsi="Noto Serif" w:eastAsia="Noto Serif"/>
          <w:sz w:val="19"/>
        </w:rPr>
        <w:t xml:space="preserve">An independent council of economists, public-health experts, humanitarian leaders, auditors, local-partner representatives, national-security experts, and civil-society members shall evaluate outcomes, cost effectiveness, corruption risk, and strategic value. The council shall not direct individual awards.</w:t>
      </w:r>
    </w:p>
    <w:bookmarkEnd w:id="276"/>
    <w:bookmarkStart w:id="277" w:name="Xcb94ef0ce5c4d891e4c69c5b8835b19bc5c7b18"/>
    <w:p>
      <w:pPr>
        <w:pStyle w:val="Heading2"/>
        <w:keepNext/>
        <w:spacing w:before="160" w:after="60"/>
      </w:pPr>
      <w:r>
        <w:rPr>
          <w:rFonts w:ascii="Inter" w:hAnsi="Inter" w:eastAsia="Inter"/>
          <w:b/>
          <w:color w:val="1F3F5B"/>
          <w:sz w:val="23"/>
        </w:rPr>
        <w:t xml:space="preserve">SEC. 1715. AMERICAN SOFT POWER AND PARTNERSHIP FUND.</w:t>
      </w:r>
    </w:p>
    <w:p>
      <w:pPr>
        <w:pStyle w:val="FirstParagraph"/>
        <w:widowControl/>
        <w:spacing w:after="60" w:line="250" w:lineRule="auto"/>
      </w:pPr>
      <w:r>
        <w:rPr>
          <w:rFonts w:ascii="Noto Serif" w:hAnsi="Noto Serif" w:eastAsia="Noto Serif"/>
          <w:sz w:val="19"/>
        </w:rPr>
        <w:t xml:space="preserve">There is established a fund for scholarships, exchanges, independent media, public health, cultural preservation, digital connectivity, climate resilience, infrastructure planning, and rapid partnership initiatives in countries where democratic and humanitarian engagement serves the national interest. Awards shall be competitive, transparent, and subject to human-rights safeguards.</w:t>
      </w:r>
    </w:p>
    <w:bookmarkEnd w:id="277"/>
    <w:bookmarkStart w:id="278" w:name="sec.-1716.-continuity-safeguard."/>
    <w:p>
      <w:pPr>
        <w:pStyle w:val="Heading2"/>
        <w:keepNext/>
        <w:spacing w:before="160" w:after="60"/>
      </w:pPr>
      <w:r>
        <w:rPr>
          <w:rFonts w:ascii="Inter" w:hAnsi="Inter" w:eastAsia="Inter"/>
          <w:b/>
          <w:color w:val="1F3F5B"/>
          <w:sz w:val="23"/>
        </w:rPr>
        <w:t xml:space="preserve">SEC. 1716. CONTINUITY SAFEGUARD.</w:t>
      </w:r>
    </w:p>
    <w:p>
      <w:pPr>
        <w:pStyle w:val="FirstParagraph"/>
        <w:widowControl/>
        <w:spacing w:after="60" w:line="250" w:lineRule="auto"/>
      </w:pPr>
      <w:r>
        <w:rPr>
          <w:rFonts w:ascii="Noto Serif" w:hAnsi="Noto Serif" w:eastAsia="Noto Serif"/>
          <w:sz w:val="19"/>
        </w:rPr>
        <w:t xml:space="preserve">Before reducing USAID obligations, workforce, or missions by more than 15 percent in a fiscal year, the President shall submit a plan to Congress 180 days in advance. The plan shall identify statutory authority, program effects, lifesaving continuity, workforce, partners, national-security consequences, and alternatives. Appropriated funds remain available according to law.</w:t>
      </w:r>
    </w:p>
    <w:bookmarkEnd w:id="278"/>
    <w:bookmarkEnd w:id="279"/>
    <w:bookmarkStart w:id="298" w:name="Xa50deda12dee91a5f6831ac920f31f50a989699"/>
    <w:p>
      <w:pPr>
        <w:pStyle w:val="Heading1"/>
        <w:keepNext/>
        <w:pageBreakBefore/>
        <w:spacing w:before="0" w:after="180"/>
        <w:pBdr>
          <w:bottom w:val="single" w:sz="8" w:space="4" w:color="9EB0BF"/>
        </w:pBdr>
      </w:pPr>
      <w:r>
        <w:rPr>
          <w:rFonts w:ascii="Inter" w:hAnsi="Inter" w:eastAsia="Inter"/>
          <w:b/>
          <w:color w:val="142D48"/>
          <w:sz w:val="34"/>
        </w:rPr>
        <w:t xml:space="preserve">TITLE XVIII - SOVEREIGN FOREIGN POLICY, SECURITY ASSISTANCE, AND HUMAN RIGHTS</w:t>
      </w:r>
    </w:p>
    <w:bookmarkStart w:id="280" w:name="sec.-1801.-country-neutral-application."/>
    <w:p>
      <w:pPr>
        <w:pStyle w:val="Heading2"/>
        <w:keepNext/>
        <w:spacing w:before="160" w:after="60"/>
      </w:pPr>
      <w:r>
        <w:rPr>
          <w:rFonts w:ascii="Inter" w:hAnsi="Inter" w:eastAsia="Inter"/>
          <w:b/>
          <w:color w:val="1F3F5B"/>
          <w:sz w:val="23"/>
        </w:rPr>
        <w:t xml:space="preserve">SEC. 1801. COUNTRY-NEUTRAL APPLICATION.</w:t>
      </w:r>
    </w:p>
    <w:p>
      <w:pPr>
        <w:pStyle w:val="FirstParagraph"/>
        <w:widowControl/>
        <w:spacing w:after="60" w:line="250" w:lineRule="auto"/>
      </w:pPr>
      <w:r>
        <w:rPr>
          <w:rFonts w:ascii="Noto Serif" w:hAnsi="Noto Serif" w:eastAsia="Noto Serif"/>
          <w:sz w:val="19"/>
        </w:rPr>
        <w:t xml:space="preserve">This title applies uniformly to every foreign government, military, intelligence service, security force, armed group, and recipient of United States assistance. No country receives an automatic exemption because of alliance, strategic partnership, domestic political support, historical relationship, or religion.</w:t>
      </w:r>
    </w:p>
    <w:bookmarkEnd w:id="280"/>
    <w:bookmarkStart w:id="281" w:name="X30ff4252f8d17fa776b26221c923f2f4bcfee8a"/>
    <w:p>
      <w:pPr>
        <w:pStyle w:val="Heading2"/>
        <w:keepNext/>
        <w:spacing w:before="160" w:after="60"/>
      </w:pPr>
      <w:r>
        <w:rPr>
          <w:rFonts w:ascii="Inter" w:hAnsi="Inter" w:eastAsia="Inter"/>
          <w:b/>
          <w:color w:val="1F3F5B"/>
          <w:sz w:val="23"/>
        </w:rPr>
        <w:t xml:space="preserve">SEC. 1802. NO AUTOMATIC MILITARY INTEGRATION.</w:t>
      </w:r>
    </w:p>
    <w:p>
      <w:pPr>
        <w:widowControl/>
        <w:numPr>
          <w:ilvl w:val="0"/>
          <w:numId w:val="1099"/>
        </w:numPr>
        <w:spacing w:after="30" w:line="245" w:lineRule="auto"/>
      </w:pPr>
      <w:r>
        <w:rPr>
          <w:rFonts w:ascii="Noto Serif" w:hAnsi="Noto Serif" w:eastAsia="Noto Serif"/>
          <w:sz w:val="18"/>
        </w:rPr>
        <w:t xml:space="preserve">No executive agreement, memorandum of understanding, operational plan, procurement arrangement, command structure, intelligence-sharing framework, or statute shall be construed to make the Armed Forces of the United States and a foreign armed force legally inseparable.</w:t>
      </w:r>
    </w:p>
    <w:p>
      <w:pPr>
        <w:widowControl/>
        <w:numPr>
          <w:ilvl w:val="0"/>
          <w:numId w:val="1099"/>
        </w:numPr>
        <w:spacing w:after="30" w:line="245" w:lineRule="auto"/>
      </w:pPr>
      <w:r>
        <w:rPr>
          <w:rFonts w:ascii="Noto Serif" w:hAnsi="Noto Serif" w:eastAsia="Noto Serif"/>
          <w:sz w:val="18"/>
        </w:rPr>
        <w:t xml:space="preserve">United States command authority, operational control, rules of engagement, intelligence release, procurement, basing, and deployment remain subject to the Constitution, Federal law, appropriations, and lawful civilian command.</w:t>
      </w:r>
    </w:p>
    <w:p>
      <w:pPr>
        <w:widowControl/>
        <w:numPr>
          <w:ilvl w:val="0"/>
          <w:numId w:val="1099"/>
        </w:numPr>
        <w:spacing w:after="30" w:line="245" w:lineRule="auto"/>
      </w:pPr>
      <w:r>
        <w:rPr>
          <w:rFonts w:ascii="Noto Serif" w:hAnsi="Noto Serif" w:eastAsia="Noto Serif"/>
          <w:sz w:val="18"/>
        </w:rPr>
        <w:t xml:space="preserve">A long-term arrangement granting a foreign state operational authority over United States forces, automatic access to designated systems, or a binding obligation to enter hostilities requires a treaty or Act of Congress.</w:t>
      </w:r>
    </w:p>
    <w:bookmarkEnd w:id="281"/>
    <w:bookmarkStart w:id="282" w:name="Xde6d9e813d7738e28ca3b3f9c74e9f407d31c21"/>
    <w:p>
      <w:pPr>
        <w:pStyle w:val="Heading2"/>
        <w:keepNext/>
        <w:spacing w:before="160" w:after="60"/>
      </w:pPr>
      <w:r>
        <w:rPr>
          <w:rFonts w:ascii="Inter" w:hAnsi="Inter" w:eastAsia="Inter"/>
          <w:b/>
          <w:color w:val="1F3F5B"/>
          <w:sz w:val="23"/>
        </w:rPr>
        <w:t xml:space="preserve">SEC. 1803. SECURITY-COOPERATION REGISTRY.</w:t>
      </w:r>
    </w:p>
    <w:p>
      <w:pPr>
        <w:pStyle w:val="FirstParagraph"/>
        <w:widowControl/>
        <w:spacing w:after="60" w:line="250" w:lineRule="auto"/>
      </w:pPr>
      <w:r>
        <w:rPr>
          <w:rFonts w:ascii="Noto Serif" w:hAnsi="Noto Serif" w:eastAsia="Noto Serif"/>
          <w:sz w:val="19"/>
        </w:rPr>
        <w:t xml:space="preserve">The Departments of State and Defense shall maintain a classified and public registry of significant security-cooperation agreements, joint commands, interoperability commitments, stockpiles, basing rights, shared facilities, research, procurement, cyber operations, intelligence arrangements, and standing operational plans. The public version shall disclose purpose, duration, cost, legal authority, and oversight while protecting operational security.</w:t>
      </w:r>
    </w:p>
    <w:bookmarkEnd w:id="282"/>
    <w:bookmarkStart w:id="283" w:name="X4eee29a031f05fcbd7acdf68b81d281de7aa7df"/>
    <w:p>
      <w:pPr>
        <w:pStyle w:val="Heading2"/>
        <w:keepNext/>
        <w:spacing w:before="160" w:after="60"/>
      </w:pPr>
      <w:r>
        <w:rPr>
          <w:rFonts w:ascii="Inter" w:hAnsi="Inter" w:eastAsia="Inter"/>
          <w:b/>
          <w:color w:val="1F3F5B"/>
          <w:sz w:val="23"/>
        </w:rPr>
        <w:t xml:space="preserve">SEC. 1804. HUMAN-RIGHTS CONDITIONS ON ARMS AND SECURITY ASSISTANCE.</w:t>
      </w:r>
    </w:p>
    <w:p>
      <w:pPr>
        <w:pStyle w:val="FirstParagraph"/>
        <w:widowControl/>
        <w:spacing w:after="60" w:line="250" w:lineRule="auto"/>
      </w:pPr>
      <w:r>
        <w:rPr>
          <w:rFonts w:ascii="Noto Serif" w:hAnsi="Noto Serif" w:eastAsia="Noto Serif"/>
          <w:sz w:val="19"/>
        </w:rPr>
        <w:t xml:space="preserve">No covered assistance may be provided where there is credible information that the recipient unit or responsible command has committed a gross violation of human rights and effective remediation has not occurred. Assistance must also comply with civilian-protection, end-use, diversion, corruption, and international-humanitarian-law requirements established by statute.</w:t>
      </w:r>
    </w:p>
    <w:bookmarkEnd w:id="283"/>
    <w:bookmarkStart w:id="284" w:name="sec.-1805.-leahy-law-consistency."/>
    <w:p>
      <w:pPr>
        <w:pStyle w:val="Heading2"/>
        <w:keepNext/>
        <w:spacing w:before="160" w:after="60"/>
      </w:pPr>
      <w:r>
        <w:rPr>
          <w:rFonts w:ascii="Inter" w:hAnsi="Inter" w:eastAsia="Inter"/>
          <w:b/>
          <w:color w:val="1F3F5B"/>
          <w:sz w:val="23"/>
        </w:rPr>
        <w:t xml:space="preserve">SEC. 1805. LEAHY LAW CONSISTENCY.</w:t>
      </w:r>
    </w:p>
    <w:p>
      <w:pPr>
        <w:widowControl/>
        <w:numPr>
          <w:ilvl w:val="0"/>
          <w:numId w:val="1100"/>
        </w:numPr>
        <w:spacing w:after="30" w:line="245" w:lineRule="auto"/>
      </w:pPr>
      <w:r>
        <w:rPr>
          <w:rFonts w:ascii="Noto Serif" w:hAnsi="Noto Serif" w:eastAsia="Noto Serif"/>
          <w:sz w:val="18"/>
        </w:rPr>
        <w:t xml:space="preserve">The State and Defense Departments shall apply a common, country-neutral vetting standard to the maximum extent consistent with their statutes.</w:t>
      </w:r>
    </w:p>
    <w:p>
      <w:pPr>
        <w:widowControl/>
        <w:numPr>
          <w:ilvl w:val="0"/>
          <w:numId w:val="1100"/>
        </w:numPr>
        <w:spacing w:after="30" w:line="245" w:lineRule="auto"/>
      </w:pPr>
      <w:r>
        <w:rPr>
          <w:rFonts w:ascii="Noto Serif" w:hAnsi="Noto Serif" w:eastAsia="Noto Serif"/>
          <w:sz w:val="18"/>
        </w:rPr>
        <w:t xml:space="preserve">Remediation requires credible investigation, accountability, command reform, victim remedy, and measures preventing recurrence. Mere reassignment or unsupported assurance is insufficient.</w:t>
      </w:r>
    </w:p>
    <w:p>
      <w:pPr>
        <w:widowControl/>
        <w:numPr>
          <w:ilvl w:val="0"/>
          <w:numId w:val="1100"/>
        </w:numPr>
        <w:spacing w:after="30" w:line="245" w:lineRule="auto"/>
      </w:pPr>
      <w:r>
        <w:rPr>
          <w:rFonts w:ascii="Noto Serif" w:hAnsi="Noto Serif" w:eastAsia="Noto Serif"/>
          <w:sz w:val="18"/>
        </w:rPr>
        <w:t xml:space="preserve">Vetting records, reasons, and remediation decisions shall be auditable by Inspectors General and available to Congress.</w:t>
      </w:r>
    </w:p>
    <w:bookmarkEnd w:id="284"/>
    <w:bookmarkStart w:id="285" w:name="sec.-1806.-end-use-monitoring."/>
    <w:p>
      <w:pPr>
        <w:pStyle w:val="Heading2"/>
        <w:keepNext/>
        <w:spacing w:before="160" w:after="60"/>
      </w:pPr>
      <w:r>
        <w:rPr>
          <w:rFonts w:ascii="Inter" w:hAnsi="Inter" w:eastAsia="Inter"/>
          <w:b/>
          <w:color w:val="1F3F5B"/>
          <w:sz w:val="23"/>
        </w:rPr>
        <w:t xml:space="preserve">SEC. 1806. END-USE MONITORING.</w:t>
      </w:r>
    </w:p>
    <w:p>
      <w:pPr>
        <w:widowControl/>
        <w:numPr>
          <w:ilvl w:val="0"/>
          <w:numId w:val="1101"/>
        </w:numPr>
        <w:spacing w:after="30" w:line="245" w:lineRule="auto"/>
      </w:pPr>
      <w:r>
        <w:rPr>
          <w:rFonts w:ascii="Noto Serif" w:hAnsi="Noto Serif" w:eastAsia="Noto Serif"/>
          <w:sz w:val="18"/>
        </w:rPr>
        <w:t xml:space="preserve">Every significant transfer of weapons, munitions, surveillance technology, cyber capability, or security assistance shall include inventory controls, serial tracking where feasible, use restrictions, access for monitoring, reporting of loss or diversion, and suspension triggers.</w:t>
      </w:r>
    </w:p>
    <w:p>
      <w:pPr>
        <w:widowControl/>
        <w:numPr>
          <w:ilvl w:val="0"/>
          <w:numId w:val="1101"/>
        </w:numPr>
        <w:spacing w:after="30" w:line="245" w:lineRule="auto"/>
      </w:pPr>
      <w:r>
        <w:rPr>
          <w:rFonts w:ascii="Noto Serif" w:hAnsi="Noto Serif" w:eastAsia="Noto Serif"/>
          <w:sz w:val="18"/>
        </w:rPr>
        <w:t xml:space="preserve">Enhanced monitoring applies where weapons are used in densely populated areas, transferred onward, supplied to units with abuse allegations, or capable of mass surveillance.</w:t>
      </w:r>
    </w:p>
    <w:p>
      <w:pPr>
        <w:widowControl/>
        <w:numPr>
          <w:ilvl w:val="0"/>
          <w:numId w:val="1101"/>
        </w:numPr>
        <w:spacing w:after="30" w:line="245" w:lineRule="auto"/>
      </w:pPr>
      <w:r>
        <w:rPr>
          <w:rFonts w:ascii="Noto Serif" w:hAnsi="Noto Serif" w:eastAsia="Noto Serif"/>
          <w:sz w:val="18"/>
        </w:rPr>
        <w:t xml:space="preserve">A recipient’s refusal of reasonable monitoring is grounds for suspension.</w:t>
      </w:r>
    </w:p>
    <w:bookmarkEnd w:id="285"/>
    <w:bookmarkStart w:id="286" w:name="sec.-1807.-civilian-harm-assessment."/>
    <w:p>
      <w:pPr>
        <w:pStyle w:val="Heading2"/>
        <w:keepNext/>
        <w:spacing w:before="160" w:after="60"/>
      </w:pPr>
      <w:r>
        <w:rPr>
          <w:rFonts w:ascii="Inter" w:hAnsi="Inter" w:eastAsia="Inter"/>
          <w:b/>
          <w:color w:val="1F3F5B"/>
          <w:sz w:val="23"/>
        </w:rPr>
        <w:t xml:space="preserve">SEC. 1807. CIVILIAN-HARM ASSESSMENT.</w:t>
      </w:r>
    </w:p>
    <w:p>
      <w:pPr>
        <w:pStyle w:val="FirstParagraph"/>
        <w:widowControl/>
        <w:spacing w:after="60" w:line="250" w:lineRule="auto"/>
      </w:pPr>
      <w:r>
        <w:rPr>
          <w:rFonts w:ascii="Noto Serif" w:hAnsi="Noto Serif" w:eastAsia="Noto Serif"/>
          <w:sz w:val="19"/>
        </w:rPr>
        <w:t xml:space="preserve">Before approving a major arms sale or emergency transfer, State and Defense shall assess expected civilian-harm risk, recipient targeting and detention practices, humanitarian access, accountability mechanisms, and feasible mitigation. Classified annexes may protect intelligence, but the principal findings shall be public.</w:t>
      </w:r>
    </w:p>
    <w:bookmarkEnd w:id="286"/>
    <w:bookmarkStart w:id="287" w:name="sec.-1808.-prohibited-support."/>
    <w:p>
      <w:pPr>
        <w:pStyle w:val="Heading2"/>
        <w:keepNext/>
        <w:spacing w:before="160" w:after="60"/>
      </w:pPr>
      <w:r>
        <w:rPr>
          <w:rFonts w:ascii="Inter" w:hAnsi="Inter" w:eastAsia="Inter"/>
          <w:b/>
          <w:color w:val="1F3F5B"/>
          <w:sz w:val="23"/>
        </w:rPr>
        <w:t xml:space="preserve">SEC. 1808. PROHIBITED SUPPORT.</w:t>
      </w:r>
    </w:p>
    <w:p>
      <w:pPr>
        <w:pStyle w:val="FirstParagraph"/>
        <w:widowControl/>
        <w:spacing w:after="60" w:line="250" w:lineRule="auto"/>
      </w:pPr>
      <w:r>
        <w:rPr>
          <w:rFonts w:ascii="Noto Serif" w:hAnsi="Noto Serif" w:eastAsia="Noto Serif"/>
          <w:sz w:val="19"/>
        </w:rPr>
        <w:t xml:space="preserve">United States assistance may not knowingly facilitate:</w:t>
      </w:r>
    </w:p>
    <w:p>
      <w:pPr>
        <w:pStyle w:val="Compact"/>
        <w:widowControl/>
        <w:numPr>
          <w:ilvl w:val="0"/>
          <w:numId w:val="1102"/>
        </w:numPr>
        <w:spacing w:after="30" w:line="245" w:lineRule="auto"/>
      </w:pPr>
      <w:r>
        <w:rPr>
          <w:rFonts w:ascii="Noto Serif" w:hAnsi="Noto Serif" w:eastAsia="Noto Serif"/>
          <w:sz w:val="18"/>
        </w:rPr>
        <w:t xml:space="preserve">genocide, crimes against humanity, torture, enforced disappearance, or collective punishment;</w:t>
      </w:r>
    </w:p>
    <w:p>
      <w:pPr>
        <w:pStyle w:val="Compact"/>
        <w:widowControl/>
        <w:numPr>
          <w:ilvl w:val="0"/>
          <w:numId w:val="1102"/>
        </w:numPr>
        <w:spacing w:after="30" w:line="245" w:lineRule="auto"/>
      </w:pPr>
      <w:r>
        <w:rPr>
          <w:rFonts w:ascii="Noto Serif" w:hAnsi="Noto Serif" w:eastAsia="Noto Serif"/>
          <w:sz w:val="18"/>
        </w:rPr>
        <w:t xml:space="preserve">unlawful annexation or permanent acquisition of territory by force;</w:t>
      </w:r>
    </w:p>
    <w:p>
      <w:pPr>
        <w:pStyle w:val="Compact"/>
        <w:widowControl/>
        <w:numPr>
          <w:ilvl w:val="0"/>
          <w:numId w:val="1102"/>
        </w:numPr>
        <w:spacing w:after="30" w:line="245" w:lineRule="auto"/>
      </w:pPr>
      <w:r>
        <w:rPr>
          <w:rFonts w:ascii="Noto Serif" w:hAnsi="Noto Serif" w:eastAsia="Noto Serif"/>
          <w:sz w:val="18"/>
        </w:rPr>
        <w:t xml:space="preserve">deliberate attacks on civilians or civilian objects;</w:t>
      </w:r>
    </w:p>
    <w:p>
      <w:pPr>
        <w:pStyle w:val="Compact"/>
        <w:widowControl/>
        <w:numPr>
          <w:ilvl w:val="0"/>
          <w:numId w:val="1102"/>
        </w:numPr>
        <w:spacing w:after="30" w:line="245" w:lineRule="auto"/>
      </w:pPr>
      <w:r>
        <w:rPr>
          <w:rFonts w:ascii="Noto Serif" w:hAnsi="Noto Serif" w:eastAsia="Noto Serif"/>
          <w:sz w:val="18"/>
        </w:rPr>
        <w:t xml:space="preserve">systematic obstruction of humanitarian relief;</w:t>
      </w:r>
    </w:p>
    <w:p>
      <w:pPr>
        <w:pStyle w:val="Compact"/>
        <w:widowControl/>
        <w:numPr>
          <w:ilvl w:val="0"/>
          <w:numId w:val="1102"/>
        </w:numPr>
        <w:spacing w:after="30" w:line="245" w:lineRule="auto"/>
      </w:pPr>
      <w:r>
        <w:rPr>
          <w:rFonts w:ascii="Noto Serif" w:hAnsi="Noto Serif" w:eastAsia="Noto Serif"/>
          <w:sz w:val="18"/>
        </w:rPr>
        <w:t xml:space="preserve">forced population transfer;</w:t>
      </w:r>
    </w:p>
    <w:p>
      <w:pPr>
        <w:pStyle w:val="Compact"/>
        <w:widowControl/>
        <w:numPr>
          <w:ilvl w:val="0"/>
          <w:numId w:val="1102"/>
        </w:numPr>
        <w:spacing w:after="30" w:line="245" w:lineRule="auto"/>
      </w:pPr>
      <w:r>
        <w:rPr>
          <w:rFonts w:ascii="Noto Serif" w:hAnsi="Noto Serif" w:eastAsia="Noto Serif"/>
          <w:sz w:val="18"/>
        </w:rPr>
        <w:t xml:space="preserve">unlawful detention or persecution based on protected identity or political opinion; or</w:t>
      </w:r>
    </w:p>
    <w:p>
      <w:pPr>
        <w:pStyle w:val="Compact"/>
        <w:widowControl/>
        <w:numPr>
          <w:ilvl w:val="0"/>
          <w:numId w:val="1102"/>
        </w:numPr>
        <w:spacing w:after="30" w:line="245" w:lineRule="auto"/>
      </w:pPr>
      <w:r>
        <w:rPr>
          <w:rFonts w:ascii="Noto Serif" w:hAnsi="Noto Serif" w:eastAsia="Noto Serif"/>
          <w:sz w:val="18"/>
        </w:rPr>
        <w:t xml:space="preserve">domestic political repression using United States-provided surveillance or weapons.</w:t>
      </w:r>
    </w:p>
    <w:p>
      <w:pPr>
        <w:pStyle w:val="FirstParagraph"/>
        <w:widowControl/>
        <w:spacing w:after="60" w:line="250" w:lineRule="auto"/>
      </w:pPr>
      <w:r>
        <w:rPr>
          <w:rFonts w:ascii="Noto Serif" w:hAnsi="Noto Serif" w:eastAsia="Noto Serif"/>
          <w:sz w:val="19"/>
        </w:rPr>
        <w:t xml:space="preserve">The prohibition shall be applied consistent with definitions in Federal and international law.</w:t>
      </w:r>
    </w:p>
    <w:bookmarkEnd w:id="287"/>
    <w:bookmarkStart w:id="288" w:name="X0014b726593bfdbc153202cb8fcad3e22e321b8"/>
    <w:p>
      <w:pPr>
        <w:pStyle w:val="Heading2"/>
        <w:keepNext/>
        <w:spacing w:before="160" w:after="60"/>
      </w:pPr>
      <w:r>
        <w:rPr>
          <w:rFonts w:ascii="Inter" w:hAnsi="Inter" w:eastAsia="Inter"/>
          <w:b/>
          <w:color w:val="1F3F5B"/>
          <w:sz w:val="23"/>
        </w:rPr>
        <w:t xml:space="preserve">SEC. 1809. SUSPENSION, WAIVER, AND RESUMPTION.</w:t>
      </w:r>
    </w:p>
    <w:p>
      <w:pPr>
        <w:widowControl/>
        <w:numPr>
          <w:ilvl w:val="0"/>
          <w:numId w:val="1103"/>
        </w:numPr>
        <w:spacing w:after="30" w:line="245" w:lineRule="auto"/>
      </w:pPr>
      <w:r>
        <w:rPr>
          <w:rFonts w:ascii="Noto Serif" w:hAnsi="Noto Serif" w:eastAsia="Noto Serif"/>
          <w:sz w:val="18"/>
        </w:rPr>
        <w:t xml:space="preserve">The Secretary of State shall suspend affected assistance upon a finding of a serious violation.</w:t>
      </w:r>
    </w:p>
    <w:p>
      <w:pPr>
        <w:widowControl/>
        <w:numPr>
          <w:ilvl w:val="0"/>
          <w:numId w:val="1103"/>
        </w:numPr>
        <w:spacing w:after="30" w:line="245" w:lineRule="auto"/>
      </w:pPr>
      <w:r>
        <w:rPr>
          <w:rFonts w:ascii="Noto Serif" w:hAnsi="Noto Serif" w:eastAsia="Noto Serif"/>
          <w:sz w:val="18"/>
        </w:rPr>
        <w:t xml:space="preserve">A temporary national-security waiver may be issued for not more than 90 days only if the President provides specific reasons, mitigation, monitoring, and a plan to end the need for the waiver.</w:t>
      </w:r>
    </w:p>
    <w:p>
      <w:pPr>
        <w:widowControl/>
        <w:numPr>
          <w:ilvl w:val="0"/>
          <w:numId w:val="1103"/>
        </w:numPr>
        <w:spacing w:after="30" w:line="245" w:lineRule="auto"/>
      </w:pPr>
      <w:r>
        <w:rPr>
          <w:rFonts w:ascii="Noto Serif" w:hAnsi="Noto Serif" w:eastAsia="Noto Serif"/>
          <w:sz w:val="18"/>
        </w:rPr>
        <w:t xml:space="preserve">Renewal beyond 90 days requires approval by joint resolution or a statute-specific waiver authority.</w:t>
      </w:r>
    </w:p>
    <w:p>
      <w:pPr>
        <w:widowControl/>
        <w:numPr>
          <w:ilvl w:val="0"/>
          <w:numId w:val="1103"/>
        </w:numPr>
        <w:spacing w:after="30" w:line="245" w:lineRule="auto"/>
      </w:pPr>
      <w:r>
        <w:rPr>
          <w:rFonts w:ascii="Noto Serif" w:hAnsi="Noto Serif" w:eastAsia="Noto Serif"/>
          <w:sz w:val="18"/>
        </w:rPr>
        <w:t xml:space="preserve">Lifesaving humanitarian assistance to civilians shall be preserved through neutral channels wherever feasible.</w:t>
      </w:r>
    </w:p>
    <w:bookmarkEnd w:id="288"/>
    <w:bookmarkStart w:id="289" w:name="X9332547f5b17ca371ddd7abe1711d18b17d8404"/>
    <w:p>
      <w:pPr>
        <w:pStyle w:val="Heading2"/>
        <w:keepNext/>
        <w:spacing w:before="160" w:after="60"/>
      </w:pPr>
      <w:r>
        <w:rPr>
          <w:rFonts w:ascii="Inter" w:hAnsi="Inter" w:eastAsia="Inter"/>
          <w:b/>
          <w:color w:val="1F3F5B"/>
          <w:sz w:val="23"/>
        </w:rPr>
        <w:t xml:space="preserve">SEC. 1810. COST SHARING AND REIMBURSEMENT.</w:t>
      </w:r>
    </w:p>
    <w:p>
      <w:pPr>
        <w:pStyle w:val="FirstParagraph"/>
        <w:widowControl/>
        <w:spacing w:after="60" w:line="250" w:lineRule="auto"/>
      </w:pPr>
      <w:r>
        <w:rPr>
          <w:rFonts w:ascii="Noto Serif" w:hAnsi="Noto Serif" w:eastAsia="Noto Serif"/>
          <w:sz w:val="19"/>
        </w:rPr>
        <w:t xml:space="preserve">Security partners receiving substantial assistance shall contribute fair support according to capacity, strategic benefit, and burden sharing. The United States shall not assume open-ended foreign military costs without appropriation, public accounting, and a national-interest determination.</w:t>
      </w:r>
    </w:p>
    <w:bookmarkEnd w:id="289"/>
    <w:bookmarkStart w:id="290" w:name="X1ecfcd3328ae401c981d2c8ea9ba2bc1e2ef28d"/>
    <w:p>
      <w:pPr>
        <w:pStyle w:val="Heading2"/>
        <w:keepNext/>
        <w:spacing w:before="160" w:after="60"/>
      </w:pPr>
      <w:r>
        <w:rPr>
          <w:rFonts w:ascii="Inter" w:hAnsi="Inter" w:eastAsia="Inter"/>
          <w:b/>
          <w:color w:val="1F3F5B"/>
          <w:sz w:val="23"/>
        </w:rPr>
        <w:t xml:space="preserve">SEC. 1811. FOREIGN INFLUENCE AND LOBBYING.</w:t>
      </w:r>
    </w:p>
    <w:p>
      <w:pPr>
        <w:widowControl/>
        <w:numPr>
          <w:ilvl w:val="0"/>
          <w:numId w:val="1104"/>
        </w:numPr>
        <w:spacing w:after="30" w:line="245" w:lineRule="auto"/>
      </w:pPr>
      <w:r>
        <w:rPr>
          <w:rFonts w:ascii="Noto Serif" w:hAnsi="Noto Serif" w:eastAsia="Noto Serif"/>
          <w:sz w:val="18"/>
        </w:rPr>
        <w:t xml:space="preserve">Persons acting at the order, request, direction, or control of a foreign principal shall comply with the Foreign Agents Registration Act and disclose material contacts seeking military, diplomatic, aid, sanctions, procurement, or intelligence action.</w:t>
      </w:r>
    </w:p>
    <w:p>
      <w:pPr>
        <w:widowControl/>
        <w:numPr>
          <w:ilvl w:val="0"/>
          <w:numId w:val="1104"/>
        </w:numPr>
        <w:spacing w:after="30" w:line="245" w:lineRule="auto"/>
      </w:pPr>
      <w:r>
        <w:rPr>
          <w:rFonts w:ascii="Noto Serif" w:hAnsi="Noto Serif" w:eastAsia="Noto Serif"/>
          <w:sz w:val="18"/>
        </w:rPr>
        <w:t xml:space="preserve">Pass-through nonprofits, consultants, law firms, think tanks, media campaigns, and political committees may not be used to conceal a foreign principal.</w:t>
      </w:r>
    </w:p>
    <w:p>
      <w:pPr>
        <w:widowControl/>
        <w:numPr>
          <w:ilvl w:val="0"/>
          <w:numId w:val="1104"/>
        </w:numPr>
        <w:spacing w:after="30" w:line="245" w:lineRule="auto"/>
      </w:pPr>
      <w:r>
        <w:rPr>
          <w:rFonts w:ascii="Noto Serif" w:hAnsi="Noto Serif" w:eastAsia="Noto Serif"/>
          <w:sz w:val="18"/>
        </w:rPr>
        <w:t xml:space="preserve">Legitimate diplomacy, journalism, academic exchange, legal representation, and cultural activity remain protected subject to law.</w:t>
      </w:r>
    </w:p>
    <w:bookmarkEnd w:id="290"/>
    <w:bookmarkStart w:id="291" w:name="X44b029b000292951f9e1ba882b32ca29881a524"/>
    <w:p>
      <w:pPr>
        <w:pStyle w:val="Heading2"/>
        <w:keepNext/>
        <w:spacing w:before="160" w:after="60"/>
      </w:pPr>
      <w:r>
        <w:rPr>
          <w:rFonts w:ascii="Inter" w:hAnsi="Inter" w:eastAsia="Inter"/>
          <w:b/>
          <w:color w:val="1F3F5B"/>
          <w:sz w:val="23"/>
        </w:rPr>
        <w:t xml:space="preserve">SEC. 1812. FOREIGN GIFTS, TRAVEL, AND BENEFITS.</w:t>
      </w:r>
    </w:p>
    <w:p>
      <w:pPr>
        <w:pStyle w:val="FirstParagraph"/>
        <w:widowControl/>
        <w:spacing w:after="60" w:line="250" w:lineRule="auto"/>
      </w:pPr>
      <w:r>
        <w:rPr>
          <w:rFonts w:ascii="Noto Serif" w:hAnsi="Noto Serif" w:eastAsia="Noto Serif"/>
          <w:sz w:val="19"/>
        </w:rPr>
        <w:t xml:space="preserve">Senior officials and Members of Congress shall disclose foreign-funded travel, gifts, hospitality, business interests, family benefits, and sponsored delegations as required by the Transparent Government Act. Classified or diplomatic exceptions require independent review and delayed disclosure where safe.</w:t>
      </w:r>
    </w:p>
    <w:bookmarkEnd w:id="291"/>
    <w:bookmarkStart w:id="292" w:name="X3284ae983152b916abb470114bff63b69c7601e"/>
    <w:p>
      <w:pPr>
        <w:pStyle w:val="Heading2"/>
        <w:keepNext/>
        <w:spacing w:before="160" w:after="60"/>
      </w:pPr>
      <w:r>
        <w:rPr>
          <w:rFonts w:ascii="Inter" w:hAnsi="Inter" w:eastAsia="Inter"/>
          <w:b/>
          <w:color w:val="1F3F5B"/>
          <w:sz w:val="23"/>
        </w:rPr>
        <w:t xml:space="preserve">SEC. 1813. FOREIGN ACCESS TO UNITED STATES DATA AND TECHNOLOGY.</w:t>
      </w:r>
    </w:p>
    <w:p>
      <w:pPr>
        <w:pStyle w:val="FirstParagraph"/>
        <w:widowControl/>
        <w:spacing w:after="60" w:line="250" w:lineRule="auto"/>
      </w:pPr>
      <w:r>
        <w:rPr>
          <w:rFonts w:ascii="Noto Serif" w:hAnsi="Noto Serif" w:eastAsia="Noto Serif"/>
          <w:sz w:val="19"/>
        </w:rPr>
        <w:t xml:space="preserve">Transfers of sensitive data, advanced surveillance systems, offensive cyber tools, or high-risk AI capabilities to foreign governments require privacy, human-rights, security, diversion, and end-use review. The President may impose country-neutral restrictions under statutory authority.</w:t>
      </w:r>
    </w:p>
    <w:bookmarkEnd w:id="292"/>
    <w:bookmarkStart w:id="293" w:name="sec.-1814.-humanitarian-access."/>
    <w:p>
      <w:pPr>
        <w:pStyle w:val="Heading2"/>
        <w:keepNext/>
        <w:spacing w:before="160" w:after="60"/>
      </w:pPr>
      <w:r>
        <w:rPr>
          <w:rFonts w:ascii="Inter" w:hAnsi="Inter" w:eastAsia="Inter"/>
          <w:b/>
          <w:color w:val="1F3F5B"/>
          <w:sz w:val="23"/>
        </w:rPr>
        <w:t xml:space="preserve">SEC. 1814. HUMANITARIAN ACCESS.</w:t>
      </w:r>
    </w:p>
    <w:p>
      <w:pPr>
        <w:pStyle w:val="FirstParagraph"/>
        <w:widowControl/>
        <w:spacing w:after="60" w:line="250" w:lineRule="auto"/>
      </w:pPr>
      <w:r>
        <w:rPr>
          <w:rFonts w:ascii="Noto Serif" w:hAnsi="Noto Serif" w:eastAsia="Noto Serif"/>
          <w:sz w:val="19"/>
        </w:rPr>
        <w:t xml:space="preserve">The United States shall use diplomacy, assistance conditions, sanctions authorities, and multilateral institutions to promote rapid, safe, sustained humanitarian access. A security recipient’s unreasonable obstruction may trigger suspension under section 1809.</w:t>
      </w:r>
    </w:p>
    <w:bookmarkEnd w:id="293"/>
    <w:bookmarkStart w:id="294" w:name="sec.-1815.-war-powers."/>
    <w:p>
      <w:pPr>
        <w:pStyle w:val="Heading2"/>
        <w:keepNext/>
        <w:spacing w:before="160" w:after="60"/>
      </w:pPr>
      <w:r>
        <w:rPr>
          <w:rFonts w:ascii="Inter" w:hAnsi="Inter" w:eastAsia="Inter"/>
          <w:b/>
          <w:color w:val="1F3F5B"/>
          <w:sz w:val="23"/>
        </w:rPr>
        <w:t xml:space="preserve">SEC. 1815. WAR POWERS.</w:t>
      </w:r>
    </w:p>
    <w:p>
      <w:pPr>
        <w:widowControl/>
        <w:numPr>
          <w:ilvl w:val="0"/>
          <w:numId w:val="1105"/>
        </w:numPr>
        <w:spacing w:after="30" w:line="245" w:lineRule="auto"/>
      </w:pPr>
      <w:r>
        <w:rPr>
          <w:rFonts w:ascii="Noto Serif" w:hAnsi="Noto Serif" w:eastAsia="Noto Serif"/>
          <w:sz w:val="18"/>
        </w:rPr>
        <w:t xml:space="preserve">The President shall report any introduction of Armed Forces into hostilities or imminent hostilities as required by the War Powers Resolution.</w:t>
      </w:r>
    </w:p>
    <w:p>
      <w:pPr>
        <w:widowControl/>
        <w:numPr>
          <w:ilvl w:val="0"/>
          <w:numId w:val="1105"/>
        </w:numPr>
        <w:spacing w:after="30" w:line="245" w:lineRule="auto"/>
      </w:pPr>
      <w:r>
        <w:rPr>
          <w:rFonts w:ascii="Noto Serif" w:hAnsi="Noto Serif" w:eastAsia="Noto Serif"/>
          <w:sz w:val="18"/>
        </w:rPr>
        <w:t xml:space="preserve">Funds may not support hostilities beyond 60 days, plus the statutory withdrawal period, absent a declaration of war or specific authorization for use of military force.</w:t>
      </w:r>
    </w:p>
    <w:p>
      <w:pPr>
        <w:widowControl/>
        <w:numPr>
          <w:ilvl w:val="0"/>
          <w:numId w:val="1105"/>
        </w:numPr>
        <w:spacing w:after="30" w:line="245" w:lineRule="auto"/>
      </w:pPr>
      <w:r>
        <w:rPr>
          <w:rFonts w:ascii="Noto Serif" w:hAnsi="Noto Serif" w:eastAsia="Noto Serif"/>
          <w:sz w:val="18"/>
        </w:rPr>
        <w:t xml:space="preserve">Generic appropriations, arms sales, intelligence sharing, interoperability, or alliance language do not constitute authorization for hostilities.</w:t>
      </w:r>
    </w:p>
    <w:bookmarkEnd w:id="294"/>
    <w:bookmarkStart w:id="295" w:name="X022fead684cb40488add63afac2ffa5b589a962"/>
    <w:p>
      <w:pPr>
        <w:pStyle w:val="Heading2"/>
        <w:keepNext/>
        <w:spacing w:before="160" w:after="60"/>
      </w:pPr>
      <w:r>
        <w:rPr>
          <w:rFonts w:ascii="Inter" w:hAnsi="Inter" w:eastAsia="Inter"/>
          <w:b/>
          <w:color w:val="1F3F5B"/>
          <w:sz w:val="23"/>
        </w:rPr>
        <w:t xml:space="preserve">SEC. 1816. AUTHORIZATIONS FOR USE OF MILITARY FORCE REVIEW.</w:t>
      </w:r>
    </w:p>
    <w:p>
      <w:pPr>
        <w:pStyle w:val="FirstParagraph"/>
        <w:widowControl/>
        <w:spacing w:after="60" w:line="250" w:lineRule="auto"/>
      </w:pPr>
      <w:r>
        <w:rPr>
          <w:rFonts w:ascii="Noto Serif" w:hAnsi="Noto Serif" w:eastAsia="Noto Serif"/>
          <w:sz w:val="19"/>
        </w:rPr>
        <w:t xml:space="preserve">Within one year, Congress shall consider repeal, revision, geographic limits, objectives, reporting, detention authority, associated-force definitions, and sunsets for existing authorizations. The President shall publish the legal and factual basis for each operation conducted under an authorization, with a classified annex where necessary.</w:t>
      </w:r>
    </w:p>
    <w:bookmarkEnd w:id="295"/>
    <w:bookmarkStart w:id="296" w:name="Xdebdb4f6fa951428aca6455cd0c1ba18469e85b"/>
    <w:p>
      <w:pPr>
        <w:pStyle w:val="Heading2"/>
        <w:keepNext/>
        <w:spacing w:before="160" w:after="60"/>
      </w:pPr>
      <w:r>
        <w:rPr>
          <w:rFonts w:ascii="Inter" w:hAnsi="Inter" w:eastAsia="Inter"/>
          <w:b/>
          <w:color w:val="1F3F5B"/>
          <w:sz w:val="23"/>
        </w:rPr>
        <w:t xml:space="preserve">SEC. 1817. NO PERMANENT COUNTRY-SPECIFIC PRIVILEGE.</w:t>
      </w:r>
    </w:p>
    <w:p>
      <w:pPr>
        <w:pStyle w:val="FirstParagraph"/>
        <w:widowControl/>
        <w:spacing w:after="60" w:line="250" w:lineRule="auto"/>
      </w:pPr>
      <w:r>
        <w:rPr>
          <w:rFonts w:ascii="Noto Serif" w:hAnsi="Noto Serif" w:eastAsia="Noto Serif"/>
          <w:sz w:val="19"/>
        </w:rPr>
        <w:t xml:space="preserve">No provision of Federal law shall be interpreted to guarantee a foreign country a fixed level of assistance, immunity from human-rights conditions, automatic weapons replenishment, or protection from congressional revision, unless Congress states the guarantee in unmistakable terms and specifies duration and funding.</w:t>
      </w:r>
    </w:p>
    <w:bookmarkEnd w:id="296"/>
    <w:bookmarkStart w:id="297" w:name="sec.-1818.-oversight-and-review."/>
    <w:p>
      <w:pPr>
        <w:pStyle w:val="Heading2"/>
        <w:keepNext/>
        <w:spacing w:before="160" w:after="60"/>
      </w:pPr>
      <w:r>
        <w:rPr>
          <w:rFonts w:ascii="Inter" w:hAnsi="Inter" w:eastAsia="Inter"/>
          <w:b/>
          <w:color w:val="1F3F5B"/>
          <w:sz w:val="23"/>
        </w:rPr>
        <w:t xml:space="preserve">SEC. 1818. OVERSIGHT AND REVIEW.</w:t>
      </w:r>
    </w:p>
    <w:p>
      <w:pPr>
        <w:pStyle w:val="FirstParagraph"/>
        <w:widowControl/>
        <w:spacing w:after="60" w:line="250" w:lineRule="auto"/>
      </w:pPr>
      <w:r>
        <w:rPr>
          <w:rFonts w:ascii="Noto Serif" w:hAnsi="Noto Serif" w:eastAsia="Noto Serif"/>
          <w:sz w:val="19"/>
        </w:rPr>
        <w:t xml:space="preserve">The State and Defense Inspectors General, GAO, and Congress shall receive access to records necessary to audit this title. A recipient or contractor has no private right to compel security assistance, but affected United States persons may challenge unlawful expenditure, records denial, retaliation, or statutory procedural violations where ordinary standing requirements are met.</w:t>
      </w:r>
    </w:p>
    <w:bookmarkEnd w:id="297"/>
    <w:bookmarkEnd w:id="298"/>
    <w:bookmarkStart w:id="313" w:name="X9f4fd81cc61e5d5bb19284e04c900c5de1114dd"/>
    <w:p>
      <w:pPr>
        <w:pStyle w:val="Heading1"/>
        <w:keepNext/>
        <w:pageBreakBefore/>
        <w:spacing w:before="0" w:after="180"/>
        <w:pBdr>
          <w:bottom w:val="single" w:sz="8" w:space="4" w:color="9EB0BF"/>
        </w:pBdr>
      </w:pPr>
      <w:r>
        <w:rPr>
          <w:rFonts w:ascii="Inter" w:hAnsi="Inter" w:eastAsia="Inter"/>
          <w:b/>
          <w:color w:val="142D48"/>
          <w:sz w:val="34"/>
        </w:rPr>
        <w:t xml:space="preserve">TITLE XIX - ADMINISTRATIVE LAW, AGENCY EXPERTISE, AND JUDICIAL REMEDIES</w:t>
      </w:r>
    </w:p>
    <w:bookmarkStart w:id="299" w:name="Xce8a39f0e6641c4491b8e638fc2b4ab95ed7772"/>
    <w:p>
      <w:pPr>
        <w:pStyle w:val="Heading2"/>
        <w:keepNext/>
        <w:spacing w:before="160" w:after="60"/>
      </w:pPr>
      <w:r>
        <w:rPr>
          <w:rFonts w:ascii="Inter" w:hAnsi="Inter" w:eastAsia="Inter"/>
          <w:b/>
          <w:color w:val="1F3F5B"/>
          <w:sz w:val="23"/>
        </w:rPr>
        <w:t xml:space="preserve">SEC. 1901. AMENDMENT TO THE ADMINISTRATIVE PROCEDURE ACT.</w:t>
      </w:r>
    </w:p>
    <w:p>
      <w:pPr>
        <w:pStyle w:val="FirstParagraph"/>
        <w:widowControl/>
        <w:spacing w:after="60" w:line="250" w:lineRule="auto"/>
      </w:pPr>
      <w:r>
        <w:rPr>
          <w:rFonts w:ascii="Noto Serif" w:hAnsi="Noto Serif" w:eastAsia="Noto Serif"/>
          <w:sz w:val="19"/>
        </w:rPr>
        <w:t xml:space="preserve">Section 706 of title 5, United States Code, is amended to provide:</w:t>
      </w:r>
    </w:p>
    <w:p>
      <w:pPr>
        <w:pStyle w:val="Compact"/>
        <w:widowControl/>
        <w:numPr>
          <w:ilvl w:val="0"/>
          <w:numId w:val="1106"/>
        </w:numPr>
        <w:spacing w:after="30" w:line="245" w:lineRule="auto"/>
      </w:pPr>
      <w:r>
        <w:rPr>
          <w:rFonts w:ascii="Noto Serif" w:hAnsi="Noto Serif" w:eastAsia="Noto Serif"/>
          <w:sz w:val="18"/>
        </w:rPr>
        <w:t xml:space="preserve">courts decide constitutional and pure legal questions independently;</w:t>
      </w:r>
    </w:p>
    <w:p>
      <w:pPr>
        <w:pStyle w:val="Compact"/>
        <w:widowControl/>
        <w:numPr>
          <w:ilvl w:val="0"/>
          <w:numId w:val="1106"/>
        </w:numPr>
        <w:spacing w:after="30" w:line="245" w:lineRule="auto"/>
      </w:pPr>
      <w:r>
        <w:rPr>
          <w:rFonts w:ascii="Noto Serif" w:hAnsi="Noto Serif" w:eastAsia="Noto Serif"/>
          <w:sz w:val="18"/>
        </w:rPr>
        <w:t xml:space="preserve">where Congress has expressly or by necessary implication delegated authority to an agency to define a term, fill a gap, set a standard, or choose among reasonable policy alternatives, a court shall uphold a procedurally valid agency interpretation within the delegation if reasonable and supported by the record;</w:t>
      </w:r>
    </w:p>
    <w:p>
      <w:pPr>
        <w:pStyle w:val="Compact"/>
        <w:widowControl/>
        <w:numPr>
          <w:ilvl w:val="0"/>
          <w:numId w:val="1106"/>
        </w:numPr>
        <w:spacing w:after="30" w:line="245" w:lineRule="auto"/>
      </w:pPr>
      <w:r>
        <w:rPr>
          <w:rFonts w:ascii="Noto Serif" w:hAnsi="Noto Serif" w:eastAsia="Noto Serif"/>
          <w:sz w:val="18"/>
        </w:rPr>
        <w:t xml:space="preserve">technical, scientific, economic, and factual determinations receive the respect warranted by expertise, transparency, consistency, and evidentiary support; and</w:t>
      </w:r>
    </w:p>
    <w:p>
      <w:pPr>
        <w:pStyle w:val="Compact"/>
        <w:widowControl/>
        <w:numPr>
          <w:ilvl w:val="0"/>
          <w:numId w:val="1106"/>
        </w:numPr>
        <w:spacing w:after="30" w:line="245" w:lineRule="auto"/>
      </w:pPr>
      <w:r>
        <w:rPr>
          <w:rFonts w:ascii="Noto Serif" w:hAnsi="Noto Serif" w:eastAsia="Noto Serif"/>
          <w:sz w:val="18"/>
        </w:rPr>
        <w:t xml:space="preserve">no deference is owed to a position first adopted for litigation, concealed from the public, inconsistent with a controlling statute, or unsupported by reasoned explanation.</w:t>
      </w:r>
    </w:p>
    <w:bookmarkEnd w:id="299"/>
    <w:bookmarkStart w:id="300" w:name="X0caaffaf581cc97088537c2c76730117d90f510"/>
    <w:p>
      <w:pPr>
        <w:pStyle w:val="Heading2"/>
        <w:keepNext/>
        <w:spacing w:before="160" w:after="60"/>
      </w:pPr>
      <w:r>
        <w:rPr>
          <w:rFonts w:ascii="Inter" w:hAnsi="Inter" w:eastAsia="Inter"/>
          <w:b/>
          <w:color w:val="1F3F5B"/>
          <w:sz w:val="23"/>
        </w:rPr>
        <w:t xml:space="preserve">SEC. 1902. MAJOR-QUESTIONS CLEAR-STATEMENT RULE.</w:t>
      </w:r>
    </w:p>
    <w:p>
      <w:pPr>
        <w:pStyle w:val="FirstParagraph"/>
        <w:widowControl/>
        <w:spacing w:after="60" w:line="250" w:lineRule="auto"/>
      </w:pPr>
      <w:r>
        <w:rPr>
          <w:rFonts w:ascii="Noto Serif" w:hAnsi="Noto Serif" w:eastAsia="Noto Serif"/>
          <w:sz w:val="19"/>
        </w:rPr>
        <w:t xml:space="preserve">A court may not invalidate agency action solely under a judicially created major-questions clear-statement rule where the statute’s text, structure, purpose, history, and delegated tools provide a reasonable basis for the action. Constitutional nondelegation principles remain available.</w:t>
      </w:r>
    </w:p>
    <w:bookmarkEnd w:id="300"/>
    <w:bookmarkStart w:id="301" w:name="Xe69d50f162cdc7aaafb167be69f9635a878b259"/>
    <w:p>
      <w:pPr>
        <w:pStyle w:val="Heading2"/>
        <w:keepNext/>
        <w:spacing w:before="160" w:after="60"/>
      </w:pPr>
      <w:r>
        <w:rPr>
          <w:rFonts w:ascii="Inter" w:hAnsi="Inter" w:eastAsia="Inter"/>
          <w:b/>
          <w:color w:val="1F3F5B"/>
          <w:sz w:val="23"/>
        </w:rPr>
        <w:t xml:space="preserve">SEC. 1903. EXPRESS CLIMATE AND SYSTEMIC REGULATORY DELEGATIONS.</w:t>
      </w:r>
    </w:p>
    <w:p>
      <w:pPr>
        <w:pStyle w:val="FirstParagraph"/>
        <w:widowControl/>
        <w:spacing w:after="60" w:line="250" w:lineRule="auto"/>
      </w:pPr>
      <w:r>
        <w:rPr>
          <w:rFonts w:ascii="Noto Serif" w:hAnsi="Noto Serif" w:eastAsia="Noto Serif"/>
          <w:sz w:val="19"/>
        </w:rPr>
        <w:t xml:space="preserve">The Clean Air Act, Federal Power Act, Securities Exchange Act, public-health statutes, consumer laws, labor laws, and other statutes amended by this Act expressly permit agencies to address modern systemic risks within the subject and tools Congress assigned, including climate change, digital platforms, data markets, automated systems, and interconnected infrastructure.</w:t>
      </w:r>
    </w:p>
    <w:bookmarkEnd w:id="301"/>
    <w:bookmarkStart w:id="302" w:name="X5c134cb53d72e066e1a1294807a3ab9039d5819"/>
    <w:p>
      <w:pPr>
        <w:pStyle w:val="Heading2"/>
        <w:keepNext/>
        <w:spacing w:before="160" w:after="60"/>
      </w:pPr>
      <w:r>
        <w:rPr>
          <w:rFonts w:ascii="Inter" w:hAnsi="Inter" w:eastAsia="Inter"/>
          <w:b/>
          <w:color w:val="1F3F5B"/>
          <w:sz w:val="23"/>
        </w:rPr>
        <w:t xml:space="preserve">SEC. 1904. RELIEF AGAINST UNLAWFUL GOVERNMENT ACTION.</w:t>
      </w:r>
    </w:p>
    <w:p>
      <w:pPr>
        <w:widowControl/>
        <w:numPr>
          <w:ilvl w:val="0"/>
          <w:numId w:val="1107"/>
        </w:numPr>
        <w:spacing w:after="30" w:line="245" w:lineRule="auto"/>
      </w:pPr>
      <w:r>
        <w:rPr>
          <w:rFonts w:ascii="Noto Serif" w:hAnsi="Noto Serif" w:eastAsia="Noto Serif"/>
          <w:sz w:val="18"/>
        </w:rPr>
        <w:t xml:space="preserve">A court may award declaratory relief, party-specific injunctive relief, classwide relief, vacatur where authorized by the APA, remand, restitution, and other traditional equitable remedies.</w:t>
      </w:r>
    </w:p>
    <w:p>
      <w:pPr>
        <w:widowControl/>
        <w:numPr>
          <w:ilvl w:val="0"/>
          <w:numId w:val="1107"/>
        </w:numPr>
        <w:spacing w:after="30" w:line="245" w:lineRule="auto"/>
      </w:pPr>
      <w:r>
        <w:rPr>
          <w:rFonts w:ascii="Noto Serif" w:hAnsi="Noto Serif" w:eastAsia="Noto Serif"/>
          <w:sz w:val="18"/>
        </w:rPr>
        <w:t xml:space="preserve">Systemwide relief shall be no broader than necessary to provide complete relief, protect absent class members under Rule 23, preserve uniform administration expressly required by statute, or prevent evasion through nominally different parties.</w:t>
      </w:r>
    </w:p>
    <w:p>
      <w:pPr>
        <w:widowControl/>
        <w:numPr>
          <w:ilvl w:val="0"/>
          <w:numId w:val="1107"/>
        </w:numPr>
        <w:spacing w:after="30" w:line="245" w:lineRule="auto"/>
      </w:pPr>
      <w:r>
        <w:rPr>
          <w:rFonts w:ascii="Noto Serif" w:hAnsi="Noto Serif" w:eastAsia="Noto Serif"/>
          <w:sz w:val="18"/>
        </w:rPr>
        <w:t xml:space="preserve">Courts shall consider severability, reliance, disruption, public safety, and the risk of allowing unlawful action to continue.</w:t>
      </w:r>
    </w:p>
    <w:bookmarkEnd w:id="302"/>
    <w:bookmarkStart w:id="303" w:name="sec.-1905.-vacatur-and-remand."/>
    <w:p>
      <w:pPr>
        <w:pStyle w:val="Heading2"/>
        <w:keepNext/>
        <w:spacing w:before="160" w:after="60"/>
      </w:pPr>
      <w:r>
        <w:rPr>
          <w:rFonts w:ascii="Inter" w:hAnsi="Inter" w:eastAsia="Inter"/>
          <w:b/>
          <w:color w:val="1F3F5B"/>
          <w:sz w:val="23"/>
        </w:rPr>
        <w:t xml:space="preserve">SEC. 1905. VACATUR AND REMAND.</w:t>
      </w:r>
    </w:p>
    <w:p>
      <w:pPr>
        <w:pStyle w:val="FirstParagraph"/>
        <w:widowControl/>
        <w:spacing w:after="60" w:line="250" w:lineRule="auto"/>
      </w:pPr>
      <w:r>
        <w:rPr>
          <w:rFonts w:ascii="Noto Serif" w:hAnsi="Noto Serif" w:eastAsia="Noto Serif"/>
          <w:sz w:val="19"/>
        </w:rPr>
        <w:t xml:space="preserve">A reviewing court may vacate unlawful agency action. Remand without vacatur is permitted only where the defect is curable, temporary continuation is lawful, and vacatur would create substantially greater public harm. The court shall set a deadline and retain jurisdiction where appropriate.</w:t>
      </w:r>
    </w:p>
    <w:bookmarkEnd w:id="303"/>
    <w:bookmarkStart w:id="304" w:name="Xc3b90c0bd7efaaf014fc27dcdb289a68c3665f9"/>
    <w:p>
      <w:pPr>
        <w:pStyle w:val="Heading2"/>
        <w:keepNext/>
        <w:spacing w:before="160" w:after="60"/>
      </w:pPr>
      <w:r>
        <w:rPr>
          <w:rFonts w:ascii="Inter" w:hAnsi="Inter" w:eastAsia="Inter"/>
          <w:b/>
          <w:color w:val="1F3F5B"/>
          <w:sz w:val="23"/>
        </w:rPr>
        <w:t xml:space="preserve">SEC. 1906. STANDING AND PROCEDURAL RIGHTS.</w:t>
      </w:r>
    </w:p>
    <w:p>
      <w:pPr>
        <w:pStyle w:val="FirstParagraph"/>
        <w:widowControl/>
        <w:spacing w:after="60" w:line="250" w:lineRule="auto"/>
      </w:pPr>
      <w:r>
        <w:rPr>
          <w:rFonts w:ascii="Noto Serif" w:hAnsi="Noto Serif" w:eastAsia="Noto Serif"/>
          <w:sz w:val="19"/>
        </w:rPr>
        <w:t xml:space="preserve">A person denied a procedural protection designed to protect that person’s concrete interests may establish injury by showing a material risk that the denial affected those interests. A generalized ideological disagreement or abstract interest in lawful government is insufficient.</w:t>
      </w:r>
    </w:p>
    <w:bookmarkEnd w:id="304"/>
    <w:bookmarkStart w:id="305" w:name="sec.-1907.-expedited-three-judge-review."/>
    <w:p>
      <w:pPr>
        <w:pStyle w:val="Heading2"/>
        <w:keepNext/>
        <w:spacing w:before="160" w:after="60"/>
      </w:pPr>
      <w:r>
        <w:rPr>
          <w:rFonts w:ascii="Inter" w:hAnsi="Inter" w:eastAsia="Inter"/>
          <w:b/>
          <w:color w:val="1F3F5B"/>
          <w:sz w:val="23"/>
        </w:rPr>
        <w:t xml:space="preserve">SEC. 1907. EXPEDITED THREE-JUDGE REVIEW.</w:t>
      </w:r>
    </w:p>
    <w:p>
      <w:pPr>
        <w:pStyle w:val="FirstParagraph"/>
        <w:widowControl/>
        <w:spacing w:after="60" w:line="250" w:lineRule="auto"/>
      </w:pPr>
      <w:r>
        <w:rPr>
          <w:rFonts w:ascii="Noto Serif" w:hAnsi="Noto Serif" w:eastAsia="Noto Serif"/>
          <w:sz w:val="19"/>
        </w:rPr>
        <w:t xml:space="preserve">Facial challenges to the constitutionality of this Act, nationwide suspension of a title, or invalidation of a major restoration schedule shall be heard by a three-judge district court with direct appeal to the Supreme Court, consistent with title 28.</w:t>
      </w:r>
    </w:p>
    <w:bookmarkEnd w:id="305"/>
    <w:bookmarkStart w:id="306" w:name="sec.-1908.-regulatory-freezes."/>
    <w:p>
      <w:pPr>
        <w:pStyle w:val="Heading2"/>
        <w:keepNext/>
        <w:spacing w:before="160" w:after="60"/>
      </w:pPr>
      <w:r>
        <w:rPr>
          <w:rFonts w:ascii="Inter" w:hAnsi="Inter" w:eastAsia="Inter"/>
          <w:b/>
          <w:color w:val="1F3F5B"/>
          <w:sz w:val="23"/>
        </w:rPr>
        <w:t xml:space="preserve">SEC. 1908. REGULATORY FREEZES.</w:t>
      </w:r>
    </w:p>
    <w:p>
      <w:pPr>
        <w:pStyle w:val="FirstParagraph"/>
        <w:widowControl/>
        <w:spacing w:after="60" w:line="250" w:lineRule="auto"/>
      </w:pPr>
      <w:r>
        <w:rPr>
          <w:rFonts w:ascii="Noto Serif" w:hAnsi="Noto Serif" w:eastAsia="Noto Serif"/>
          <w:sz w:val="19"/>
        </w:rPr>
        <w:t xml:space="preserve">A presidential regulatory freeze may temporarily pause unpublished or not-yet-effective rules for not more than 60 days to permit legal and policy review. Withdrawal or indefinite delay of a final rule requires the procedures that would apply to repeal, except where the rule is unlawful on its face and a court orders otherwise.</w:t>
      </w:r>
    </w:p>
    <w:bookmarkEnd w:id="306"/>
    <w:bookmarkStart w:id="307" w:name="sec.-1909.-cost-benefit-analysis."/>
    <w:p>
      <w:pPr>
        <w:pStyle w:val="Heading2"/>
        <w:keepNext/>
        <w:spacing w:before="160" w:after="60"/>
      </w:pPr>
      <w:r>
        <w:rPr>
          <w:rFonts w:ascii="Inter" w:hAnsi="Inter" w:eastAsia="Inter"/>
          <w:b/>
          <w:color w:val="1F3F5B"/>
          <w:sz w:val="23"/>
        </w:rPr>
        <w:t xml:space="preserve">SEC. 1909. COST-BENEFIT ANALYSIS.</w:t>
      </w:r>
    </w:p>
    <w:p>
      <w:pPr>
        <w:pStyle w:val="FirstParagraph"/>
        <w:widowControl/>
        <w:spacing w:after="60" w:line="250" w:lineRule="auto"/>
      </w:pPr>
      <w:r>
        <w:rPr>
          <w:rFonts w:ascii="Noto Serif" w:hAnsi="Noto Serif" w:eastAsia="Noto Serif"/>
          <w:sz w:val="19"/>
        </w:rPr>
        <w:t xml:space="preserve">Regulatory analysis shall consider benefits, costs, distribution, rights, nonquantifiable effects, uncertainty, cumulative risk, alternatives, and statutory purpose. An agency may act where significant benefits cannot be monetized. Discount rates and assumptions shall be transparent and sensitivity-tested.</w:t>
      </w:r>
    </w:p>
    <w:bookmarkEnd w:id="307"/>
    <w:bookmarkStart w:id="308" w:name="sec.-1910.-scientific-peer-review."/>
    <w:p>
      <w:pPr>
        <w:pStyle w:val="Heading2"/>
        <w:keepNext/>
        <w:spacing w:before="160" w:after="60"/>
      </w:pPr>
      <w:r>
        <w:rPr>
          <w:rFonts w:ascii="Inter" w:hAnsi="Inter" w:eastAsia="Inter"/>
          <w:b/>
          <w:color w:val="1F3F5B"/>
          <w:sz w:val="23"/>
        </w:rPr>
        <w:t xml:space="preserve">SEC. 1910. SCIENTIFIC PEER REVIEW.</w:t>
      </w:r>
    </w:p>
    <w:p>
      <w:pPr>
        <w:pStyle w:val="FirstParagraph"/>
        <w:widowControl/>
        <w:spacing w:after="60" w:line="250" w:lineRule="auto"/>
      </w:pPr>
      <w:r>
        <w:rPr>
          <w:rFonts w:ascii="Noto Serif" w:hAnsi="Noto Serif" w:eastAsia="Noto Serif"/>
          <w:sz w:val="19"/>
        </w:rPr>
        <w:t xml:space="preserve">Influential scientific assessments shall receive proportionate peer review, conflict disclosure, public data where lawful, and response to significant comments. Peer review shall not be weaponized to delay emergency action or exclude qualified minority views.</w:t>
      </w:r>
    </w:p>
    <w:bookmarkEnd w:id="308"/>
    <w:bookmarkStart w:id="309" w:name="sec.-1911.-administrative-record."/>
    <w:p>
      <w:pPr>
        <w:pStyle w:val="Heading2"/>
        <w:keepNext/>
        <w:spacing w:before="160" w:after="60"/>
      </w:pPr>
      <w:r>
        <w:rPr>
          <w:rFonts w:ascii="Inter" w:hAnsi="Inter" w:eastAsia="Inter"/>
          <w:b/>
          <w:color w:val="1F3F5B"/>
          <w:sz w:val="23"/>
        </w:rPr>
        <w:t xml:space="preserve">SEC. 1911. ADMINISTRATIVE RECORD.</w:t>
      </w:r>
    </w:p>
    <w:p>
      <w:pPr>
        <w:pStyle w:val="FirstParagraph"/>
        <w:widowControl/>
        <w:spacing w:after="60" w:line="250" w:lineRule="auto"/>
      </w:pPr>
      <w:r>
        <w:rPr>
          <w:rFonts w:ascii="Noto Serif" w:hAnsi="Noto Serif" w:eastAsia="Noto Serif"/>
          <w:sz w:val="19"/>
        </w:rPr>
        <w:t xml:space="preserve">The administrative record includes material directly or indirectly considered, contrary evidence, significant internal technical analysis, and material communications from outside parties. Privileged material may be logged and protected, but may not be omitted to create a misleading record.</w:t>
      </w:r>
    </w:p>
    <w:bookmarkEnd w:id="309"/>
    <w:bookmarkStart w:id="310" w:name="sec.-1912.-fees-and-access-to-justice."/>
    <w:p>
      <w:pPr>
        <w:pStyle w:val="Heading2"/>
        <w:keepNext/>
        <w:spacing w:before="160" w:after="60"/>
      </w:pPr>
      <w:r>
        <w:rPr>
          <w:rFonts w:ascii="Inter" w:hAnsi="Inter" w:eastAsia="Inter"/>
          <w:b/>
          <w:color w:val="1F3F5B"/>
          <w:sz w:val="23"/>
        </w:rPr>
        <w:t xml:space="preserve">SEC. 1912. FEES AND ACCESS TO JUSTICE.</w:t>
      </w:r>
    </w:p>
    <w:p>
      <w:pPr>
        <w:pStyle w:val="FirstParagraph"/>
        <w:widowControl/>
        <w:spacing w:after="60" w:line="250" w:lineRule="auto"/>
      </w:pPr>
      <w:r>
        <w:rPr>
          <w:rFonts w:ascii="Noto Serif" w:hAnsi="Noto Serif" w:eastAsia="Noto Serif"/>
          <w:sz w:val="19"/>
        </w:rPr>
        <w:t xml:space="preserve">A prevailing individual, small business, nonprofit, union, Tribe, or local government may recover reasonable fees where the Government’s position was not substantially justified, subject to existing statutory caps and exceptions. Bad-faith obstruction permits enhanced fees.</w:t>
      </w:r>
    </w:p>
    <w:bookmarkEnd w:id="310"/>
    <w:bookmarkStart w:id="311" w:name="sec.-1913.-judicial-ethics-savings."/>
    <w:p>
      <w:pPr>
        <w:pStyle w:val="Heading2"/>
        <w:keepNext/>
        <w:spacing w:before="160" w:after="60"/>
      </w:pPr>
      <w:r>
        <w:rPr>
          <w:rFonts w:ascii="Inter" w:hAnsi="Inter" w:eastAsia="Inter"/>
          <w:b/>
          <w:color w:val="1F3F5B"/>
          <w:sz w:val="23"/>
        </w:rPr>
        <w:t xml:space="preserve">SEC. 1913. JUDICIAL ETHICS SAVINGS.</w:t>
      </w:r>
    </w:p>
    <w:p>
      <w:pPr>
        <w:pStyle w:val="FirstParagraph"/>
        <w:widowControl/>
        <w:spacing w:after="60" w:line="250" w:lineRule="auto"/>
      </w:pPr>
      <w:r>
        <w:rPr>
          <w:rFonts w:ascii="Noto Serif" w:hAnsi="Noto Serif" w:eastAsia="Noto Serif"/>
          <w:sz w:val="19"/>
        </w:rPr>
        <w:t xml:space="preserve">Nothing in this Act limits any stronger Supreme Court or Federal judicial ethics, recusal, disclosure, gift, travel, or enforcement requirement established by companion legislation.</w:t>
      </w:r>
    </w:p>
    <w:bookmarkEnd w:id="311"/>
    <w:bookmarkStart w:id="312" w:name="sec.-1914.-constitutional-avoidance."/>
    <w:p>
      <w:pPr>
        <w:pStyle w:val="Heading2"/>
        <w:keepNext/>
        <w:spacing w:before="160" w:after="60"/>
      </w:pPr>
      <w:r>
        <w:rPr>
          <w:rFonts w:ascii="Inter" w:hAnsi="Inter" w:eastAsia="Inter"/>
          <w:b/>
          <w:color w:val="1F3F5B"/>
          <w:sz w:val="23"/>
        </w:rPr>
        <w:t xml:space="preserve">SEC. 1914. CONSTITUTIONAL AVOIDANCE.</w:t>
      </w:r>
    </w:p>
    <w:p>
      <w:pPr>
        <w:pStyle w:val="FirstParagraph"/>
        <w:widowControl/>
        <w:spacing w:after="60" w:line="250" w:lineRule="auto"/>
      </w:pPr>
      <w:r>
        <w:rPr>
          <w:rFonts w:ascii="Noto Serif" w:hAnsi="Noto Serif" w:eastAsia="Noto Serif"/>
          <w:sz w:val="19"/>
        </w:rPr>
        <w:t xml:space="preserve">This title shall be construed to preserve Article III judicial power while respecting lawful congressional delegation and agency expertise. No provision requires a court to defer on a constitutional question.</w:t>
      </w:r>
    </w:p>
    <w:bookmarkEnd w:id="312"/>
    <w:bookmarkEnd w:id="313"/>
    <w:bookmarkStart w:id="330" w:name="Xcc719cd5e713a8445745fe606f7f757cf90cf33"/>
    <w:p>
      <w:pPr>
        <w:pStyle w:val="Heading1"/>
        <w:keepNext/>
        <w:pageBreakBefore/>
        <w:spacing w:before="0" w:after="180"/>
        <w:pBdr>
          <w:bottom w:val="single" w:sz="8" w:space="4" w:color="9EB0BF"/>
        </w:pBdr>
      </w:pPr>
      <w:r>
        <w:rPr>
          <w:rFonts w:ascii="Inter" w:hAnsi="Inter" w:eastAsia="Inter"/>
          <w:b/>
          <w:color w:val="142D48"/>
          <w:sz w:val="34"/>
        </w:rPr>
        <w:t xml:space="preserve">TITLE XX - ANTI-CORRUPTION, FOREIGN BRIBERY, RECORDS, AND PUBLIC INTEGRITY</w:t>
      </w:r>
    </w:p>
    <w:bookmarkStart w:id="314" w:name="X1a7c23765e17b9ddd4aa5a9abbe9cea56a8ade4"/>
    <w:p>
      <w:pPr>
        <w:pStyle w:val="Heading2"/>
        <w:keepNext/>
        <w:spacing w:before="160" w:after="60"/>
      </w:pPr>
      <w:r>
        <w:rPr>
          <w:rFonts w:ascii="Inter" w:hAnsi="Inter" w:eastAsia="Inter"/>
          <w:b/>
          <w:color w:val="1F3F5B"/>
          <w:sz w:val="23"/>
        </w:rPr>
        <w:t xml:space="preserve">SEC. 2001. TRANSPARENT GOVERNMENT ACT INTEGRATION.</w:t>
      </w:r>
    </w:p>
    <w:p>
      <w:pPr>
        <w:pStyle w:val="FirstParagraph"/>
        <w:widowControl/>
        <w:spacing w:after="60" w:line="250" w:lineRule="auto"/>
      </w:pPr>
      <w:r>
        <w:rPr>
          <w:rFonts w:ascii="Noto Serif" w:hAnsi="Noto Serif" w:eastAsia="Noto Serif"/>
          <w:sz w:val="19"/>
        </w:rPr>
        <w:t xml:space="preserve">The portal, covered-influence-contact, calendar, lobbying, citizen-question, public-money tracking, records, whistleblower, recusal, beneficial-ownership, and independent-accountability systems established by the Transparent Government Act shall serve as the general transparency infrastructure for this Act.</w:t>
      </w:r>
    </w:p>
    <w:bookmarkEnd w:id="314"/>
    <w:bookmarkStart w:id="315" w:name="X2335b056ef336e374edd7279f19861866a0179e"/>
    <w:p>
      <w:pPr>
        <w:pStyle w:val="Heading2"/>
        <w:keepNext/>
        <w:spacing w:before="160" w:after="60"/>
      </w:pPr>
      <w:r>
        <w:rPr>
          <w:rFonts w:ascii="Inter" w:hAnsi="Inter" w:eastAsia="Inter"/>
          <w:b/>
          <w:color w:val="1F3F5B"/>
          <w:sz w:val="23"/>
        </w:rPr>
        <w:t xml:space="preserve">SEC. 2002. RESTORATION-SPECIFIC DISCLOSURES.</w:t>
      </w:r>
    </w:p>
    <w:p>
      <w:pPr>
        <w:pStyle w:val="FirstParagraph"/>
        <w:widowControl/>
        <w:spacing w:after="60" w:line="250" w:lineRule="auto"/>
      </w:pPr>
      <w:r>
        <w:rPr>
          <w:rFonts w:ascii="Noto Serif" w:hAnsi="Noto Serif" w:eastAsia="Noto Serif"/>
          <w:sz w:val="19"/>
        </w:rPr>
        <w:t xml:space="preserve">The Restoration Portal shall identify:</w:t>
      </w:r>
    </w:p>
    <w:p>
      <w:pPr>
        <w:pStyle w:val="Compact"/>
        <w:widowControl/>
        <w:numPr>
          <w:ilvl w:val="0"/>
          <w:numId w:val="1108"/>
        </w:numPr>
        <w:spacing w:after="30" w:line="245" w:lineRule="auto"/>
      </w:pPr>
      <w:r>
        <w:rPr>
          <w:rFonts w:ascii="Noto Serif" w:hAnsi="Noto Serif" w:eastAsia="Noto Serif"/>
          <w:sz w:val="18"/>
        </w:rPr>
        <w:t xml:space="preserve">each covered rollback and restoration action;</w:t>
      </w:r>
    </w:p>
    <w:p>
      <w:pPr>
        <w:pStyle w:val="Compact"/>
        <w:widowControl/>
        <w:numPr>
          <w:ilvl w:val="0"/>
          <w:numId w:val="1108"/>
        </w:numPr>
        <w:spacing w:after="30" w:line="245" w:lineRule="auto"/>
      </w:pPr>
      <w:r>
        <w:rPr>
          <w:rFonts w:ascii="Noto Serif" w:hAnsi="Noto Serif" w:eastAsia="Noto Serif"/>
          <w:sz w:val="18"/>
        </w:rPr>
        <w:t xml:space="preserve">officials, contractors, grantees, lobbyists, donors, foreign principals, and regulated entities materially involved, subject to lawful privacy protection;</w:t>
      </w:r>
    </w:p>
    <w:p>
      <w:pPr>
        <w:pStyle w:val="Compact"/>
        <w:widowControl/>
        <w:numPr>
          <w:ilvl w:val="0"/>
          <w:numId w:val="1108"/>
        </w:numPr>
        <w:spacing w:after="30" w:line="245" w:lineRule="auto"/>
      </w:pPr>
      <w:r>
        <w:rPr>
          <w:rFonts w:ascii="Noto Serif" w:hAnsi="Noto Serif" w:eastAsia="Noto Serif"/>
          <w:sz w:val="18"/>
        </w:rPr>
        <w:t xml:space="preserve">requested government action and financial interest;</w:t>
      </w:r>
    </w:p>
    <w:p>
      <w:pPr>
        <w:pStyle w:val="Compact"/>
        <w:widowControl/>
        <w:numPr>
          <w:ilvl w:val="0"/>
          <w:numId w:val="1108"/>
        </w:numPr>
        <w:spacing w:after="30" w:line="245" w:lineRule="auto"/>
      </w:pPr>
      <w:r>
        <w:rPr>
          <w:rFonts w:ascii="Noto Serif" w:hAnsi="Noto Serif" w:eastAsia="Noto Serif"/>
          <w:sz w:val="18"/>
        </w:rPr>
        <w:t xml:space="preserve">public assets, grants, contracts, enforcement, permits, pardons, or appointments affected;</w:t>
      </w:r>
    </w:p>
    <w:p>
      <w:pPr>
        <w:pStyle w:val="Compact"/>
        <w:widowControl/>
        <w:numPr>
          <w:ilvl w:val="0"/>
          <w:numId w:val="1108"/>
        </w:numPr>
        <w:spacing w:after="30" w:line="245" w:lineRule="auto"/>
      </w:pPr>
      <w:r>
        <w:rPr>
          <w:rFonts w:ascii="Noto Serif" w:hAnsi="Noto Serif" w:eastAsia="Noto Serif"/>
          <w:sz w:val="18"/>
        </w:rPr>
        <w:t xml:space="preserve">legal opinions and evidence summaries;</w:t>
      </w:r>
    </w:p>
    <w:p>
      <w:pPr>
        <w:pStyle w:val="Compact"/>
        <w:widowControl/>
        <w:numPr>
          <w:ilvl w:val="0"/>
          <w:numId w:val="1108"/>
        </w:numPr>
        <w:spacing w:after="30" w:line="245" w:lineRule="auto"/>
      </w:pPr>
      <w:r>
        <w:rPr>
          <w:rFonts w:ascii="Noto Serif" w:hAnsi="Noto Serif" w:eastAsia="Noto Serif"/>
          <w:sz w:val="18"/>
        </w:rPr>
        <w:t xml:space="preserve">implementation cost, savings, and outcomes; and</w:t>
      </w:r>
    </w:p>
    <w:p>
      <w:pPr>
        <w:pStyle w:val="Compact"/>
        <w:widowControl/>
        <w:numPr>
          <w:ilvl w:val="0"/>
          <w:numId w:val="1108"/>
        </w:numPr>
        <w:spacing w:after="30" w:line="245" w:lineRule="auto"/>
      </w:pPr>
      <w:r>
        <w:rPr>
          <w:rFonts w:ascii="Noto Serif" w:hAnsi="Noto Serif" w:eastAsia="Noto Serif"/>
          <w:sz w:val="18"/>
        </w:rPr>
        <w:t xml:space="preserve">recusals, waivers, and enforcement referrals.</w:t>
      </w:r>
    </w:p>
    <w:bookmarkEnd w:id="315"/>
    <w:bookmarkStart w:id="316" w:name="X51a8939521912053159cc0557c521b6ccfd4907"/>
    <w:p>
      <w:pPr>
        <w:pStyle w:val="Heading2"/>
        <w:keepNext/>
        <w:spacing w:before="160" w:after="60"/>
      </w:pPr>
      <w:r>
        <w:rPr>
          <w:rFonts w:ascii="Inter" w:hAnsi="Inter" w:eastAsia="Inter"/>
          <w:b/>
          <w:color w:val="1F3F5B"/>
          <w:sz w:val="23"/>
        </w:rPr>
        <w:t xml:space="preserve">SEC. 2003. FOREIGN CORRUPT PRACTICES ACT.</w:t>
      </w:r>
    </w:p>
    <w:p>
      <w:pPr>
        <w:widowControl/>
        <w:numPr>
          <w:ilvl w:val="0"/>
          <w:numId w:val="1109"/>
        </w:numPr>
        <w:spacing w:after="30" w:line="245" w:lineRule="auto"/>
      </w:pPr>
      <w:r>
        <w:rPr>
          <w:rFonts w:ascii="Noto Serif" w:hAnsi="Noto Serif" w:eastAsia="Noto Serif"/>
          <w:sz w:val="18"/>
        </w:rPr>
        <w:t xml:space="preserve">The Attorney General and SEC shall enforce the Foreign Corrupt Practices Act according to published, country-neutral, evidence-based priorities.</w:t>
      </w:r>
    </w:p>
    <w:p>
      <w:pPr>
        <w:widowControl/>
        <w:numPr>
          <w:ilvl w:val="0"/>
          <w:numId w:val="1109"/>
        </w:numPr>
        <w:spacing w:after="30" w:line="245" w:lineRule="auto"/>
      </w:pPr>
      <w:r>
        <w:rPr>
          <w:rFonts w:ascii="Noto Serif" w:hAnsi="Noto Serif" w:eastAsia="Noto Serif"/>
          <w:sz w:val="18"/>
        </w:rPr>
        <w:t xml:space="preserve">A categorical pause or nonenforcement policy based solely on generalized competitiveness concerns is rescinded.</w:t>
      </w:r>
    </w:p>
    <w:p>
      <w:pPr>
        <w:widowControl/>
        <w:numPr>
          <w:ilvl w:val="0"/>
          <w:numId w:val="1109"/>
        </w:numPr>
        <w:spacing w:after="30" w:line="245" w:lineRule="auto"/>
      </w:pPr>
      <w:r>
        <w:rPr>
          <w:rFonts w:ascii="Noto Serif" w:hAnsi="Noto Serif" w:eastAsia="Noto Serif"/>
          <w:sz w:val="18"/>
        </w:rPr>
        <w:t xml:space="preserve">Guidance shall protect lawful hospitality, facilitation permitted by statute, bona fide business expenses, due process, declination credit, self-reporting, and effective compliance while targeting bribery, concealment, and kleptocracy.</w:t>
      </w:r>
    </w:p>
    <w:bookmarkEnd w:id="316"/>
    <w:bookmarkStart w:id="317" w:name="X8d6e4574061bbf23a926baf27daf20e5047b0ee"/>
    <w:p>
      <w:pPr>
        <w:pStyle w:val="Heading2"/>
        <w:keepNext/>
        <w:spacing w:before="160" w:after="60"/>
      </w:pPr>
      <w:r>
        <w:rPr>
          <w:rFonts w:ascii="Inter" w:hAnsi="Inter" w:eastAsia="Inter"/>
          <w:b/>
          <w:color w:val="1F3F5B"/>
          <w:sz w:val="23"/>
        </w:rPr>
        <w:t xml:space="preserve">SEC. 2004. PRESIDENTIAL AND SENIOR-OFFICIAL CONFLICTS.</w:t>
      </w:r>
    </w:p>
    <w:p>
      <w:pPr>
        <w:widowControl/>
        <w:numPr>
          <w:ilvl w:val="0"/>
          <w:numId w:val="1110"/>
        </w:numPr>
        <w:spacing w:after="30" w:line="245" w:lineRule="auto"/>
      </w:pPr>
      <w:r>
        <w:rPr>
          <w:rFonts w:ascii="Noto Serif" w:hAnsi="Noto Serif" w:eastAsia="Noto Serif"/>
          <w:sz w:val="18"/>
        </w:rPr>
        <w:t xml:space="preserve">The President, Vice President, Cabinet officials, and designated senior officers shall disclose beneficial ownership, debts, gifts, foreign income, digital assets, licensing, and business interests as provided by law.</w:t>
      </w:r>
    </w:p>
    <w:p>
      <w:pPr>
        <w:widowControl/>
        <w:numPr>
          <w:ilvl w:val="0"/>
          <w:numId w:val="1110"/>
        </w:numPr>
        <w:spacing w:after="30" w:line="245" w:lineRule="auto"/>
      </w:pPr>
      <w:r>
        <w:rPr>
          <w:rFonts w:ascii="Noto Serif" w:hAnsi="Noto Serif" w:eastAsia="Noto Serif"/>
          <w:sz w:val="18"/>
        </w:rPr>
        <w:t xml:space="preserve">Covered assets creating a substantial conflict shall be divested, placed in a qualified blind trust, or subject to a public recusal and management plan.</w:t>
      </w:r>
    </w:p>
    <w:p>
      <w:pPr>
        <w:widowControl/>
        <w:numPr>
          <w:ilvl w:val="0"/>
          <w:numId w:val="1110"/>
        </w:numPr>
        <w:spacing w:after="30" w:line="245" w:lineRule="auto"/>
      </w:pPr>
      <w:r>
        <w:rPr>
          <w:rFonts w:ascii="Noto Serif" w:hAnsi="Noto Serif" w:eastAsia="Noto Serif"/>
          <w:sz w:val="18"/>
        </w:rPr>
        <w:t xml:space="preserve">Official action may not be used to obtain a particularized financial benefit for the official, spouse, dependent, controlled entity, or business partner.</w:t>
      </w:r>
    </w:p>
    <w:bookmarkEnd w:id="317"/>
    <w:bookmarkStart w:id="318" w:name="X077de7d9516f82d6552c2510a92c3522f04329d"/>
    <w:p>
      <w:pPr>
        <w:pStyle w:val="Heading2"/>
        <w:keepNext/>
        <w:spacing w:before="160" w:after="60"/>
      </w:pPr>
      <w:r>
        <w:rPr>
          <w:rFonts w:ascii="Inter" w:hAnsi="Inter" w:eastAsia="Inter"/>
          <w:b/>
          <w:color w:val="1F3F5B"/>
          <w:sz w:val="23"/>
        </w:rPr>
        <w:t xml:space="preserve">SEC. 2005. NEPOTISM AND FAMILY ENRICHMENT.</w:t>
      </w:r>
    </w:p>
    <w:p>
      <w:pPr>
        <w:pStyle w:val="FirstParagraph"/>
        <w:widowControl/>
        <w:spacing w:after="60" w:line="250" w:lineRule="auto"/>
      </w:pPr>
      <w:r>
        <w:rPr>
          <w:rFonts w:ascii="Noto Serif" w:hAnsi="Noto Serif" w:eastAsia="Noto Serif"/>
          <w:sz w:val="19"/>
        </w:rPr>
        <w:t xml:space="preserve">No public official may appoint or direct the appointment of a relative to a covered Federal position contrary to anti-nepotism law. Federal contractors, foreign governments, regulated entities, and pardon applicants shall disclose material payments or benefits to immediate family members of designated officials when seeking official action.</w:t>
      </w:r>
    </w:p>
    <w:bookmarkEnd w:id="318"/>
    <w:bookmarkStart w:id="319" w:name="X00f0bad13aa20848d02ee02ada2dc77612ec512"/>
    <w:p>
      <w:pPr>
        <w:pStyle w:val="Heading2"/>
        <w:keepNext/>
        <w:spacing w:before="160" w:after="60"/>
      </w:pPr>
      <w:r>
        <w:rPr>
          <w:rFonts w:ascii="Inter" w:hAnsi="Inter" w:eastAsia="Inter"/>
          <w:b/>
          <w:color w:val="1F3F5B"/>
          <w:sz w:val="23"/>
        </w:rPr>
        <w:t xml:space="preserve">SEC. 2006. PARDONS AND CLEMENCY TRANSPARENCY.</w:t>
      </w:r>
    </w:p>
    <w:p>
      <w:pPr>
        <w:widowControl/>
        <w:numPr>
          <w:ilvl w:val="0"/>
          <w:numId w:val="1111"/>
        </w:numPr>
        <w:spacing w:after="30" w:line="245" w:lineRule="auto"/>
      </w:pPr>
      <w:r>
        <w:rPr>
          <w:rFonts w:ascii="Noto Serif" w:hAnsi="Noto Serif" w:eastAsia="Noto Serif"/>
          <w:sz w:val="18"/>
        </w:rPr>
        <w:t xml:space="preserve">The constitutional pardon power is preserved.</w:t>
      </w:r>
    </w:p>
    <w:p>
      <w:pPr>
        <w:widowControl/>
        <w:numPr>
          <w:ilvl w:val="0"/>
          <w:numId w:val="1111"/>
        </w:numPr>
        <w:spacing w:after="30" w:line="245" w:lineRule="auto"/>
      </w:pPr>
      <w:r>
        <w:rPr>
          <w:rFonts w:ascii="Noto Serif" w:hAnsi="Noto Serif" w:eastAsia="Noto Serif"/>
          <w:sz w:val="18"/>
        </w:rPr>
        <w:t xml:space="preserve">The Office of the Pardon Attorney shall publish criteria, applications, recommendations, and reasons after disposition, subject to privacy and safety.</w:t>
      </w:r>
    </w:p>
    <w:p>
      <w:pPr>
        <w:widowControl/>
        <w:numPr>
          <w:ilvl w:val="0"/>
          <w:numId w:val="1111"/>
        </w:numPr>
        <w:spacing w:after="30" w:line="245" w:lineRule="auto"/>
      </w:pPr>
      <w:r>
        <w:rPr>
          <w:rFonts w:ascii="Noto Serif" w:hAnsi="Noto Serif" w:eastAsia="Noto Serif"/>
          <w:sz w:val="18"/>
        </w:rPr>
        <w:t xml:space="preserve">A pardon involving the President, family, campaign, business, witness, donor, or person who provided a benefit to a covered official shall be reported to Congress with relevant conflict information.</w:t>
      </w:r>
    </w:p>
    <w:p>
      <w:pPr>
        <w:widowControl/>
        <w:numPr>
          <w:ilvl w:val="0"/>
          <w:numId w:val="1111"/>
        </w:numPr>
        <w:spacing w:after="30" w:line="245" w:lineRule="auto"/>
      </w:pPr>
      <w:r>
        <w:rPr>
          <w:rFonts w:ascii="Noto Serif" w:hAnsi="Noto Serif" w:eastAsia="Noto Serif"/>
          <w:sz w:val="18"/>
        </w:rPr>
        <w:t xml:space="preserve">Bribery, obstruction, destruction of records, or an agreement to provide false testimony in exchange for clemency remains prosecutable conduct independent of the pardon.</w:t>
      </w:r>
    </w:p>
    <w:bookmarkEnd w:id="319"/>
    <w:bookmarkStart w:id="320" w:name="X74946307889ffc57c5c5db04812fc8268f24f33"/>
    <w:p>
      <w:pPr>
        <w:pStyle w:val="Heading2"/>
        <w:keepNext/>
        <w:spacing w:before="160" w:after="60"/>
      </w:pPr>
      <w:r>
        <w:rPr>
          <w:rFonts w:ascii="Inter" w:hAnsi="Inter" w:eastAsia="Inter"/>
          <w:b/>
          <w:color w:val="1F3F5B"/>
          <w:sz w:val="23"/>
        </w:rPr>
        <w:t xml:space="preserve">SEC. 2007. LOBBYING AND SHADOW INFLUENCE.</w:t>
      </w:r>
    </w:p>
    <w:p>
      <w:pPr>
        <w:pStyle w:val="FirstParagraph"/>
        <w:widowControl/>
        <w:spacing w:after="60" w:line="250" w:lineRule="auto"/>
      </w:pPr>
      <w:r>
        <w:rPr>
          <w:rFonts w:ascii="Noto Serif" w:hAnsi="Noto Serif" w:eastAsia="Noto Serif"/>
          <w:sz w:val="19"/>
        </w:rPr>
        <w:t xml:space="preserve">A person compensated above an inflation-adjusted threshold to make covered influence contacts must register even if contacts occupy less than 20 percent of the person’s time. Strategic advisers, political fundraisers, former officials, lawyers, nonprofits, trade associations, and consultants may not evade disclosure by using intermediaries or avoiding a formal request.</w:t>
      </w:r>
    </w:p>
    <w:bookmarkEnd w:id="320"/>
    <w:bookmarkStart w:id="321" w:name="sec.-2008.-revolving-door."/>
    <w:p>
      <w:pPr>
        <w:pStyle w:val="Heading2"/>
        <w:keepNext/>
        <w:spacing w:before="160" w:after="60"/>
      </w:pPr>
      <w:r>
        <w:rPr>
          <w:rFonts w:ascii="Inter" w:hAnsi="Inter" w:eastAsia="Inter"/>
          <w:b/>
          <w:color w:val="1F3F5B"/>
          <w:sz w:val="23"/>
        </w:rPr>
        <w:t xml:space="preserve">SEC. 2008. REVOLVING DOOR.</w:t>
      </w:r>
    </w:p>
    <w:p>
      <w:pPr>
        <w:pStyle w:val="FirstParagraph"/>
        <w:widowControl/>
        <w:spacing w:after="60" w:line="250" w:lineRule="auto"/>
      </w:pPr>
      <w:r>
        <w:rPr>
          <w:rFonts w:ascii="Noto Serif" w:hAnsi="Noto Serif" w:eastAsia="Noto Serif"/>
          <w:sz w:val="19"/>
        </w:rPr>
        <w:t xml:space="preserve">Designated senior officials are prohibited for two years after service from representing another person before their former agency, and for five years from representing a foreign government before the United States. Lifetime restrictions apply to switching sides in the same particular matter involving specific parties.</w:t>
      </w:r>
    </w:p>
    <w:bookmarkEnd w:id="321"/>
    <w:bookmarkStart w:id="322" w:name="X781e2622aaf9d81a68217498c439a8932962fb6"/>
    <w:p>
      <w:pPr>
        <w:pStyle w:val="Heading2"/>
        <w:keepNext/>
        <w:spacing w:before="160" w:after="60"/>
      </w:pPr>
      <w:r>
        <w:rPr>
          <w:rFonts w:ascii="Inter" w:hAnsi="Inter" w:eastAsia="Inter"/>
          <w:b/>
          <w:color w:val="1F3F5B"/>
          <w:sz w:val="23"/>
        </w:rPr>
        <w:t xml:space="preserve">SEC. 2009. FEDERAL CONTRACT AND GRANT INTEGRITY.</w:t>
      </w:r>
    </w:p>
    <w:p>
      <w:pPr>
        <w:pStyle w:val="FirstParagraph"/>
        <w:widowControl/>
        <w:spacing w:after="60" w:line="250" w:lineRule="auto"/>
      </w:pPr>
      <w:r>
        <w:rPr>
          <w:rFonts w:ascii="Noto Serif" w:hAnsi="Noto Serif" w:eastAsia="Noto Serif"/>
          <w:sz w:val="19"/>
        </w:rPr>
        <w:t xml:space="preserve">Contractors and grantees shall disclose beneficial owners, significant subcontractors, conflicts, lobbying, foreign control, debarment history, and material political-fundraising relationships relevant to the award. Protected political activity alone may not determine award eligibility.</w:t>
      </w:r>
    </w:p>
    <w:bookmarkEnd w:id="322"/>
    <w:bookmarkStart w:id="323" w:name="Xc5f25d6e34cf4bd641ba6438ce8ecb6e8822804"/>
    <w:p>
      <w:pPr>
        <w:pStyle w:val="Heading2"/>
        <w:keepNext/>
        <w:spacing w:before="160" w:after="60"/>
      </w:pPr>
      <w:r>
        <w:rPr>
          <w:rFonts w:ascii="Inter" w:hAnsi="Inter" w:eastAsia="Inter"/>
          <w:b/>
          <w:color w:val="1F3F5B"/>
          <w:sz w:val="23"/>
        </w:rPr>
        <w:t xml:space="preserve">SEC. 2010. RECORDS AND DISAPPEARING COMMUNICATIONS.</w:t>
      </w:r>
    </w:p>
    <w:p>
      <w:pPr>
        <w:pStyle w:val="FirstParagraph"/>
        <w:widowControl/>
        <w:spacing w:after="60" w:line="250" w:lineRule="auto"/>
      </w:pPr>
      <w:r>
        <w:rPr>
          <w:rFonts w:ascii="Noto Serif" w:hAnsi="Noto Serif" w:eastAsia="Noto Serif"/>
          <w:sz w:val="19"/>
        </w:rPr>
        <w:t xml:space="preserve">Federal officials and contractors may not use disappearing messages, private servers, ephemeral collaboration tools, or personal devices to evade the Federal Records Act, FOIA, discovery, Inspectors General, or Congress. Agencies shall configure retention by default and audit deletion.</w:t>
      </w:r>
    </w:p>
    <w:bookmarkEnd w:id="323"/>
    <w:bookmarkStart w:id="324" w:name="Xb4434861a125e907cfa16d0277c51c1f5d6a2b6"/>
    <w:p>
      <w:pPr>
        <w:pStyle w:val="Heading2"/>
        <w:keepNext/>
        <w:spacing w:before="160" w:after="60"/>
      </w:pPr>
      <w:r>
        <w:rPr>
          <w:rFonts w:ascii="Inter" w:hAnsi="Inter" w:eastAsia="Inter"/>
          <w:b/>
          <w:color w:val="1F3F5B"/>
          <w:sz w:val="23"/>
        </w:rPr>
        <w:t xml:space="preserve">SEC. 2011. WHISTLEBLOWERS, JOURNALISTS, AND WATCHDOGS.</w:t>
      </w:r>
    </w:p>
    <w:p>
      <w:pPr>
        <w:pStyle w:val="FirstParagraph"/>
        <w:widowControl/>
        <w:spacing w:after="60" w:line="250" w:lineRule="auto"/>
      </w:pPr>
      <w:r>
        <w:rPr>
          <w:rFonts w:ascii="Noto Serif" w:hAnsi="Noto Serif" w:eastAsia="Noto Serif"/>
          <w:sz w:val="19"/>
        </w:rPr>
        <w:t xml:space="preserve">No person may retaliate against a lawful whistleblower, journalist, auditor, civil-society watchdog, or citizen petitioner for reporting corruption, concealment, misuse of funds, data abuse, or rights violations. Remedies include reinstatement, back pay, compensatory damages, protective orders, fees, and disciplinary referral.</w:t>
      </w:r>
    </w:p>
    <w:bookmarkEnd w:id="324"/>
    <w:bookmarkStart w:id="325" w:name="Xdef273ae5e5e9cb77a4de4b38248b3b094fa513"/>
    <w:p>
      <w:pPr>
        <w:pStyle w:val="Heading2"/>
        <w:keepNext/>
        <w:spacing w:before="160" w:after="60"/>
      </w:pPr>
      <w:r>
        <w:rPr>
          <w:rFonts w:ascii="Inter" w:hAnsi="Inter" w:eastAsia="Inter"/>
          <w:b/>
          <w:color w:val="1F3F5B"/>
          <w:sz w:val="23"/>
        </w:rPr>
        <w:t xml:space="preserve">SEC. 2012. INSPECTOR GENERAL AND GAO ACCESS.</w:t>
      </w:r>
    </w:p>
    <w:p>
      <w:pPr>
        <w:pStyle w:val="FirstParagraph"/>
        <w:widowControl/>
        <w:spacing w:after="60" w:line="250" w:lineRule="auto"/>
      </w:pPr>
      <w:r>
        <w:rPr>
          <w:rFonts w:ascii="Noto Serif" w:hAnsi="Noto Serif" w:eastAsia="Noto Serif"/>
          <w:sz w:val="19"/>
        </w:rPr>
        <w:t xml:space="preserve">Contract clauses, nondisclosure agreements, privileges not recognized by law, or agency-created data compartments may not defeat lawful access by an Inspector General or GAO. National-security information shall be handled through secure procedures.</w:t>
      </w:r>
    </w:p>
    <w:bookmarkEnd w:id="325"/>
    <w:bookmarkStart w:id="326" w:name="X469bd08353e91c36de405bb267efe9721f2427a"/>
    <w:p>
      <w:pPr>
        <w:pStyle w:val="Heading2"/>
        <w:keepNext/>
        <w:spacing w:before="160" w:after="60"/>
      </w:pPr>
      <w:r>
        <w:rPr>
          <w:rFonts w:ascii="Inter" w:hAnsi="Inter" w:eastAsia="Inter"/>
          <w:b/>
          <w:color w:val="1F3F5B"/>
          <w:sz w:val="23"/>
        </w:rPr>
        <w:t xml:space="preserve">SEC. 2013. INDEPENDENT ACCOUNTABILITY OFFICE.</w:t>
      </w:r>
    </w:p>
    <w:p>
      <w:pPr>
        <w:pStyle w:val="FirstParagraph"/>
        <w:widowControl/>
        <w:spacing w:after="60" w:line="250" w:lineRule="auto"/>
      </w:pPr>
      <w:r>
        <w:rPr>
          <w:rFonts w:ascii="Noto Serif" w:hAnsi="Noto Serif" w:eastAsia="Noto Serif"/>
          <w:sz w:val="19"/>
        </w:rPr>
        <w:t xml:space="preserve">If the Transparent Government Act has not established an independent accountability office within one year after enactment, an interim Office of Federal Public Integrity shall be established for five years to investigate disclosures under this title, impose civil penalties after hearing, issue subpoenas subject to court enforcement, and refer criminal matters.</w:t>
      </w:r>
    </w:p>
    <w:bookmarkEnd w:id="326"/>
    <w:bookmarkStart w:id="327" w:name="sec.-2014.-civil-penalties."/>
    <w:p>
      <w:pPr>
        <w:pStyle w:val="Heading2"/>
        <w:keepNext/>
        <w:spacing w:before="160" w:after="60"/>
      </w:pPr>
      <w:r>
        <w:rPr>
          <w:rFonts w:ascii="Inter" w:hAnsi="Inter" w:eastAsia="Inter"/>
          <w:b/>
          <w:color w:val="1F3F5B"/>
          <w:sz w:val="23"/>
        </w:rPr>
        <w:t xml:space="preserve">SEC. 2014. CIVIL PENALTIES.</w:t>
      </w:r>
    </w:p>
    <w:p>
      <w:pPr>
        <w:pStyle w:val="FirstParagraph"/>
        <w:widowControl/>
        <w:spacing w:after="60" w:line="250" w:lineRule="auto"/>
      </w:pPr>
      <w:r>
        <w:rPr>
          <w:rFonts w:ascii="Noto Serif" w:hAnsi="Noto Serif" w:eastAsia="Noto Serif"/>
          <w:sz w:val="19"/>
        </w:rPr>
        <w:t xml:space="preserve">Knowing concealment, materially false disclosure, destruction of covered records, prohibited retaliation, or deliberate evasion of influence-registration requirements may result in a civil penalty up to the greater of $250,000 or three times the financial benefit sought or obtained, adjusted for culpability and ability to pay.</w:t>
      </w:r>
    </w:p>
    <w:bookmarkEnd w:id="327"/>
    <w:bookmarkStart w:id="328" w:name="sec.-2015.-criminal-referrals."/>
    <w:p>
      <w:pPr>
        <w:pStyle w:val="Heading2"/>
        <w:keepNext/>
        <w:spacing w:before="160" w:after="60"/>
      </w:pPr>
      <w:r>
        <w:rPr>
          <w:rFonts w:ascii="Inter" w:hAnsi="Inter" w:eastAsia="Inter"/>
          <w:b/>
          <w:color w:val="1F3F5B"/>
          <w:sz w:val="23"/>
        </w:rPr>
        <w:t xml:space="preserve">SEC. 2015. CRIMINAL REFERRALS.</w:t>
      </w:r>
    </w:p>
    <w:p>
      <w:pPr>
        <w:pStyle w:val="FirstParagraph"/>
        <w:widowControl/>
        <w:spacing w:after="60" w:line="250" w:lineRule="auto"/>
      </w:pPr>
      <w:r>
        <w:rPr>
          <w:rFonts w:ascii="Noto Serif" w:hAnsi="Noto Serif" w:eastAsia="Noto Serif"/>
          <w:sz w:val="19"/>
        </w:rPr>
        <w:t xml:space="preserve">Criminal penalties apply only where an existing criminal statute or an express provision of this Act requires knowing and willful conduct. No person shall be prosecuted for a good-faith legal interpretation, inadvertent filing error promptly corrected, or protected advocacy.</w:t>
      </w:r>
    </w:p>
    <w:bookmarkEnd w:id="328"/>
    <w:bookmarkStart w:id="329" w:name="sec.-2016.-savings."/>
    <w:p>
      <w:pPr>
        <w:pStyle w:val="Heading2"/>
        <w:keepNext/>
        <w:spacing w:before="160" w:after="60"/>
      </w:pPr>
      <w:r>
        <w:rPr>
          <w:rFonts w:ascii="Inter" w:hAnsi="Inter" w:eastAsia="Inter"/>
          <w:b/>
          <w:color w:val="1F3F5B"/>
          <w:sz w:val="23"/>
        </w:rPr>
        <w:t xml:space="preserve">SEC. 2016. SAVINGS.</w:t>
      </w:r>
    </w:p>
    <w:p>
      <w:pPr>
        <w:pStyle w:val="FirstParagraph"/>
        <w:widowControl/>
        <w:spacing w:after="60" w:line="250" w:lineRule="auto"/>
      </w:pPr>
      <w:r>
        <w:rPr>
          <w:rFonts w:ascii="Noto Serif" w:hAnsi="Noto Serif" w:eastAsia="Noto Serif"/>
          <w:sz w:val="19"/>
        </w:rPr>
        <w:t xml:space="preserve">This title does not diminish the Speech or Debate Clause, executive privilege lawfully asserted and adjudicated, attorney-client privilege, whistleblower rights, press freedom, petition rights, or legitimate protection of classified information.</w:t>
      </w:r>
    </w:p>
    <w:bookmarkEnd w:id="329"/>
    <w:bookmarkEnd w:id="330"/>
    <w:bookmarkStart w:id="345" w:name="X97a6a619efbd51523c10ce36da44bb49c5e503f"/>
    <w:p>
      <w:pPr>
        <w:pStyle w:val="Heading1"/>
        <w:keepNext/>
        <w:pageBreakBefore/>
        <w:spacing w:before="0" w:after="180"/>
        <w:pBdr>
          <w:bottom w:val="single" w:sz="8" w:space="4" w:color="9EB0BF"/>
        </w:pBdr>
      </w:pPr>
      <w:r>
        <w:rPr>
          <w:rFonts w:ascii="Inter" w:hAnsi="Inter" w:eastAsia="Inter"/>
          <w:b/>
          <w:color w:val="142D48"/>
          <w:sz w:val="34"/>
        </w:rPr>
        <w:t xml:space="preserve">TITLE XXI - REMEDIATION, RESTITUTION, AND TRANSITIONAL JUSTICE</w:t>
      </w:r>
    </w:p>
    <w:bookmarkStart w:id="331" w:name="X31d84fb72940a18f113df76f53fda2b9b4f27cc"/>
    <w:p>
      <w:pPr>
        <w:pStyle w:val="Heading2"/>
        <w:keepNext/>
        <w:spacing w:before="160" w:after="60"/>
      </w:pPr>
      <w:r>
        <w:rPr>
          <w:rFonts w:ascii="Inter" w:hAnsi="Inter" w:eastAsia="Inter"/>
          <w:b/>
          <w:color w:val="1F3F5B"/>
          <w:sz w:val="23"/>
        </w:rPr>
        <w:t xml:space="preserve">SEC. 2101. AMERICAN RESTORATION CLAIMS COMMISSION.</w:t>
      </w:r>
    </w:p>
    <w:p>
      <w:pPr>
        <w:widowControl/>
        <w:numPr>
          <w:ilvl w:val="0"/>
          <w:numId w:val="1112"/>
        </w:numPr>
        <w:spacing w:after="30" w:line="245" w:lineRule="auto"/>
      </w:pPr>
      <w:r>
        <w:rPr>
          <w:rFonts w:ascii="Noto Serif" w:hAnsi="Noto Serif" w:eastAsia="Noto Serif"/>
          <w:sz w:val="18"/>
        </w:rPr>
        <w:t xml:space="preserve">There is established within the Department of Justice an independent</w:t>
      </w:r>
      <w:r>
        <w:rPr>
          <w:rFonts w:ascii="Noto Serif" w:hAnsi="Noto Serif" w:eastAsia="Noto Serif"/>
          <w:sz w:val="18"/>
        </w:rPr>
        <w:t xml:space="preserve"> </w:t>
      </w:r>
      <w:r>
        <w:rPr>
          <w:rFonts w:ascii="Noto Serif" w:hAnsi="Noto Serif" w:eastAsia="Noto Serif"/>
          <w:b/>
          <w:bCs/>
          <w:sz w:val="18"/>
        </w:rPr>
        <w:t xml:space="preserve">American Restoration Claims Commission</w:t>
      </w:r>
      <w:r>
        <w:rPr>
          <w:rFonts w:ascii="Noto Serif" w:hAnsi="Noto Serif" w:eastAsia="Noto Serif"/>
          <w:sz w:val="18"/>
        </w:rPr>
        <w:t xml:space="preserve"> </w:t>
      </w:r>
      <w:r>
        <w:rPr>
          <w:rFonts w:ascii="Noto Serif" w:hAnsi="Noto Serif" w:eastAsia="Noto Serif"/>
          <w:sz w:val="18"/>
        </w:rPr>
        <w:t xml:space="preserve">composed of five commissioners appointed by the President, with Senate consent, for staggered 7-year terms.</w:t>
      </w:r>
    </w:p>
    <w:p>
      <w:pPr>
        <w:widowControl/>
        <w:numPr>
          <w:ilvl w:val="0"/>
          <w:numId w:val="1112"/>
        </w:numPr>
        <w:spacing w:after="30" w:line="245" w:lineRule="auto"/>
      </w:pPr>
      <w:r>
        <w:rPr>
          <w:rFonts w:ascii="Noto Serif" w:hAnsi="Noto Serif" w:eastAsia="Noto Serif"/>
          <w:sz w:val="18"/>
        </w:rPr>
        <w:t xml:space="preserve">Commissioners shall have experience in administrative claims, employment, grants and contracts, immigration, environmental remediation, civil rights, or public finance.</w:t>
      </w:r>
    </w:p>
    <w:p>
      <w:pPr>
        <w:widowControl/>
        <w:numPr>
          <w:ilvl w:val="0"/>
          <w:numId w:val="1112"/>
        </w:numPr>
        <w:spacing w:after="30" w:line="245" w:lineRule="auto"/>
      </w:pPr>
      <w:r>
        <w:rPr>
          <w:rFonts w:ascii="Noto Serif" w:hAnsi="Noto Serif" w:eastAsia="Noto Serif"/>
          <w:sz w:val="18"/>
        </w:rPr>
        <w:t xml:space="preserve">The Commission shall use accessible procedures, regional hearings, electronic filing, language access, and reasoned written decisions.</w:t>
      </w:r>
    </w:p>
    <w:bookmarkEnd w:id="331"/>
    <w:bookmarkStart w:id="332" w:name="sec.-2102.-eligible-claims."/>
    <w:p>
      <w:pPr>
        <w:pStyle w:val="Heading2"/>
        <w:keepNext/>
        <w:spacing w:before="160" w:after="60"/>
      </w:pPr>
      <w:r>
        <w:rPr>
          <w:rFonts w:ascii="Inter" w:hAnsi="Inter" w:eastAsia="Inter"/>
          <w:b/>
          <w:color w:val="1F3F5B"/>
          <w:sz w:val="23"/>
        </w:rPr>
        <w:t xml:space="preserve">SEC. 2102. ELIGIBLE CLAIMS.</w:t>
      </w:r>
    </w:p>
    <w:p>
      <w:pPr>
        <w:pStyle w:val="FirstParagraph"/>
        <w:widowControl/>
        <w:spacing w:after="60" w:line="250" w:lineRule="auto"/>
      </w:pPr>
      <w:r>
        <w:rPr>
          <w:rFonts w:ascii="Noto Serif" w:hAnsi="Noto Serif" w:eastAsia="Noto Serif"/>
          <w:sz w:val="19"/>
        </w:rPr>
        <w:t xml:space="preserve">The Commission may adjudicate claims arising directly from a covered rollback action involving:</w:t>
      </w:r>
    </w:p>
    <w:p>
      <w:pPr>
        <w:pStyle w:val="Compact"/>
        <w:widowControl/>
        <w:numPr>
          <w:ilvl w:val="0"/>
          <w:numId w:val="1113"/>
        </w:numPr>
        <w:spacing w:after="30" w:line="245" w:lineRule="auto"/>
      </w:pPr>
      <w:r>
        <w:rPr>
          <w:rFonts w:ascii="Noto Serif" w:hAnsi="Noto Serif" w:eastAsia="Noto Serif"/>
          <w:sz w:val="18"/>
        </w:rPr>
        <w:t xml:space="preserve">unlawful or procedurally defective separation of a Federal employee;</w:t>
      </w:r>
    </w:p>
    <w:p>
      <w:pPr>
        <w:pStyle w:val="Compact"/>
        <w:widowControl/>
        <w:numPr>
          <w:ilvl w:val="0"/>
          <w:numId w:val="1113"/>
        </w:numPr>
        <w:spacing w:after="30" w:line="245" w:lineRule="auto"/>
      </w:pPr>
      <w:r>
        <w:rPr>
          <w:rFonts w:ascii="Noto Serif" w:hAnsi="Noto Serif" w:eastAsia="Noto Serif"/>
          <w:sz w:val="18"/>
        </w:rPr>
        <w:t xml:space="preserve">abrupt termination of a grant or contract contrary to statute or the instrument;</w:t>
      </w:r>
    </w:p>
    <w:p>
      <w:pPr>
        <w:pStyle w:val="Compact"/>
        <w:widowControl/>
        <w:numPr>
          <w:ilvl w:val="0"/>
          <w:numId w:val="1113"/>
        </w:numPr>
        <w:spacing w:after="30" w:line="245" w:lineRule="auto"/>
      </w:pPr>
      <w:r>
        <w:rPr>
          <w:rFonts w:ascii="Noto Serif" w:hAnsi="Noto Serif" w:eastAsia="Noto Serif"/>
          <w:sz w:val="18"/>
        </w:rPr>
        <w:t xml:space="preserve">wrongful immigration detention or removal covered by section 814;</w:t>
      </w:r>
    </w:p>
    <w:p>
      <w:pPr>
        <w:pStyle w:val="Compact"/>
        <w:widowControl/>
        <w:numPr>
          <w:ilvl w:val="0"/>
          <w:numId w:val="1113"/>
        </w:numPr>
        <w:spacing w:after="30" w:line="245" w:lineRule="auto"/>
      </w:pPr>
      <w:r>
        <w:rPr>
          <w:rFonts w:ascii="Noto Serif" w:hAnsi="Noto Serif" w:eastAsia="Noto Serif"/>
          <w:sz w:val="18"/>
        </w:rPr>
        <w:t xml:space="preserve">unlawful disclosure or access to sensitive personal data;</w:t>
      </w:r>
    </w:p>
    <w:p>
      <w:pPr>
        <w:pStyle w:val="Compact"/>
        <w:widowControl/>
        <w:numPr>
          <w:ilvl w:val="0"/>
          <w:numId w:val="1113"/>
        </w:numPr>
        <w:spacing w:after="30" w:line="245" w:lineRule="auto"/>
      </w:pPr>
      <w:r>
        <w:rPr>
          <w:rFonts w:ascii="Noto Serif" w:hAnsi="Noto Serif" w:eastAsia="Noto Serif"/>
          <w:sz w:val="18"/>
        </w:rPr>
        <w:t xml:space="preserve">loss of a statutory benefit through an invalid categorical policy;</w:t>
      </w:r>
    </w:p>
    <w:p>
      <w:pPr>
        <w:pStyle w:val="Compact"/>
        <w:widowControl/>
        <w:numPr>
          <w:ilvl w:val="0"/>
          <w:numId w:val="1113"/>
        </w:numPr>
        <w:spacing w:after="30" w:line="245" w:lineRule="auto"/>
      </w:pPr>
      <w:r>
        <w:rPr>
          <w:rFonts w:ascii="Noto Serif" w:hAnsi="Noto Serif" w:eastAsia="Noto Serif"/>
          <w:sz w:val="18"/>
        </w:rPr>
        <w:t xml:space="preserve">physical, ecological, cultural, or public-infrastructure damage on Federal or Tribal lands;</w:t>
      </w:r>
    </w:p>
    <w:p>
      <w:pPr>
        <w:pStyle w:val="Compact"/>
        <w:widowControl/>
        <w:numPr>
          <w:ilvl w:val="0"/>
          <w:numId w:val="1113"/>
        </w:numPr>
        <w:spacing w:after="30" w:line="245" w:lineRule="auto"/>
      </w:pPr>
      <w:r>
        <w:rPr>
          <w:rFonts w:ascii="Noto Serif" w:hAnsi="Noto Serif" w:eastAsia="Noto Serif"/>
          <w:sz w:val="18"/>
        </w:rPr>
        <w:t xml:space="preserve">unreimbursed lifesaving continuity or demobilization cost caused by an unlawful foreign-assistance termination; or</w:t>
      </w:r>
    </w:p>
    <w:p>
      <w:pPr>
        <w:pStyle w:val="Compact"/>
        <w:widowControl/>
        <w:numPr>
          <w:ilvl w:val="0"/>
          <w:numId w:val="1113"/>
        </w:numPr>
        <w:spacing w:after="30" w:line="245" w:lineRule="auto"/>
      </w:pPr>
      <w:r>
        <w:rPr>
          <w:rFonts w:ascii="Noto Serif" w:hAnsi="Noto Serif" w:eastAsia="Noto Serif"/>
          <w:sz w:val="18"/>
        </w:rPr>
        <w:t xml:space="preserve">another category designated by Congress.</w:t>
      </w:r>
    </w:p>
    <w:bookmarkEnd w:id="332"/>
    <w:bookmarkStart w:id="333" w:name="sec.-2103.-federal-employee-relief."/>
    <w:p>
      <w:pPr>
        <w:pStyle w:val="Heading2"/>
        <w:keepNext/>
        <w:spacing w:before="160" w:after="60"/>
      </w:pPr>
      <w:r>
        <w:rPr>
          <w:rFonts w:ascii="Inter" w:hAnsi="Inter" w:eastAsia="Inter"/>
          <w:b/>
          <w:color w:val="1F3F5B"/>
          <w:sz w:val="23"/>
        </w:rPr>
        <w:t xml:space="preserve">SEC. 2103. FEDERAL EMPLOYEE RELIEF.</w:t>
      </w:r>
    </w:p>
    <w:p>
      <w:pPr>
        <w:pStyle w:val="FirstParagraph"/>
        <w:widowControl/>
        <w:spacing w:after="60" w:line="250" w:lineRule="auto"/>
      </w:pPr>
      <w:r>
        <w:rPr>
          <w:rFonts w:ascii="Noto Serif" w:hAnsi="Noto Serif" w:eastAsia="Noto Serif"/>
          <w:sz w:val="19"/>
        </w:rPr>
        <w:t xml:space="preserve">Available relief includes reinstatement, priority reemployment, restoration of leave and retirement credit, back pay as authorized by law, correction of records, reasonable relocation, and attorney fees. Interim employment or earnings shall be considered to prevent double recovery.</w:t>
      </w:r>
    </w:p>
    <w:bookmarkEnd w:id="333"/>
    <w:bookmarkStart w:id="334" w:name="X1a19026491e2244cd24a926999becaef884898c"/>
    <w:p>
      <w:pPr>
        <w:pStyle w:val="Heading2"/>
        <w:keepNext/>
        <w:spacing w:before="160" w:after="60"/>
      </w:pPr>
      <w:r>
        <w:rPr>
          <w:rFonts w:ascii="Inter" w:hAnsi="Inter" w:eastAsia="Inter"/>
          <w:b/>
          <w:color w:val="1F3F5B"/>
          <w:sz w:val="23"/>
        </w:rPr>
        <w:t xml:space="preserve">SEC. 2104. GRANTEE AND CONTRACTOR RELIEF.</w:t>
      </w:r>
    </w:p>
    <w:p>
      <w:pPr>
        <w:pStyle w:val="FirstParagraph"/>
        <w:widowControl/>
        <w:spacing w:after="60" w:line="250" w:lineRule="auto"/>
      </w:pPr>
      <w:r>
        <w:rPr>
          <w:rFonts w:ascii="Noto Serif" w:hAnsi="Noto Serif" w:eastAsia="Noto Serif"/>
          <w:sz w:val="19"/>
        </w:rPr>
        <w:t xml:space="preserve">A prevailing claimant may recover allowable performed costs, responsible closeout, demobilization, asset preservation, required severance, and reasonable reliance expenditures. Lost speculative profit, political fundraising loss, and reputational damages are excluded.</w:t>
      </w:r>
    </w:p>
    <w:bookmarkEnd w:id="334"/>
    <w:bookmarkStart w:id="335" w:name="sec.-2105.-immigration-relief."/>
    <w:p>
      <w:pPr>
        <w:pStyle w:val="Heading2"/>
        <w:keepNext/>
        <w:spacing w:before="160" w:after="60"/>
      </w:pPr>
      <w:r>
        <w:rPr>
          <w:rFonts w:ascii="Inter" w:hAnsi="Inter" w:eastAsia="Inter"/>
          <w:b/>
          <w:color w:val="1F3F5B"/>
          <w:sz w:val="23"/>
        </w:rPr>
        <w:t xml:space="preserve">SEC. 2105. IMMIGRATION RELIEF.</w:t>
      </w:r>
    </w:p>
    <w:p>
      <w:pPr>
        <w:pStyle w:val="FirstParagraph"/>
        <w:widowControl/>
        <w:spacing w:after="60" w:line="250" w:lineRule="auto"/>
      </w:pPr>
      <w:r>
        <w:rPr>
          <w:rFonts w:ascii="Noto Serif" w:hAnsi="Noto Serif" w:eastAsia="Noto Serif"/>
          <w:sz w:val="19"/>
        </w:rPr>
        <w:t xml:space="preserve">The Commission may fund return travel, legal services, record correction, family reunification, medical care, lost wages subject to proof, and compensation for wrongful detention or removal caused by reckless or intentional government misconduct. Ordinary lawful enforcement does not create compensation.</w:t>
      </w:r>
    </w:p>
    <w:bookmarkEnd w:id="335"/>
    <w:bookmarkStart w:id="336" w:name="sec.-2106.-data-harm-relief."/>
    <w:p>
      <w:pPr>
        <w:pStyle w:val="Heading2"/>
        <w:keepNext/>
        <w:spacing w:before="160" w:after="60"/>
      </w:pPr>
      <w:r>
        <w:rPr>
          <w:rFonts w:ascii="Inter" w:hAnsi="Inter" w:eastAsia="Inter"/>
          <w:b/>
          <w:color w:val="1F3F5B"/>
          <w:sz w:val="23"/>
        </w:rPr>
        <w:t xml:space="preserve">SEC. 2106. DATA-HARM RELIEF.</w:t>
      </w:r>
    </w:p>
    <w:p>
      <w:pPr>
        <w:pStyle w:val="FirstParagraph"/>
        <w:widowControl/>
        <w:spacing w:after="60" w:line="250" w:lineRule="auto"/>
      </w:pPr>
      <w:r>
        <w:rPr>
          <w:rFonts w:ascii="Noto Serif" w:hAnsi="Noto Serif" w:eastAsia="Noto Serif"/>
          <w:sz w:val="19"/>
        </w:rPr>
        <w:t xml:space="preserve">A person whose sensitive data was unlawfully accessed, disclosed, or transferred may receive notice, identity and credit protection, deletion and correction, security assistance, actual damages, and compensation for a demonstrable risk requiring mitigation.</w:t>
      </w:r>
    </w:p>
    <w:bookmarkEnd w:id="336"/>
    <w:bookmarkStart w:id="337" w:name="X4ffde9b3971bf58e221bccadcd83f3b2597d80c"/>
    <w:p>
      <w:pPr>
        <w:pStyle w:val="Heading2"/>
        <w:keepNext/>
        <w:spacing w:before="160" w:after="60"/>
      </w:pPr>
      <w:r>
        <w:rPr>
          <w:rFonts w:ascii="Inter" w:hAnsi="Inter" w:eastAsia="Inter"/>
          <w:b/>
          <w:color w:val="1F3F5B"/>
          <w:sz w:val="23"/>
        </w:rPr>
        <w:t xml:space="preserve">SEC. 2107. ENVIRONMENTAL AND COMMUNITY REMEDIATION.</w:t>
      </w:r>
    </w:p>
    <w:p>
      <w:pPr>
        <w:pStyle w:val="FirstParagraph"/>
        <w:widowControl/>
        <w:spacing w:after="60" w:line="250" w:lineRule="auto"/>
      </w:pPr>
      <w:r>
        <w:rPr>
          <w:rFonts w:ascii="Noto Serif" w:hAnsi="Noto Serif" w:eastAsia="Noto Serif"/>
          <w:sz w:val="19"/>
        </w:rPr>
        <w:t xml:space="preserve">The Commission may recommend grants for cleanup, health screening, drinking water, habitat restoration, cultural-resource repair, worker transition, community infrastructure, and monitoring where a covered rollback action caused or materially worsened harm and no adequate responsible-party remedy exists.</w:t>
      </w:r>
    </w:p>
    <w:bookmarkEnd w:id="337"/>
    <w:bookmarkStart w:id="338" w:name="sec.-2108.-tribal-claims."/>
    <w:p>
      <w:pPr>
        <w:pStyle w:val="Heading2"/>
        <w:keepNext/>
        <w:spacing w:before="160" w:after="60"/>
      </w:pPr>
      <w:r>
        <w:rPr>
          <w:rFonts w:ascii="Inter" w:hAnsi="Inter" w:eastAsia="Inter"/>
          <w:b/>
          <w:color w:val="1F3F5B"/>
          <w:sz w:val="23"/>
        </w:rPr>
        <w:t xml:space="preserve">SEC. 2108. TRIBAL CLAIMS.</w:t>
      </w:r>
    </w:p>
    <w:p>
      <w:pPr>
        <w:pStyle w:val="FirstParagraph"/>
        <w:widowControl/>
        <w:spacing w:after="60" w:line="250" w:lineRule="auto"/>
      </w:pPr>
      <w:r>
        <w:rPr>
          <w:rFonts w:ascii="Noto Serif" w:hAnsi="Noto Serif" w:eastAsia="Noto Serif"/>
          <w:sz w:val="19"/>
        </w:rPr>
        <w:t xml:space="preserve">Tribal claims shall be heard through a government-to-government process that respects treaty rights, trust duties, sovereign immunity, cultural confidentiality, and existing jurisdictional statutes. The Commission may recommend land restoration, co-stewardship, cultural repair, and monetary relief, subject to appropriation.</w:t>
      </w:r>
    </w:p>
    <w:bookmarkEnd w:id="338"/>
    <w:bookmarkStart w:id="339" w:name="sec.-2109.-evidentiary-standard."/>
    <w:p>
      <w:pPr>
        <w:pStyle w:val="Heading2"/>
        <w:keepNext/>
        <w:spacing w:before="160" w:after="60"/>
      </w:pPr>
      <w:r>
        <w:rPr>
          <w:rFonts w:ascii="Inter" w:hAnsi="Inter" w:eastAsia="Inter"/>
          <w:b/>
          <w:color w:val="1F3F5B"/>
          <w:sz w:val="23"/>
        </w:rPr>
        <w:t xml:space="preserve">SEC. 2109. EVIDENTIARY STANDARD.</w:t>
      </w:r>
    </w:p>
    <w:p>
      <w:pPr>
        <w:pStyle w:val="FirstParagraph"/>
        <w:widowControl/>
        <w:spacing w:after="60" w:line="250" w:lineRule="auto"/>
      </w:pPr>
      <w:r>
        <w:rPr>
          <w:rFonts w:ascii="Noto Serif" w:hAnsi="Noto Serif" w:eastAsia="Noto Serif"/>
          <w:sz w:val="19"/>
        </w:rPr>
        <w:t xml:space="preserve">A claimant shall prove eligibility and loss by a preponderance of the evidence. Where the Government unlawfully destroyed or withheld material records, the Commission may draw a reasonable adverse inference after notice.</w:t>
      </w:r>
    </w:p>
    <w:bookmarkEnd w:id="339"/>
    <w:bookmarkStart w:id="340" w:name="sec.-2110.-limitations-period."/>
    <w:p>
      <w:pPr>
        <w:pStyle w:val="Heading2"/>
        <w:keepNext/>
        <w:spacing w:before="160" w:after="60"/>
      </w:pPr>
      <w:r>
        <w:rPr>
          <w:rFonts w:ascii="Inter" w:hAnsi="Inter" w:eastAsia="Inter"/>
          <w:b/>
          <w:color w:val="1F3F5B"/>
          <w:sz w:val="23"/>
        </w:rPr>
        <w:t xml:space="preserve">SEC. 2110. LIMITATIONS PERIOD.</w:t>
      </w:r>
    </w:p>
    <w:p>
      <w:pPr>
        <w:pStyle w:val="FirstParagraph"/>
        <w:widowControl/>
        <w:spacing w:after="60" w:line="250" w:lineRule="auto"/>
      </w:pPr>
      <w:r>
        <w:rPr>
          <w:rFonts w:ascii="Noto Serif" w:hAnsi="Noto Serif" w:eastAsia="Noto Serif"/>
          <w:sz w:val="19"/>
        </w:rPr>
        <w:t xml:space="preserve">A claim must be filed within five years after enactment or three years after final classification of the relevant rollback action, whichever is later. The period is tolled for minors, incapacity, concealment, detention without meaningful access, and active administrative exhaustion.</w:t>
      </w:r>
    </w:p>
    <w:bookmarkEnd w:id="340"/>
    <w:bookmarkStart w:id="341" w:name="sec.-2111.-appeals."/>
    <w:p>
      <w:pPr>
        <w:pStyle w:val="Heading2"/>
        <w:keepNext/>
        <w:spacing w:before="160" w:after="60"/>
      </w:pPr>
      <w:r>
        <w:rPr>
          <w:rFonts w:ascii="Inter" w:hAnsi="Inter" w:eastAsia="Inter"/>
          <w:b/>
          <w:color w:val="1F3F5B"/>
          <w:sz w:val="23"/>
        </w:rPr>
        <w:t xml:space="preserve">SEC. 2111. APPEALS.</w:t>
      </w:r>
    </w:p>
    <w:p>
      <w:pPr>
        <w:pStyle w:val="FirstParagraph"/>
        <w:widowControl/>
        <w:spacing w:after="60" w:line="250" w:lineRule="auto"/>
      </w:pPr>
      <w:r>
        <w:rPr>
          <w:rFonts w:ascii="Noto Serif" w:hAnsi="Noto Serif" w:eastAsia="Noto Serif"/>
          <w:sz w:val="19"/>
        </w:rPr>
        <w:t xml:space="preserve">A claimant or agency may appeal a final decision to the United States Court of Federal Claims. Legal questions are reviewed de novo; factual findings are sustained if supported by substantial evidence.</w:t>
      </w:r>
    </w:p>
    <w:bookmarkEnd w:id="341"/>
    <w:bookmarkStart w:id="342" w:name="sec.-2112.-no-double-recovery."/>
    <w:p>
      <w:pPr>
        <w:pStyle w:val="Heading2"/>
        <w:keepNext/>
        <w:spacing w:before="160" w:after="60"/>
      </w:pPr>
      <w:r>
        <w:rPr>
          <w:rFonts w:ascii="Inter" w:hAnsi="Inter" w:eastAsia="Inter"/>
          <w:b/>
          <w:color w:val="1F3F5B"/>
          <w:sz w:val="23"/>
        </w:rPr>
        <w:t xml:space="preserve">SEC. 2112. NO DOUBLE RECOVERY.</w:t>
      </w:r>
    </w:p>
    <w:p>
      <w:pPr>
        <w:pStyle w:val="FirstParagraph"/>
        <w:widowControl/>
        <w:spacing w:after="60" w:line="250" w:lineRule="auto"/>
      </w:pPr>
      <w:r>
        <w:rPr>
          <w:rFonts w:ascii="Noto Serif" w:hAnsi="Noto Serif" w:eastAsia="Noto Serif"/>
          <w:sz w:val="19"/>
        </w:rPr>
        <w:t xml:space="preserve">The Commission shall offset compensation received through another judgment, settlement, insurance, or statutory remedy for the same loss, while preserving distinct damages and attorney fees.</w:t>
      </w:r>
    </w:p>
    <w:bookmarkEnd w:id="342"/>
    <w:bookmarkStart w:id="343" w:name="Xf4c48c6129b1fe818e49b4aa07d3775193d852c"/>
    <w:p>
      <w:pPr>
        <w:pStyle w:val="Heading2"/>
        <w:keepNext/>
        <w:spacing w:before="160" w:after="60"/>
      </w:pPr>
      <w:r>
        <w:rPr>
          <w:rFonts w:ascii="Inter" w:hAnsi="Inter" w:eastAsia="Inter"/>
          <w:b/>
          <w:color w:val="1F3F5B"/>
          <w:sz w:val="23"/>
        </w:rPr>
        <w:t xml:space="preserve">SEC. 2113. SUBROGATION AND RESPONSIBLE PARTIES.</w:t>
      </w:r>
    </w:p>
    <w:p>
      <w:pPr>
        <w:pStyle w:val="FirstParagraph"/>
        <w:widowControl/>
        <w:spacing w:after="60" w:line="250" w:lineRule="auto"/>
      </w:pPr>
      <w:r>
        <w:rPr>
          <w:rFonts w:ascii="Noto Serif" w:hAnsi="Noto Serif" w:eastAsia="Noto Serif"/>
          <w:sz w:val="19"/>
        </w:rPr>
        <w:t xml:space="preserve">Where a contractor, lessee, grantee, foreign recipient, or other party is legally responsible, the United States may pursue contribution or subrogation. A beneficiary is not required to await that recovery before receiving urgent relief.</w:t>
      </w:r>
    </w:p>
    <w:bookmarkEnd w:id="343"/>
    <w:bookmarkStart w:id="344" w:name="X0d116ebc0f6e1a0bdc9425a964b66b9184c5ea5"/>
    <w:p>
      <w:pPr>
        <w:pStyle w:val="Heading2"/>
        <w:keepNext/>
        <w:spacing w:before="160" w:after="60"/>
      </w:pPr>
      <w:r>
        <w:rPr>
          <w:rFonts w:ascii="Inter" w:hAnsi="Inter" w:eastAsia="Inter"/>
          <w:b/>
          <w:color w:val="1F3F5B"/>
          <w:sz w:val="23"/>
        </w:rPr>
        <w:t xml:space="preserve">SEC. 2114. AUTHORIZATION OF APPROPRIATIONS.</w:t>
      </w:r>
    </w:p>
    <w:p>
      <w:pPr>
        <w:pStyle w:val="FirstParagraph"/>
        <w:widowControl/>
        <w:spacing w:after="60" w:line="250" w:lineRule="auto"/>
      </w:pPr>
      <w:r>
        <w:rPr>
          <w:rFonts w:ascii="Noto Serif" w:hAnsi="Noto Serif" w:eastAsia="Noto Serif"/>
          <w:sz w:val="19"/>
        </w:rPr>
        <w:t xml:space="preserve">There are authorized to be appropriated $15,000,000,000 for fiscal year 2027 and such sums as necessary through fiscal year 2036 for claims, administration, return assistance, remediation, and legal services.</w:t>
      </w:r>
    </w:p>
    <w:bookmarkEnd w:id="344"/>
    <w:bookmarkEnd w:id="345"/>
    <w:bookmarkStart w:id="356" w:name="Xa393b2c4724b8cf904201335d6056cb502f948d"/>
    <w:p>
      <w:pPr>
        <w:pStyle w:val="Heading1"/>
        <w:keepNext/>
        <w:pageBreakBefore/>
        <w:spacing w:before="0" w:after="180"/>
        <w:pBdr>
          <w:bottom w:val="single" w:sz="8" w:space="4" w:color="9EB0BF"/>
        </w:pBdr>
      </w:pPr>
      <w:r>
        <w:rPr>
          <w:rFonts w:ascii="Inter" w:hAnsi="Inter" w:eastAsia="Inter"/>
          <w:b/>
          <w:color w:val="142D48"/>
          <w:sz w:val="34"/>
        </w:rPr>
        <w:t xml:space="preserve">TITLE XXII - RESTORATION AND RESILIENCE FUND; FISCAL RESPONSIBILITY</w:t>
      </w:r>
    </w:p>
    <w:bookmarkStart w:id="346" w:name="sec.-2201.-establishment-of-fund."/>
    <w:p>
      <w:pPr>
        <w:pStyle w:val="Heading2"/>
        <w:keepNext/>
        <w:spacing w:before="160" w:after="60"/>
      </w:pPr>
      <w:r>
        <w:rPr>
          <w:rFonts w:ascii="Inter" w:hAnsi="Inter" w:eastAsia="Inter"/>
          <w:b/>
          <w:color w:val="1F3F5B"/>
          <w:sz w:val="23"/>
        </w:rPr>
        <w:t xml:space="preserve">SEC. 2201. ESTABLISHMENT OF FUND.</w:t>
      </w:r>
    </w:p>
    <w:p>
      <w:pPr>
        <w:pStyle w:val="FirstParagraph"/>
        <w:widowControl/>
        <w:spacing w:after="60" w:line="250" w:lineRule="auto"/>
      </w:pPr>
      <w:r>
        <w:rPr>
          <w:rFonts w:ascii="Noto Serif" w:hAnsi="Noto Serif" w:eastAsia="Noto Serif"/>
          <w:sz w:val="19"/>
        </w:rPr>
        <w:t xml:space="preserve">There is established in the Treasury the</w:t>
      </w:r>
      <w:r>
        <w:rPr>
          <w:rFonts w:ascii="Noto Serif" w:hAnsi="Noto Serif" w:eastAsia="Noto Serif"/>
          <w:sz w:val="19"/>
        </w:rPr>
        <w:t xml:space="preserve"> </w:t>
      </w:r>
      <w:r>
        <w:rPr>
          <w:rFonts w:ascii="Noto Serif" w:hAnsi="Noto Serif" w:eastAsia="Noto Serif"/>
          <w:b/>
          <w:bCs/>
          <w:sz w:val="19"/>
        </w:rPr>
        <w:t xml:space="preserve">American Restoration and Resilience Fund</w:t>
      </w:r>
      <w:r>
        <w:rPr>
          <w:rFonts w:ascii="Noto Serif" w:hAnsi="Noto Serif" w:eastAsia="Noto Serif"/>
          <w:sz w:val="19"/>
        </w:rPr>
        <w:t xml:space="preserve">, available to the extent appropriated for lawful restoration actions, workforce rebuilding, system modernization, continuity, grants, claims, data security, environmental remediation, and State, local, and Tribal implementation.</w:t>
      </w:r>
    </w:p>
    <w:bookmarkEnd w:id="346"/>
    <w:bookmarkStart w:id="347" w:name="sec.-2202.-authorized-funding."/>
    <w:p>
      <w:pPr>
        <w:pStyle w:val="Heading2"/>
        <w:keepNext/>
        <w:spacing w:before="160" w:after="60"/>
      </w:pPr>
      <w:r>
        <w:rPr>
          <w:rFonts w:ascii="Inter" w:hAnsi="Inter" w:eastAsia="Inter"/>
          <w:b/>
          <w:color w:val="1F3F5B"/>
          <w:sz w:val="23"/>
        </w:rPr>
        <w:t xml:space="preserve">SEC. 2202. AUTHORIZED FUNDING.</w:t>
      </w:r>
    </w:p>
    <w:p>
      <w:pPr>
        <w:pStyle w:val="FirstParagraph"/>
        <w:widowControl/>
        <w:spacing w:after="60" w:line="250" w:lineRule="auto"/>
      </w:pPr>
      <w:r>
        <w:rPr>
          <w:rFonts w:ascii="Noto Serif" w:hAnsi="Noto Serif" w:eastAsia="Noto Serif"/>
          <w:sz w:val="19"/>
        </w:rPr>
        <w:t xml:space="preserve">There are authorized to be appropriated to the Fund:</w:t>
      </w:r>
    </w:p>
    <w:p>
      <w:pPr>
        <w:pStyle w:val="Compact"/>
        <w:widowControl/>
        <w:numPr>
          <w:ilvl w:val="0"/>
          <w:numId w:val="1114"/>
        </w:numPr>
        <w:spacing w:after="30" w:line="245" w:lineRule="auto"/>
      </w:pPr>
      <w:r>
        <w:rPr>
          <w:rFonts w:ascii="Noto Serif" w:hAnsi="Noto Serif" w:eastAsia="Noto Serif"/>
          <w:sz w:val="18"/>
        </w:rPr>
        <w:t xml:space="preserve">$65,000,000,000 for fiscal year 2027;</w:t>
      </w:r>
    </w:p>
    <w:p>
      <w:pPr>
        <w:pStyle w:val="Compact"/>
        <w:widowControl/>
        <w:numPr>
          <w:ilvl w:val="0"/>
          <w:numId w:val="1114"/>
        </w:numPr>
        <w:spacing w:after="30" w:line="245" w:lineRule="auto"/>
      </w:pPr>
      <w:r>
        <w:rPr>
          <w:rFonts w:ascii="Noto Serif" w:hAnsi="Noto Serif" w:eastAsia="Noto Serif"/>
          <w:sz w:val="18"/>
        </w:rPr>
        <w:t xml:space="preserve">$55,000,000,000 for fiscal year 2028;</w:t>
      </w:r>
    </w:p>
    <w:p>
      <w:pPr>
        <w:pStyle w:val="Compact"/>
        <w:widowControl/>
        <w:numPr>
          <w:ilvl w:val="0"/>
          <w:numId w:val="1114"/>
        </w:numPr>
        <w:spacing w:after="30" w:line="245" w:lineRule="auto"/>
      </w:pPr>
      <w:r>
        <w:rPr>
          <w:rFonts w:ascii="Noto Serif" w:hAnsi="Noto Serif" w:eastAsia="Noto Serif"/>
          <w:sz w:val="18"/>
        </w:rPr>
        <w:t xml:space="preserve">$45,000,000,000 for fiscal year 2029;</w:t>
      </w:r>
    </w:p>
    <w:p>
      <w:pPr>
        <w:pStyle w:val="Compact"/>
        <w:widowControl/>
        <w:numPr>
          <w:ilvl w:val="0"/>
          <w:numId w:val="1114"/>
        </w:numPr>
        <w:spacing w:after="30" w:line="245" w:lineRule="auto"/>
      </w:pPr>
      <w:r>
        <w:rPr>
          <w:rFonts w:ascii="Noto Serif" w:hAnsi="Noto Serif" w:eastAsia="Noto Serif"/>
          <w:sz w:val="18"/>
        </w:rPr>
        <w:t xml:space="preserve">$35,000,000,000 for fiscal year 2030; and</w:t>
      </w:r>
    </w:p>
    <w:p>
      <w:pPr>
        <w:pStyle w:val="Compact"/>
        <w:widowControl/>
        <w:numPr>
          <w:ilvl w:val="0"/>
          <w:numId w:val="1114"/>
        </w:numPr>
        <w:spacing w:after="30" w:line="245" w:lineRule="auto"/>
      </w:pPr>
      <w:r>
        <w:rPr>
          <w:rFonts w:ascii="Noto Serif" w:hAnsi="Noto Serif" w:eastAsia="Noto Serif"/>
          <w:sz w:val="18"/>
        </w:rPr>
        <w:t xml:space="preserve">$25,000,000,000 for fiscal year 2031.</w:t>
      </w:r>
    </w:p>
    <w:p>
      <w:pPr>
        <w:pStyle w:val="FirstParagraph"/>
        <w:widowControl/>
        <w:spacing w:after="60" w:line="250" w:lineRule="auto"/>
      </w:pPr>
      <w:r>
        <w:rPr>
          <w:rFonts w:ascii="Noto Serif" w:hAnsi="Noto Serif" w:eastAsia="Noto Serif"/>
          <w:sz w:val="19"/>
        </w:rPr>
        <w:t xml:space="preserve">Amounts remain available for five fiscal years, subject to rescission by Congress.</w:t>
      </w:r>
    </w:p>
    <w:bookmarkEnd w:id="347"/>
    <w:bookmarkStart w:id="348" w:name="sec.-2203.-allocation."/>
    <w:p>
      <w:pPr>
        <w:pStyle w:val="Heading2"/>
        <w:keepNext/>
        <w:spacing w:before="160" w:after="60"/>
      </w:pPr>
      <w:r>
        <w:rPr>
          <w:rFonts w:ascii="Inter" w:hAnsi="Inter" w:eastAsia="Inter"/>
          <w:b/>
          <w:color w:val="1F3F5B"/>
          <w:sz w:val="23"/>
        </w:rPr>
        <w:t xml:space="preserve">SEC. 2203. ALLOCATION.</w:t>
      </w:r>
    </w:p>
    <w:p>
      <w:pPr>
        <w:pStyle w:val="FirstParagraph"/>
        <w:widowControl/>
        <w:spacing w:after="60" w:line="250" w:lineRule="auto"/>
      </w:pPr>
      <w:r>
        <w:rPr>
          <w:rFonts w:ascii="Noto Serif" w:hAnsi="Noto Serif" w:eastAsia="Noto Serif"/>
          <w:sz w:val="19"/>
        </w:rPr>
        <w:t xml:space="preserve">No more than 8 percent of the Fund may be used for central administration. OMB shall allocate funds through published criteria considering urgency, statutory duty, rights, health and safety, irreversible harm, service backlog, leverage of other funds, implementation capacity, and equitable geographic distribution.</w:t>
      </w:r>
    </w:p>
    <w:bookmarkEnd w:id="348"/>
    <w:bookmarkStart w:id="349" w:name="X0fe8fb3ec4976c4b04555370a0a51ac95a5f83d"/>
    <w:p>
      <w:pPr>
        <w:pStyle w:val="Heading2"/>
        <w:keepNext/>
        <w:spacing w:before="160" w:after="60"/>
      </w:pPr>
      <w:r>
        <w:rPr>
          <w:rFonts w:ascii="Inter" w:hAnsi="Inter" w:eastAsia="Inter"/>
          <w:b/>
          <w:color w:val="1F3F5B"/>
          <w:sz w:val="23"/>
        </w:rPr>
        <w:t xml:space="preserve">SEC. 2204. FISCAL OFFSETS AND REVENUE PROTECTION.</w:t>
      </w:r>
    </w:p>
    <w:p>
      <w:pPr>
        <w:pStyle w:val="FirstParagraph"/>
        <w:widowControl/>
        <w:spacing w:after="60" w:line="250" w:lineRule="auto"/>
      </w:pPr>
      <w:r>
        <w:rPr>
          <w:rFonts w:ascii="Noto Serif" w:hAnsi="Noto Serif" w:eastAsia="Noto Serif"/>
          <w:sz w:val="19"/>
        </w:rPr>
        <w:t xml:space="preserve">The Secretary of the Treasury, OMB, and GAO shall identify offsets and savings from:</w:t>
      </w:r>
    </w:p>
    <w:p>
      <w:pPr>
        <w:pStyle w:val="Compact"/>
        <w:widowControl/>
        <w:numPr>
          <w:ilvl w:val="0"/>
          <w:numId w:val="1115"/>
        </w:numPr>
        <w:spacing w:after="30" w:line="245" w:lineRule="auto"/>
      </w:pPr>
      <w:r>
        <w:rPr>
          <w:rFonts w:ascii="Noto Serif" w:hAnsi="Noto Serif" w:eastAsia="Noto Serif"/>
          <w:sz w:val="18"/>
        </w:rPr>
        <w:t xml:space="preserve">improved tax compliance and customer service;</w:t>
      </w:r>
    </w:p>
    <w:p>
      <w:pPr>
        <w:pStyle w:val="Compact"/>
        <w:widowControl/>
        <w:numPr>
          <w:ilvl w:val="0"/>
          <w:numId w:val="1115"/>
        </w:numPr>
        <w:spacing w:after="30" w:line="245" w:lineRule="auto"/>
      </w:pPr>
      <w:r>
        <w:rPr>
          <w:rFonts w:ascii="Noto Serif" w:hAnsi="Noto Serif" w:eastAsia="Noto Serif"/>
          <w:sz w:val="18"/>
        </w:rPr>
        <w:t xml:space="preserve">procurement competition and fraud reduction;</w:t>
      </w:r>
    </w:p>
    <w:p>
      <w:pPr>
        <w:pStyle w:val="Compact"/>
        <w:widowControl/>
        <w:numPr>
          <w:ilvl w:val="0"/>
          <w:numId w:val="1115"/>
        </w:numPr>
        <w:spacing w:after="30" w:line="245" w:lineRule="auto"/>
      </w:pPr>
      <w:r>
        <w:rPr>
          <w:rFonts w:ascii="Noto Serif" w:hAnsi="Noto Serif" w:eastAsia="Noto Serif"/>
          <w:sz w:val="18"/>
        </w:rPr>
        <w:t xml:space="preserve">improper-payment prevention that preserves eligible access;</w:t>
      </w:r>
    </w:p>
    <w:p>
      <w:pPr>
        <w:pStyle w:val="Compact"/>
        <w:widowControl/>
        <w:numPr>
          <w:ilvl w:val="0"/>
          <w:numId w:val="1115"/>
        </w:numPr>
        <w:spacing w:after="30" w:line="245" w:lineRule="auto"/>
      </w:pPr>
      <w:r>
        <w:rPr>
          <w:rFonts w:ascii="Noto Serif" w:hAnsi="Noto Serif" w:eastAsia="Noto Serif"/>
          <w:sz w:val="18"/>
        </w:rPr>
        <w:t xml:space="preserve">fair-value royalties, bonding, and fees;</w:t>
      </w:r>
    </w:p>
    <w:p>
      <w:pPr>
        <w:pStyle w:val="Compact"/>
        <w:widowControl/>
        <w:numPr>
          <w:ilvl w:val="0"/>
          <w:numId w:val="1115"/>
        </w:numPr>
        <w:spacing w:after="30" w:line="245" w:lineRule="auto"/>
      </w:pPr>
      <w:r>
        <w:rPr>
          <w:rFonts w:ascii="Noto Serif" w:hAnsi="Noto Serif" w:eastAsia="Noto Serif"/>
          <w:sz w:val="18"/>
        </w:rPr>
        <w:t xml:space="preserve">recovery from responsible parties;</w:t>
      </w:r>
    </w:p>
    <w:p>
      <w:pPr>
        <w:pStyle w:val="Compact"/>
        <w:widowControl/>
        <w:numPr>
          <w:ilvl w:val="0"/>
          <w:numId w:val="1115"/>
        </w:numPr>
        <w:spacing w:after="30" w:line="245" w:lineRule="auto"/>
      </w:pPr>
      <w:r>
        <w:rPr>
          <w:rFonts w:ascii="Noto Serif" w:hAnsi="Noto Serif" w:eastAsia="Noto Serif"/>
          <w:sz w:val="18"/>
        </w:rPr>
        <w:t xml:space="preserve">elimination of unjustified subsidies and special-interest tax expenditures;</w:t>
      </w:r>
    </w:p>
    <w:p>
      <w:pPr>
        <w:pStyle w:val="Compact"/>
        <w:widowControl/>
        <w:numPr>
          <w:ilvl w:val="0"/>
          <w:numId w:val="1115"/>
        </w:numPr>
        <w:spacing w:after="30" w:line="245" w:lineRule="auto"/>
      </w:pPr>
      <w:r>
        <w:rPr>
          <w:rFonts w:ascii="Noto Serif" w:hAnsi="Noto Serif" w:eastAsia="Noto Serif"/>
          <w:sz w:val="18"/>
        </w:rPr>
        <w:t xml:space="preserve">health, climate, energy, and infrastructure savings; and</w:t>
      </w:r>
    </w:p>
    <w:p>
      <w:pPr>
        <w:pStyle w:val="Compact"/>
        <w:widowControl/>
        <w:numPr>
          <w:ilvl w:val="0"/>
          <w:numId w:val="1115"/>
        </w:numPr>
        <w:spacing w:after="30" w:line="245" w:lineRule="auto"/>
      </w:pPr>
      <w:r>
        <w:rPr>
          <w:rFonts w:ascii="Noto Serif" w:hAnsi="Noto Serif" w:eastAsia="Noto Serif"/>
          <w:sz w:val="18"/>
        </w:rPr>
        <w:t xml:space="preserve">reduced litigation and administrative churn.</w:t>
      </w:r>
    </w:p>
    <w:p>
      <w:pPr>
        <w:pStyle w:val="FirstParagraph"/>
        <w:widowControl/>
        <w:spacing w:after="60" w:line="250" w:lineRule="auto"/>
      </w:pPr>
      <w:r>
        <w:rPr>
          <w:rFonts w:ascii="Noto Serif" w:hAnsi="Noto Serif" w:eastAsia="Noto Serif"/>
          <w:sz w:val="19"/>
        </w:rPr>
        <w:t xml:space="preserve">No claimed offset may rely on denying lawful benefits, shifting costs to States or households, or counting a one-time sale as recurring savings.</w:t>
      </w:r>
    </w:p>
    <w:bookmarkEnd w:id="349"/>
    <w:bookmarkStart w:id="350" w:name="sec.-2205.-tax-administration."/>
    <w:p>
      <w:pPr>
        <w:pStyle w:val="Heading2"/>
        <w:keepNext/>
        <w:spacing w:before="160" w:after="60"/>
      </w:pPr>
      <w:r>
        <w:rPr>
          <w:rFonts w:ascii="Inter" w:hAnsi="Inter" w:eastAsia="Inter"/>
          <w:b/>
          <w:color w:val="1F3F5B"/>
          <w:sz w:val="23"/>
        </w:rPr>
        <w:t xml:space="preserve">SEC. 2205. TAX ADMINISTRATION.</w:t>
      </w:r>
    </w:p>
    <w:p>
      <w:pPr>
        <w:pStyle w:val="FirstParagraph"/>
        <w:widowControl/>
        <w:spacing w:after="60" w:line="250" w:lineRule="auto"/>
      </w:pPr>
      <w:r>
        <w:rPr>
          <w:rFonts w:ascii="Noto Serif" w:hAnsi="Noto Serif" w:eastAsia="Noto Serif"/>
          <w:sz w:val="19"/>
        </w:rPr>
        <w:t xml:space="preserve">The Internal Revenue Service shall maintain staffing, technology, taxpayer service, privacy, appeals, and enforcement sufficient to administer law fairly. Enforcement shall prioritize high-dollar noncompliance, complex evasion, abusive shelters, identity theft, payroll nonpayment, and refund fraud, while protecting low-income taxpayers from disproportionate burden.</w:t>
      </w:r>
    </w:p>
    <w:bookmarkEnd w:id="350"/>
    <w:bookmarkStart w:id="351" w:name="Xd80d5d81ed3e6380b5f430a410d9cda61350127"/>
    <w:p>
      <w:pPr>
        <w:pStyle w:val="Heading2"/>
        <w:keepNext/>
        <w:spacing w:before="160" w:after="60"/>
      </w:pPr>
      <w:r>
        <w:rPr>
          <w:rFonts w:ascii="Inter" w:hAnsi="Inter" w:eastAsia="Inter"/>
          <w:b/>
          <w:color w:val="1F3F5B"/>
          <w:sz w:val="23"/>
        </w:rPr>
        <w:t xml:space="preserve">SEC. 2206. FOSSIL, CONTRACTOR, AND SPECIAL-INTEREST SUBSIDY REPORT.</w:t>
      </w:r>
    </w:p>
    <w:p>
      <w:pPr>
        <w:pStyle w:val="FirstParagraph"/>
        <w:widowControl/>
        <w:spacing w:after="60" w:line="250" w:lineRule="auto"/>
      </w:pPr>
      <w:r>
        <w:rPr>
          <w:rFonts w:ascii="Noto Serif" w:hAnsi="Noto Serif" w:eastAsia="Noto Serif"/>
          <w:sz w:val="19"/>
        </w:rPr>
        <w:t xml:space="preserve">Within one year, Treasury and GAO shall publish a report identifying Federal tax, spending, credit, insurance, leasing, procurement, and liability preferences that lack a current public-interest justification. Repeal or modification requires legislation where necessary.</w:t>
      </w:r>
    </w:p>
    <w:bookmarkEnd w:id="351"/>
    <w:bookmarkStart w:id="352" w:name="sec.-2207.-official-scoring."/>
    <w:p>
      <w:pPr>
        <w:pStyle w:val="Heading2"/>
        <w:keepNext/>
        <w:spacing w:before="160" w:after="60"/>
      </w:pPr>
      <w:r>
        <w:rPr>
          <w:rFonts w:ascii="Inter" w:hAnsi="Inter" w:eastAsia="Inter"/>
          <w:b/>
          <w:color w:val="1F3F5B"/>
          <w:sz w:val="23"/>
        </w:rPr>
        <w:t xml:space="preserve">SEC. 2207. OFFICIAL SCORING.</w:t>
      </w:r>
    </w:p>
    <w:p>
      <w:pPr>
        <w:pStyle w:val="FirstParagraph"/>
        <w:widowControl/>
        <w:spacing w:after="60" w:line="250" w:lineRule="auto"/>
      </w:pPr>
      <w:r>
        <w:rPr>
          <w:rFonts w:ascii="Noto Serif" w:hAnsi="Noto Serif" w:eastAsia="Noto Serif"/>
          <w:sz w:val="19"/>
        </w:rPr>
        <w:t xml:space="preserve">Nothing in the illustrative fiscal analysis accompanying this Act substitutes for a score by the Congressional Budget Office or Joint Committee on Taxation. Agencies shall provide technical assistance and transparent assumptions.</w:t>
      </w:r>
    </w:p>
    <w:bookmarkEnd w:id="352"/>
    <w:bookmarkStart w:id="353" w:name="X9dd9d227cdc7b963e8dc6452debe516da1dff22"/>
    <w:p>
      <w:pPr>
        <w:pStyle w:val="Heading2"/>
        <w:keepNext/>
        <w:spacing w:before="160" w:after="60"/>
      </w:pPr>
      <w:r>
        <w:rPr>
          <w:rFonts w:ascii="Inter" w:hAnsi="Inter" w:eastAsia="Inter"/>
          <w:b/>
          <w:color w:val="1F3F5B"/>
          <w:sz w:val="23"/>
        </w:rPr>
        <w:t xml:space="preserve">SEC. 2208. INFLATION AND REAL-DOLLAR MAINTENANCE.</w:t>
      </w:r>
    </w:p>
    <w:p>
      <w:pPr>
        <w:pStyle w:val="FirstParagraph"/>
        <w:widowControl/>
        <w:spacing w:after="60" w:line="250" w:lineRule="auto"/>
      </w:pPr>
      <w:r>
        <w:rPr>
          <w:rFonts w:ascii="Noto Serif" w:hAnsi="Noto Serif" w:eastAsia="Noto Serif"/>
          <w:sz w:val="19"/>
        </w:rPr>
        <w:t xml:space="preserve">Unless otherwise specified, dollar thresholds and authorizations in this Act shall be adjusted every two years by the Consumer Price Index for All Urban Consumers. Staffing-restoration comparisons shall use workload and real-dollar measures, not nominal amounts alone.</w:t>
      </w:r>
    </w:p>
    <w:bookmarkEnd w:id="353"/>
    <w:bookmarkStart w:id="354" w:name="sec.-2209.-state-local-and-tribal-costs."/>
    <w:p>
      <w:pPr>
        <w:pStyle w:val="Heading2"/>
        <w:keepNext/>
        <w:spacing w:before="160" w:after="60"/>
      </w:pPr>
      <w:r>
        <w:rPr>
          <w:rFonts w:ascii="Inter" w:hAnsi="Inter" w:eastAsia="Inter"/>
          <w:b/>
          <w:color w:val="1F3F5B"/>
          <w:sz w:val="23"/>
        </w:rPr>
        <w:t xml:space="preserve">SEC. 2209. STATE, LOCAL, AND TRIBAL COSTS.</w:t>
      </w:r>
    </w:p>
    <w:p>
      <w:pPr>
        <w:pStyle w:val="FirstParagraph"/>
        <w:widowControl/>
        <w:spacing w:after="60" w:line="250" w:lineRule="auto"/>
      </w:pPr>
      <w:r>
        <w:rPr>
          <w:rFonts w:ascii="Noto Serif" w:hAnsi="Noto Serif" w:eastAsia="Noto Serif"/>
          <w:sz w:val="19"/>
        </w:rPr>
        <w:t xml:space="preserve">A new enforceable duty imposed on a State, locality, or Tribe shall be accompanied by sufficient Federal assistance or a waiver process unless the duty enforces a constitutional or civil right, prevents discrimination, or regulates conduct in interstate commerce that Congress may directly govern.</w:t>
      </w:r>
    </w:p>
    <w:bookmarkEnd w:id="354"/>
    <w:bookmarkStart w:id="355" w:name="sec.-2210.-anti-fraud-and-audit."/>
    <w:p>
      <w:pPr>
        <w:pStyle w:val="Heading2"/>
        <w:keepNext/>
        <w:spacing w:before="160" w:after="60"/>
      </w:pPr>
      <w:r>
        <w:rPr>
          <w:rFonts w:ascii="Inter" w:hAnsi="Inter" w:eastAsia="Inter"/>
          <w:b/>
          <w:color w:val="1F3F5B"/>
          <w:sz w:val="23"/>
        </w:rPr>
        <w:t xml:space="preserve">SEC. 2210. ANTI-FRAUD AND AUDIT.</w:t>
      </w:r>
    </w:p>
    <w:p>
      <w:pPr>
        <w:pStyle w:val="FirstParagraph"/>
        <w:widowControl/>
        <w:spacing w:after="60" w:line="250" w:lineRule="auto"/>
      </w:pPr>
      <w:r>
        <w:rPr>
          <w:rFonts w:ascii="Noto Serif" w:hAnsi="Noto Serif" w:eastAsia="Noto Serif"/>
          <w:sz w:val="19"/>
        </w:rPr>
        <w:t xml:space="preserve">Fund recipients shall maintain internal controls, beneficial-ownership disclosure, conflict policies, performance measures, records, and access for Inspectors General and GAO. Small recipients shall receive technical assistance and proportionate requirements.</w:t>
      </w:r>
    </w:p>
    <w:bookmarkEnd w:id="355"/>
    <w:bookmarkEnd w:id="356"/>
    <w:bookmarkStart w:id="369" w:name="Xd746fc4b086aa6f9013f0ed4da95b5361244421"/>
    <w:p>
      <w:pPr>
        <w:pStyle w:val="Heading1"/>
        <w:keepNext/>
        <w:pageBreakBefore/>
        <w:spacing w:before="0" w:after="180"/>
        <w:pBdr>
          <w:bottom w:val="single" w:sz="8" w:space="4" w:color="9EB0BF"/>
        </w:pBdr>
      </w:pPr>
      <w:r>
        <w:rPr>
          <w:rFonts w:ascii="Inter" w:hAnsi="Inter" w:eastAsia="Inter"/>
          <w:b/>
          <w:color w:val="142D48"/>
          <w:sz w:val="34"/>
        </w:rPr>
        <w:t xml:space="preserve">TITLE XXIII - IMPLEMENTATION, OVERSIGHT, DATA, AND PERFORMANCE</w:t>
      </w:r>
    </w:p>
    <w:bookmarkStart w:id="357" w:name="X1019d787deb514067bc237fb9fed9749e40bb9a"/>
    <w:p>
      <w:pPr>
        <w:pStyle w:val="Heading2"/>
        <w:keepNext/>
        <w:spacing w:before="160" w:after="60"/>
      </w:pPr>
      <w:r>
        <w:rPr>
          <w:rFonts w:ascii="Inter" w:hAnsi="Inter" w:eastAsia="Inter"/>
          <w:b/>
          <w:color w:val="1F3F5B"/>
          <w:sz w:val="23"/>
        </w:rPr>
        <w:t xml:space="preserve">SEC. 2301. DIRECTOR OF AMERICAN RESTORATION.</w:t>
      </w:r>
    </w:p>
    <w:p>
      <w:pPr>
        <w:widowControl/>
        <w:numPr>
          <w:ilvl w:val="0"/>
          <w:numId w:val="1116"/>
        </w:numPr>
        <w:spacing w:after="30" w:line="245" w:lineRule="auto"/>
      </w:pPr>
      <w:r>
        <w:rPr>
          <w:rFonts w:ascii="Noto Serif" w:hAnsi="Noto Serif" w:eastAsia="Noto Serif"/>
          <w:sz w:val="18"/>
        </w:rPr>
        <w:t xml:space="preserve">The President shall appoint, with Senate consent, a Director of American Restoration in the Executive Office of the President for a term ending six years after enactment.</w:t>
      </w:r>
    </w:p>
    <w:p>
      <w:pPr>
        <w:widowControl/>
        <w:numPr>
          <w:ilvl w:val="0"/>
          <w:numId w:val="1116"/>
        </w:numPr>
        <w:spacing w:after="30" w:line="245" w:lineRule="auto"/>
      </w:pPr>
      <w:r>
        <w:rPr>
          <w:rFonts w:ascii="Noto Serif" w:hAnsi="Noto Serif" w:eastAsia="Noto Serif"/>
          <w:sz w:val="18"/>
        </w:rPr>
        <w:t xml:space="preserve">The Director coordinates implementation but may not direct independent adjudications, Inspector General investigations, scientific findings, prosecutions, monetary policy, or the Restoration Council.</w:t>
      </w:r>
    </w:p>
    <w:p>
      <w:pPr>
        <w:widowControl/>
        <w:numPr>
          <w:ilvl w:val="0"/>
          <w:numId w:val="1116"/>
        </w:numPr>
        <w:spacing w:after="30" w:line="245" w:lineRule="auto"/>
      </w:pPr>
      <w:r>
        <w:rPr>
          <w:rFonts w:ascii="Noto Serif" w:hAnsi="Noto Serif" w:eastAsia="Noto Serif"/>
          <w:sz w:val="18"/>
        </w:rPr>
        <w:t xml:space="preserve">The Director shall maintain a public implementation plan and resolve interagency operational conflicts through lawful processes.</w:t>
      </w:r>
    </w:p>
    <w:bookmarkEnd w:id="357"/>
    <w:bookmarkStart w:id="358" w:name="X6067476b582ef527a1161e717e3b245693a66a3"/>
    <w:p>
      <w:pPr>
        <w:pStyle w:val="Heading2"/>
        <w:keepNext/>
        <w:spacing w:before="160" w:after="60"/>
      </w:pPr>
      <w:r>
        <w:rPr>
          <w:rFonts w:ascii="Inter" w:hAnsi="Inter" w:eastAsia="Inter"/>
          <w:b/>
          <w:color w:val="1F3F5B"/>
          <w:sz w:val="23"/>
        </w:rPr>
        <w:t xml:space="preserve">SEC. 2302. INTERAGENCY RESTORATION CABINET.</w:t>
      </w:r>
    </w:p>
    <w:p>
      <w:pPr>
        <w:pStyle w:val="FirstParagraph"/>
        <w:widowControl/>
        <w:spacing w:after="60" w:line="250" w:lineRule="auto"/>
      </w:pPr>
      <w:r>
        <w:rPr>
          <w:rFonts w:ascii="Noto Serif" w:hAnsi="Noto Serif" w:eastAsia="Noto Serif"/>
          <w:sz w:val="19"/>
        </w:rPr>
        <w:t xml:space="preserve">An Interagency Restoration Cabinet consists of heads of relevant agencies, OPEI, OMB, OIRA, OPM, CEQ, USAID, EPA, HHS, Education, Labor, Interior, State, Defense, Justice, Treasury, Commerce, Energy, HUD, Transportation, Agriculture, DHS, the Domestic Policy Council, National Economic Council, and other designated officials.</w:t>
      </w:r>
    </w:p>
    <w:bookmarkEnd w:id="358"/>
    <w:bookmarkStart w:id="359" w:name="sec.-2303.-initial-90-day-actions."/>
    <w:p>
      <w:pPr>
        <w:pStyle w:val="Heading2"/>
        <w:keepNext/>
        <w:spacing w:before="160" w:after="60"/>
      </w:pPr>
      <w:r>
        <w:rPr>
          <w:rFonts w:ascii="Inter" w:hAnsi="Inter" w:eastAsia="Inter"/>
          <w:b/>
          <w:color w:val="1F3F5B"/>
          <w:sz w:val="23"/>
        </w:rPr>
        <w:t xml:space="preserve">SEC. 2303. INITIAL 90-DAY ACTIONS.</w:t>
      </w:r>
    </w:p>
    <w:p>
      <w:pPr>
        <w:pStyle w:val="FirstParagraph"/>
        <w:widowControl/>
        <w:spacing w:after="60" w:line="250" w:lineRule="auto"/>
      </w:pPr>
      <w:r>
        <w:rPr>
          <w:rFonts w:ascii="Noto Serif" w:hAnsi="Noto Serif" w:eastAsia="Noto Serif"/>
          <w:sz w:val="19"/>
        </w:rPr>
        <w:t xml:space="preserve">Within 90 days:</w:t>
      </w:r>
    </w:p>
    <w:p>
      <w:pPr>
        <w:pStyle w:val="Compact"/>
        <w:widowControl/>
        <w:numPr>
          <w:ilvl w:val="0"/>
          <w:numId w:val="1117"/>
        </w:numPr>
        <w:spacing w:after="30" w:line="245" w:lineRule="auto"/>
      </w:pPr>
      <w:r>
        <w:rPr>
          <w:rFonts w:ascii="Noto Serif" w:hAnsi="Noto Serif" w:eastAsia="Noto Serif"/>
          <w:sz w:val="18"/>
        </w:rPr>
        <w:t xml:space="preserve">records preservation and data-access audits shall be complete;</w:t>
      </w:r>
    </w:p>
    <w:p>
      <w:pPr>
        <w:pStyle w:val="Compact"/>
        <w:widowControl/>
        <w:numPr>
          <w:ilvl w:val="0"/>
          <w:numId w:val="1117"/>
        </w:numPr>
        <w:spacing w:after="30" w:line="245" w:lineRule="auto"/>
      </w:pPr>
      <w:r>
        <w:rPr>
          <w:rFonts w:ascii="Noto Serif" w:hAnsi="Noto Serif" w:eastAsia="Noto Serif"/>
          <w:sz w:val="18"/>
        </w:rPr>
        <w:t xml:space="preserve">the Restoration Council, OPEI transition team, and Claims Commission shall be operational;</w:t>
      </w:r>
    </w:p>
    <w:p>
      <w:pPr>
        <w:pStyle w:val="Compact"/>
        <w:widowControl/>
        <w:numPr>
          <w:ilvl w:val="0"/>
          <w:numId w:val="1117"/>
        </w:numPr>
        <w:spacing w:after="30" w:line="245" w:lineRule="auto"/>
      </w:pPr>
      <w:r>
        <w:rPr>
          <w:rFonts w:ascii="Noto Serif" w:hAnsi="Noto Serif" w:eastAsia="Noto Serif"/>
          <w:sz w:val="18"/>
        </w:rPr>
        <w:t xml:space="preserve">agencies shall identify lifesaving, time-sensitive, civil-rights, election, data, and environmental emergencies;</w:t>
      </w:r>
    </w:p>
    <w:p>
      <w:pPr>
        <w:pStyle w:val="Compact"/>
        <w:widowControl/>
        <w:numPr>
          <w:ilvl w:val="0"/>
          <w:numId w:val="1117"/>
        </w:numPr>
        <w:spacing w:after="30" w:line="245" w:lineRule="auto"/>
      </w:pPr>
      <w:r>
        <w:rPr>
          <w:rFonts w:ascii="Noto Serif" w:hAnsi="Noto Serif" w:eastAsia="Noto Serif"/>
          <w:sz w:val="18"/>
        </w:rPr>
        <w:t xml:space="preserve">USAID and domestic grant continuity plans shall be issued;</w:t>
      </w:r>
    </w:p>
    <w:p>
      <w:pPr>
        <w:pStyle w:val="Compact"/>
        <w:widowControl/>
        <w:numPr>
          <w:ilvl w:val="0"/>
          <w:numId w:val="1117"/>
        </w:numPr>
        <w:spacing w:after="30" w:line="245" w:lineRule="auto"/>
      </w:pPr>
      <w:r>
        <w:rPr>
          <w:rFonts w:ascii="Noto Serif" w:hAnsi="Noto Serif" w:eastAsia="Noto Serif"/>
          <w:sz w:val="18"/>
        </w:rPr>
        <w:t xml:space="preserve">agencies shall suspend unlawful impoundments and publish obligation schedules;</w:t>
      </w:r>
    </w:p>
    <w:p>
      <w:pPr>
        <w:pStyle w:val="Compact"/>
        <w:widowControl/>
        <w:numPr>
          <w:ilvl w:val="0"/>
          <w:numId w:val="1117"/>
        </w:numPr>
        <w:spacing w:after="30" w:line="245" w:lineRule="auto"/>
      </w:pPr>
      <w:r>
        <w:rPr>
          <w:rFonts w:ascii="Noto Serif" w:hAnsi="Noto Serif" w:eastAsia="Noto Serif"/>
          <w:sz w:val="18"/>
        </w:rPr>
        <w:t xml:space="preserve">OPM shall halt prohibited personnel conversions;</w:t>
      </w:r>
    </w:p>
    <w:p>
      <w:pPr>
        <w:pStyle w:val="Compact"/>
        <w:widowControl/>
        <w:numPr>
          <w:ilvl w:val="0"/>
          <w:numId w:val="1117"/>
        </w:numPr>
        <w:spacing w:after="30" w:line="245" w:lineRule="auto"/>
      </w:pPr>
      <w:r>
        <w:rPr>
          <w:rFonts w:ascii="Noto Serif" w:hAnsi="Noto Serif" w:eastAsia="Noto Serif"/>
          <w:sz w:val="18"/>
        </w:rPr>
        <w:t xml:space="preserve">sensitive systems shall rotate credentials and review external access; and</w:t>
      </w:r>
    </w:p>
    <w:p>
      <w:pPr>
        <w:pStyle w:val="Compact"/>
        <w:widowControl/>
        <w:numPr>
          <w:ilvl w:val="0"/>
          <w:numId w:val="1117"/>
        </w:numPr>
        <w:spacing w:after="30" w:line="245" w:lineRule="auto"/>
      </w:pPr>
      <w:r>
        <w:rPr>
          <w:rFonts w:ascii="Noto Serif" w:hAnsi="Noto Serif" w:eastAsia="Noto Serif"/>
          <w:sz w:val="18"/>
        </w:rPr>
        <w:t xml:space="preserve">the public portal shall begin accepting nominations and claims.</w:t>
      </w:r>
    </w:p>
    <w:bookmarkEnd w:id="359"/>
    <w:bookmarkStart w:id="360" w:name="sec.-2304.-three-to-six-month-actions."/>
    <w:p>
      <w:pPr>
        <w:pStyle w:val="Heading2"/>
        <w:keepNext/>
        <w:spacing w:before="160" w:after="60"/>
      </w:pPr>
      <w:r>
        <w:rPr>
          <w:rFonts w:ascii="Inter" w:hAnsi="Inter" w:eastAsia="Inter"/>
          <w:b/>
          <w:color w:val="1F3F5B"/>
          <w:sz w:val="23"/>
        </w:rPr>
        <w:t xml:space="preserve">SEC. 2304. THREE-TO-SIX-MONTH ACTIONS.</w:t>
      </w:r>
    </w:p>
    <w:p>
      <w:pPr>
        <w:pStyle w:val="FirstParagraph"/>
        <w:widowControl/>
        <w:spacing w:after="60" w:line="250" w:lineRule="auto"/>
      </w:pPr>
      <w:r>
        <w:rPr>
          <w:rFonts w:ascii="Noto Serif" w:hAnsi="Noto Serif" w:eastAsia="Noto Serif"/>
          <w:sz w:val="19"/>
        </w:rPr>
        <w:t xml:space="preserve">Agencies shall publish inventories, workforce plans, interim rules where authorized, emergency rehiring, grant reconsideration procedures, State and Tribal consultation plans, data-center proposed rules, civil-rights restoration priorities, and a first fiscal allocation from the Restoration Fund.</w:t>
      </w:r>
    </w:p>
    <w:bookmarkEnd w:id="360"/>
    <w:bookmarkStart w:id="361" w:name="sec.-2305.-six-to-twelve-month-actions."/>
    <w:p>
      <w:pPr>
        <w:pStyle w:val="Heading2"/>
        <w:keepNext/>
        <w:spacing w:before="160" w:after="60"/>
      </w:pPr>
      <w:r>
        <w:rPr>
          <w:rFonts w:ascii="Inter" w:hAnsi="Inter" w:eastAsia="Inter"/>
          <w:b/>
          <w:color w:val="1F3F5B"/>
          <w:sz w:val="23"/>
        </w:rPr>
        <w:t xml:space="preserve">SEC. 2305. SIX-TO-TWELVE-MONTH ACTIONS.</w:t>
      </w:r>
    </w:p>
    <w:p>
      <w:pPr>
        <w:pStyle w:val="FirstParagraph"/>
        <w:widowControl/>
        <w:spacing w:after="60" w:line="250" w:lineRule="auto"/>
      </w:pPr>
      <w:r>
        <w:rPr>
          <w:rFonts w:ascii="Noto Serif" w:hAnsi="Noto Serif" w:eastAsia="Noto Serif"/>
          <w:sz w:val="19"/>
        </w:rPr>
        <w:t xml:space="preserve">Agencies shall issue proposed or final rules for high-priority restoration, reopen priority missions and services, begin claims awards, issue the National Grid planning notice, restore USAID surge capacity, launch election grants, and publish a baseline performance dashboard.</w:t>
      </w:r>
    </w:p>
    <w:bookmarkEnd w:id="361"/>
    <w:bookmarkStart w:id="362" w:name="sec.-2306.-year-two."/>
    <w:p>
      <w:pPr>
        <w:pStyle w:val="Heading2"/>
        <w:keepNext/>
        <w:spacing w:before="160" w:after="60"/>
      </w:pPr>
      <w:r>
        <w:rPr>
          <w:rFonts w:ascii="Inter" w:hAnsi="Inter" w:eastAsia="Inter"/>
          <w:b/>
          <w:color w:val="1F3F5B"/>
          <w:sz w:val="23"/>
        </w:rPr>
        <w:t xml:space="preserve">SEC. 2306. YEAR TWO.</w:t>
      </w:r>
    </w:p>
    <w:p>
      <w:pPr>
        <w:pStyle w:val="FirstParagraph"/>
        <w:widowControl/>
        <w:spacing w:after="60" w:line="250" w:lineRule="auto"/>
      </w:pPr>
      <w:r>
        <w:rPr>
          <w:rFonts w:ascii="Noto Serif" w:hAnsi="Noto Serif" w:eastAsia="Noto Serif"/>
          <w:sz w:val="19"/>
        </w:rPr>
        <w:t xml:space="preserve">By the end of year two:</w:t>
      </w:r>
    </w:p>
    <w:p>
      <w:pPr>
        <w:pStyle w:val="Compact"/>
        <w:widowControl/>
        <w:numPr>
          <w:ilvl w:val="0"/>
          <w:numId w:val="1118"/>
        </w:numPr>
        <w:spacing w:after="30" w:line="245" w:lineRule="auto"/>
      </w:pPr>
      <w:r>
        <w:rPr>
          <w:rFonts w:ascii="Noto Serif" w:hAnsi="Noto Serif" w:eastAsia="Noto Serif"/>
          <w:sz w:val="18"/>
        </w:rPr>
        <w:t xml:space="preserve">essential staffing floors shall be substantially met;</w:t>
      </w:r>
    </w:p>
    <w:p>
      <w:pPr>
        <w:pStyle w:val="Compact"/>
        <w:widowControl/>
        <w:numPr>
          <w:ilvl w:val="0"/>
          <w:numId w:val="1118"/>
        </w:numPr>
        <w:spacing w:after="30" w:line="245" w:lineRule="auto"/>
      </w:pPr>
      <w:r>
        <w:rPr>
          <w:rFonts w:ascii="Noto Serif" w:hAnsi="Noto Serif" w:eastAsia="Noto Serif"/>
          <w:sz w:val="18"/>
        </w:rPr>
        <w:t xml:space="preserve">high-risk rollback reviews shall be complete;</w:t>
      </w:r>
    </w:p>
    <w:p>
      <w:pPr>
        <w:pStyle w:val="Compact"/>
        <w:widowControl/>
        <w:numPr>
          <w:ilvl w:val="0"/>
          <w:numId w:val="1118"/>
        </w:numPr>
        <w:spacing w:after="30" w:line="245" w:lineRule="auto"/>
      </w:pPr>
      <w:r>
        <w:rPr>
          <w:rFonts w:ascii="Noto Serif" w:hAnsi="Noto Serif" w:eastAsia="Noto Serif"/>
          <w:sz w:val="18"/>
        </w:rPr>
        <w:t xml:space="preserve">major privacy and data-access controls shall be operational;</w:t>
      </w:r>
    </w:p>
    <w:p>
      <w:pPr>
        <w:pStyle w:val="Compact"/>
        <w:widowControl/>
        <w:numPr>
          <w:ilvl w:val="0"/>
          <w:numId w:val="1118"/>
        </w:numPr>
        <w:spacing w:after="30" w:line="245" w:lineRule="auto"/>
      </w:pPr>
      <w:r>
        <w:rPr>
          <w:rFonts w:ascii="Noto Serif" w:hAnsi="Noto Serif" w:eastAsia="Noto Serif"/>
          <w:sz w:val="18"/>
        </w:rPr>
        <w:t xml:space="preserve">Department of Education, HHS, EPA, USAID, labor, consumer, and civil-rights functions shall meet service-level benchmarks;</w:t>
      </w:r>
    </w:p>
    <w:p>
      <w:pPr>
        <w:pStyle w:val="Compact"/>
        <w:widowControl/>
        <w:numPr>
          <w:ilvl w:val="0"/>
          <w:numId w:val="1118"/>
        </w:numPr>
        <w:spacing w:after="30" w:line="245" w:lineRule="auto"/>
      </w:pPr>
      <w:r>
        <w:rPr>
          <w:rFonts w:ascii="Noto Serif" w:hAnsi="Noto Serif" w:eastAsia="Noto Serif"/>
          <w:sz w:val="18"/>
        </w:rPr>
        <w:t xml:space="preserve">first data-center permits under the new standard shall be evaluated;</w:t>
      </w:r>
    </w:p>
    <w:p>
      <w:pPr>
        <w:pStyle w:val="Compact"/>
        <w:widowControl/>
        <w:numPr>
          <w:ilvl w:val="0"/>
          <w:numId w:val="1118"/>
        </w:numPr>
        <w:spacing w:after="30" w:line="245" w:lineRule="auto"/>
      </w:pPr>
      <w:r>
        <w:rPr>
          <w:rFonts w:ascii="Noto Serif" w:hAnsi="Noto Serif" w:eastAsia="Noto Serif"/>
          <w:sz w:val="18"/>
        </w:rPr>
        <w:t xml:space="preserve">State, Tribal, and local grant systems shall be fully operational; and</w:t>
      </w:r>
    </w:p>
    <w:p>
      <w:pPr>
        <w:pStyle w:val="Compact"/>
        <w:widowControl/>
        <w:numPr>
          <w:ilvl w:val="0"/>
          <w:numId w:val="1118"/>
        </w:numPr>
        <w:spacing w:after="30" w:line="245" w:lineRule="auto"/>
      </w:pPr>
      <w:r>
        <w:rPr>
          <w:rFonts w:ascii="Noto Serif" w:hAnsi="Noto Serif" w:eastAsia="Noto Serif"/>
          <w:sz w:val="18"/>
        </w:rPr>
        <w:t xml:space="preserve">GAO shall deliver the first independent implementation audit.</w:t>
      </w:r>
    </w:p>
    <w:bookmarkEnd w:id="362"/>
    <w:bookmarkStart w:id="363" w:name="sec.-2307.-years-three-through-five."/>
    <w:p>
      <w:pPr>
        <w:pStyle w:val="Heading2"/>
        <w:keepNext/>
        <w:spacing w:before="160" w:after="60"/>
      </w:pPr>
      <w:r>
        <w:rPr>
          <w:rFonts w:ascii="Inter" w:hAnsi="Inter" w:eastAsia="Inter"/>
          <w:b/>
          <w:color w:val="1F3F5B"/>
          <w:sz w:val="23"/>
        </w:rPr>
        <w:t xml:space="preserve">SEC. 2307. YEARS THREE THROUGH FIVE.</w:t>
      </w:r>
    </w:p>
    <w:p>
      <w:pPr>
        <w:pStyle w:val="FirstParagraph"/>
        <w:widowControl/>
        <w:spacing w:after="60" w:line="250" w:lineRule="auto"/>
      </w:pPr>
      <w:r>
        <w:rPr>
          <w:rFonts w:ascii="Noto Serif" w:hAnsi="Noto Serif" w:eastAsia="Noto Serif"/>
          <w:sz w:val="19"/>
        </w:rPr>
        <w:t xml:space="preserve">The Director shall shift from emergency reconstitution to durable modernization, backlog reduction, workforce retention, environmental remediation, grid construction, public-service redesign, international partnership, and correction of programs that fail performance or rights standards.</w:t>
      </w:r>
    </w:p>
    <w:bookmarkEnd w:id="363"/>
    <w:bookmarkStart w:id="364" w:name="sec.-2308.-performance-metrics."/>
    <w:p>
      <w:pPr>
        <w:pStyle w:val="Heading2"/>
        <w:keepNext/>
        <w:spacing w:before="160" w:after="60"/>
      </w:pPr>
      <w:r>
        <w:rPr>
          <w:rFonts w:ascii="Inter" w:hAnsi="Inter" w:eastAsia="Inter"/>
          <w:b/>
          <w:color w:val="1F3F5B"/>
          <w:sz w:val="23"/>
        </w:rPr>
        <w:t xml:space="preserve">SEC. 2308. PERFORMANCE METRICS.</w:t>
      </w:r>
    </w:p>
    <w:p>
      <w:pPr>
        <w:pStyle w:val="FirstParagraph"/>
        <w:widowControl/>
        <w:spacing w:after="60" w:line="250" w:lineRule="auto"/>
      </w:pPr>
      <w:r>
        <w:rPr>
          <w:rFonts w:ascii="Noto Serif" w:hAnsi="Noto Serif" w:eastAsia="Noto Serif"/>
          <w:sz w:val="19"/>
        </w:rPr>
        <w:t xml:space="preserve">Metrics shall include:</w:t>
      </w:r>
    </w:p>
    <w:p>
      <w:pPr>
        <w:pStyle w:val="Compact"/>
        <w:widowControl/>
        <w:numPr>
          <w:ilvl w:val="0"/>
          <w:numId w:val="1119"/>
        </w:numPr>
        <w:spacing w:after="30" w:line="245" w:lineRule="auto"/>
      </w:pPr>
      <w:r>
        <w:rPr>
          <w:rFonts w:ascii="Noto Serif" w:hAnsi="Noto Serif" w:eastAsia="Noto Serif"/>
          <w:sz w:val="18"/>
        </w:rPr>
        <w:t xml:space="preserve">restored obligations and lawful spending;</w:t>
      </w:r>
    </w:p>
    <w:p>
      <w:pPr>
        <w:pStyle w:val="Compact"/>
        <w:widowControl/>
        <w:numPr>
          <w:ilvl w:val="0"/>
          <w:numId w:val="1119"/>
        </w:numPr>
        <w:spacing w:after="30" w:line="245" w:lineRule="auto"/>
      </w:pPr>
      <w:r>
        <w:rPr>
          <w:rFonts w:ascii="Noto Serif" w:hAnsi="Noto Serif" w:eastAsia="Noto Serif"/>
          <w:sz w:val="18"/>
        </w:rPr>
        <w:t xml:space="preserve">service wait times and error rates;</w:t>
      </w:r>
    </w:p>
    <w:p>
      <w:pPr>
        <w:pStyle w:val="Compact"/>
        <w:widowControl/>
        <w:numPr>
          <w:ilvl w:val="0"/>
          <w:numId w:val="1119"/>
        </w:numPr>
        <w:spacing w:after="30" w:line="245" w:lineRule="auto"/>
      </w:pPr>
      <w:r>
        <w:rPr>
          <w:rFonts w:ascii="Noto Serif" w:hAnsi="Noto Serif" w:eastAsia="Noto Serif"/>
          <w:sz w:val="18"/>
        </w:rPr>
        <w:t xml:space="preserve">staffing, expertise, retention, and geographic access;</w:t>
      </w:r>
    </w:p>
    <w:p>
      <w:pPr>
        <w:pStyle w:val="Compact"/>
        <w:widowControl/>
        <w:numPr>
          <w:ilvl w:val="0"/>
          <w:numId w:val="1119"/>
        </w:numPr>
        <w:spacing w:after="30" w:line="245" w:lineRule="auto"/>
      </w:pPr>
      <w:r>
        <w:rPr>
          <w:rFonts w:ascii="Noto Serif" w:hAnsi="Noto Serif" w:eastAsia="Noto Serif"/>
          <w:sz w:val="18"/>
        </w:rPr>
        <w:t xml:space="preserve">voting access and election security;</w:t>
      </w:r>
    </w:p>
    <w:p>
      <w:pPr>
        <w:pStyle w:val="Compact"/>
        <w:widowControl/>
        <w:numPr>
          <w:ilvl w:val="0"/>
          <w:numId w:val="1119"/>
        </w:numPr>
        <w:spacing w:after="30" w:line="245" w:lineRule="auto"/>
      </w:pPr>
      <w:r>
        <w:rPr>
          <w:rFonts w:ascii="Noto Serif" w:hAnsi="Noto Serif" w:eastAsia="Noto Serif"/>
          <w:sz w:val="18"/>
        </w:rPr>
        <w:t xml:space="preserve">civil-rights complaint resolution;</w:t>
      </w:r>
    </w:p>
    <w:p>
      <w:pPr>
        <w:pStyle w:val="Compact"/>
        <w:widowControl/>
        <w:numPr>
          <w:ilvl w:val="0"/>
          <w:numId w:val="1119"/>
        </w:numPr>
        <w:spacing w:after="30" w:line="245" w:lineRule="auto"/>
      </w:pPr>
      <w:r>
        <w:rPr>
          <w:rFonts w:ascii="Noto Serif" w:hAnsi="Noto Serif" w:eastAsia="Noto Serif"/>
          <w:sz w:val="18"/>
        </w:rPr>
        <w:t xml:space="preserve">air, water, climate, habitat, and remediation outcomes;</w:t>
      </w:r>
    </w:p>
    <w:p>
      <w:pPr>
        <w:pStyle w:val="Compact"/>
        <w:widowControl/>
        <w:numPr>
          <w:ilvl w:val="0"/>
          <w:numId w:val="1119"/>
        </w:numPr>
        <w:spacing w:after="30" w:line="245" w:lineRule="auto"/>
      </w:pPr>
      <w:r>
        <w:rPr>
          <w:rFonts w:ascii="Noto Serif" w:hAnsi="Noto Serif" w:eastAsia="Noto Serif"/>
          <w:sz w:val="18"/>
        </w:rPr>
        <w:t xml:space="preserve">energy reliability, cost, transmission, and data-center impacts;</w:t>
      </w:r>
    </w:p>
    <w:p>
      <w:pPr>
        <w:pStyle w:val="Compact"/>
        <w:widowControl/>
        <w:numPr>
          <w:ilvl w:val="0"/>
          <w:numId w:val="1119"/>
        </w:numPr>
        <w:spacing w:after="30" w:line="245" w:lineRule="auto"/>
      </w:pPr>
      <w:r>
        <w:rPr>
          <w:rFonts w:ascii="Noto Serif" w:hAnsi="Noto Serif" w:eastAsia="Noto Serif"/>
          <w:sz w:val="18"/>
        </w:rPr>
        <w:t xml:space="preserve">privacy incidents and unauthorized access;</w:t>
      </w:r>
    </w:p>
    <w:p>
      <w:pPr>
        <w:pStyle w:val="Compact"/>
        <w:widowControl/>
        <w:numPr>
          <w:ilvl w:val="0"/>
          <w:numId w:val="1119"/>
        </w:numPr>
        <w:spacing w:after="30" w:line="245" w:lineRule="auto"/>
      </w:pPr>
      <w:r>
        <w:rPr>
          <w:rFonts w:ascii="Noto Serif" w:hAnsi="Noto Serif" w:eastAsia="Noto Serif"/>
          <w:sz w:val="18"/>
        </w:rPr>
        <w:t xml:space="preserve">education, health, labor, consumer, and housing performance;</w:t>
      </w:r>
    </w:p>
    <w:p>
      <w:pPr>
        <w:pStyle w:val="Compact"/>
        <w:widowControl/>
        <w:numPr>
          <w:ilvl w:val="0"/>
          <w:numId w:val="1119"/>
        </w:numPr>
        <w:spacing w:after="30" w:line="245" w:lineRule="auto"/>
      </w:pPr>
      <w:r>
        <w:rPr>
          <w:rFonts w:ascii="Noto Serif" w:hAnsi="Noto Serif" w:eastAsia="Noto Serif"/>
          <w:sz w:val="18"/>
        </w:rPr>
        <w:t xml:space="preserve">humanitarian lives reached, local partnership, fraud, and global-health outcomes;</w:t>
      </w:r>
    </w:p>
    <w:p>
      <w:pPr>
        <w:pStyle w:val="Compact"/>
        <w:widowControl/>
        <w:numPr>
          <w:ilvl w:val="0"/>
          <w:numId w:val="1119"/>
        </w:numPr>
        <w:spacing w:after="30" w:line="245" w:lineRule="auto"/>
      </w:pPr>
      <w:r>
        <w:rPr>
          <w:rFonts w:ascii="Noto Serif" w:hAnsi="Noto Serif" w:eastAsia="Noto Serif"/>
          <w:sz w:val="18"/>
        </w:rPr>
        <w:t xml:space="preserve">security-assistance compliance and civilian-harm monitoring;</w:t>
      </w:r>
    </w:p>
    <w:p>
      <w:pPr>
        <w:pStyle w:val="Compact"/>
        <w:widowControl/>
        <w:numPr>
          <w:ilvl w:val="0"/>
          <w:numId w:val="1119"/>
        </w:numPr>
        <w:spacing w:after="30" w:line="245" w:lineRule="auto"/>
      </w:pPr>
      <w:r>
        <w:rPr>
          <w:rFonts w:ascii="Noto Serif" w:hAnsi="Noto Serif" w:eastAsia="Noto Serif"/>
          <w:sz w:val="18"/>
        </w:rPr>
        <w:t xml:space="preserve">claims resolved and communities repaired; and</w:t>
      </w:r>
    </w:p>
    <w:p>
      <w:pPr>
        <w:pStyle w:val="Compact"/>
        <w:widowControl/>
        <w:numPr>
          <w:ilvl w:val="0"/>
          <w:numId w:val="1119"/>
        </w:numPr>
        <w:spacing w:after="30" w:line="245" w:lineRule="auto"/>
      </w:pPr>
      <w:r>
        <w:rPr>
          <w:rFonts w:ascii="Noto Serif" w:hAnsi="Noto Serif" w:eastAsia="Noto Serif"/>
          <w:sz w:val="18"/>
        </w:rPr>
        <w:t xml:space="preserve">verified savings, avoided costs, and revenue.</w:t>
      </w:r>
    </w:p>
    <w:bookmarkEnd w:id="364"/>
    <w:bookmarkStart w:id="365" w:name="sec.-2309.-public-data-standards."/>
    <w:p>
      <w:pPr>
        <w:pStyle w:val="Heading2"/>
        <w:keepNext/>
        <w:spacing w:before="160" w:after="60"/>
      </w:pPr>
      <w:r>
        <w:rPr>
          <w:rFonts w:ascii="Inter" w:hAnsi="Inter" w:eastAsia="Inter"/>
          <w:b/>
          <w:color w:val="1F3F5B"/>
          <w:sz w:val="23"/>
        </w:rPr>
        <w:t xml:space="preserve">SEC. 2309. PUBLIC DATA STANDARDS.</w:t>
      </w:r>
    </w:p>
    <w:p>
      <w:pPr>
        <w:pStyle w:val="FirstParagraph"/>
        <w:widowControl/>
        <w:spacing w:after="60" w:line="250" w:lineRule="auto"/>
      </w:pPr>
      <w:r>
        <w:rPr>
          <w:rFonts w:ascii="Noto Serif" w:hAnsi="Noto Serif" w:eastAsia="Noto Serif"/>
          <w:sz w:val="19"/>
        </w:rPr>
        <w:t xml:space="preserve">Data shall be accessible, machine-readable, documented, interoperable, versioned, and available through APIs where appropriate. Agencies shall comply with disability-access, language-access, cybersecurity, privacy, statistical disclosure, and archival standards.</w:t>
      </w:r>
    </w:p>
    <w:bookmarkEnd w:id="365"/>
    <w:bookmarkStart w:id="366" w:name="X5726eb2cc24376b6cc602ac1a56a39b57284dc9"/>
    <w:p>
      <w:pPr>
        <w:pStyle w:val="Heading2"/>
        <w:keepNext/>
        <w:spacing w:before="160" w:after="60"/>
      </w:pPr>
      <w:r>
        <w:rPr>
          <w:rFonts w:ascii="Inter" w:hAnsi="Inter" w:eastAsia="Inter"/>
          <w:b/>
          <w:color w:val="1F3F5B"/>
          <w:sz w:val="23"/>
        </w:rPr>
        <w:t xml:space="preserve">SEC. 2310. GAO AND INSPECTOR GENERAL REVIEW.</w:t>
      </w:r>
    </w:p>
    <w:p>
      <w:pPr>
        <w:pStyle w:val="FirstParagraph"/>
        <w:widowControl/>
        <w:spacing w:after="60" w:line="250" w:lineRule="auto"/>
      </w:pPr>
      <w:r>
        <w:rPr>
          <w:rFonts w:ascii="Noto Serif" w:hAnsi="Noto Serif" w:eastAsia="Noto Serif"/>
          <w:sz w:val="19"/>
        </w:rPr>
        <w:t xml:space="preserve">GAO shall conduct annual government-wide reviews for five years and biennial reviews thereafter through year 15. Inspectors General shall audit agency implementation, data access, procurement, grants, rights, and fiscal integrity. Unresolved high-risk recommendations shall receive public agency responses.</w:t>
      </w:r>
    </w:p>
    <w:bookmarkEnd w:id="366"/>
    <w:bookmarkStart w:id="367" w:name="sec.-2311.-congressional-reporting."/>
    <w:p>
      <w:pPr>
        <w:pStyle w:val="Heading2"/>
        <w:keepNext/>
        <w:spacing w:before="160" w:after="60"/>
      </w:pPr>
      <w:r>
        <w:rPr>
          <w:rFonts w:ascii="Inter" w:hAnsi="Inter" w:eastAsia="Inter"/>
          <w:b/>
          <w:color w:val="1F3F5B"/>
          <w:sz w:val="23"/>
        </w:rPr>
        <w:t xml:space="preserve">SEC. 2311. CONGRESSIONAL REPORTING.</w:t>
      </w:r>
    </w:p>
    <w:p>
      <w:pPr>
        <w:pStyle w:val="FirstParagraph"/>
        <w:widowControl/>
        <w:spacing w:after="60" w:line="250" w:lineRule="auto"/>
      </w:pPr>
      <w:r>
        <w:rPr>
          <w:rFonts w:ascii="Noto Serif" w:hAnsi="Noto Serif" w:eastAsia="Noto Serif"/>
          <w:sz w:val="19"/>
        </w:rPr>
        <w:t xml:space="preserve">The Director, Council, OPEI, Claims Commission, and principal agency heads shall testify annually before appropriate committees. Reports shall distinguish enacted authority, requested legislation, appropriated funds, obligations, outlays, outcomes, litigation, delays, and open risks.</w:t>
      </w:r>
    </w:p>
    <w:bookmarkEnd w:id="367"/>
    <w:bookmarkStart w:id="368" w:name="sec.-2312.-corrective-action-plans."/>
    <w:p>
      <w:pPr>
        <w:pStyle w:val="Heading2"/>
        <w:keepNext/>
        <w:spacing w:before="160" w:after="60"/>
      </w:pPr>
      <w:r>
        <w:rPr>
          <w:rFonts w:ascii="Inter" w:hAnsi="Inter" w:eastAsia="Inter"/>
          <w:b/>
          <w:color w:val="1F3F5B"/>
          <w:sz w:val="23"/>
        </w:rPr>
        <w:t xml:space="preserve">SEC. 2312. CORRECTIVE-ACTION PLANS.</w:t>
      </w:r>
    </w:p>
    <w:p>
      <w:pPr>
        <w:pStyle w:val="FirstParagraph"/>
        <w:widowControl/>
        <w:spacing w:after="60" w:line="250" w:lineRule="auto"/>
      </w:pPr>
      <w:r>
        <w:rPr>
          <w:rFonts w:ascii="Noto Serif" w:hAnsi="Noto Serif" w:eastAsia="Noto Serif"/>
          <w:sz w:val="19"/>
        </w:rPr>
        <w:t xml:space="preserve">An agency missing a material deadline or performance floor shall submit a corrective-action plan within 45 days. OMB may provide technical support or reallocate unobligated Restoration Fund amounts, but may not withhold unrelated statutory funds as punishment.</w:t>
      </w:r>
    </w:p>
    <w:bookmarkEnd w:id="368"/>
    <w:bookmarkEnd w:id="369"/>
    <w:bookmarkStart w:id="380" w:name="X7c88ba9452c6dc87c41b1434f090f5171554db2"/>
    <w:p>
      <w:pPr>
        <w:pStyle w:val="Heading1"/>
        <w:keepNext/>
        <w:pageBreakBefore/>
        <w:spacing w:before="0" w:after="180"/>
        <w:pBdr>
          <w:bottom w:val="single" w:sz="8" w:space="4" w:color="9EB0BF"/>
        </w:pBdr>
      </w:pPr>
      <w:r>
        <w:rPr>
          <w:rFonts w:ascii="Inter" w:hAnsi="Inter" w:eastAsia="Inter"/>
          <w:b/>
          <w:color w:val="142D48"/>
          <w:sz w:val="34"/>
        </w:rPr>
        <w:t xml:space="preserve">TITLE XXIV - LONG-TERM REVIEW, ANTI-BACKSLIDING PROCEDURES, EFFECTIVE DATES, AND SAVINGS</w:t>
      </w:r>
    </w:p>
    <w:bookmarkStart w:id="370" w:name="sec.-2401.-no-automatic-sunset."/>
    <w:p>
      <w:pPr>
        <w:pStyle w:val="Heading2"/>
        <w:keepNext/>
        <w:spacing w:before="160" w:after="60"/>
      </w:pPr>
      <w:r>
        <w:rPr>
          <w:rFonts w:ascii="Inter" w:hAnsi="Inter" w:eastAsia="Inter"/>
          <w:b/>
          <w:color w:val="1F3F5B"/>
          <w:sz w:val="23"/>
        </w:rPr>
        <w:t xml:space="preserve">SEC. 2401. NO AUTOMATIC SUNSET.</w:t>
      </w:r>
    </w:p>
    <w:p>
      <w:pPr>
        <w:pStyle w:val="FirstParagraph"/>
        <w:widowControl/>
        <w:spacing w:after="60" w:line="250" w:lineRule="auto"/>
      </w:pPr>
      <w:r>
        <w:rPr>
          <w:rFonts w:ascii="Noto Serif" w:hAnsi="Noto Serif" w:eastAsia="Noto Serif"/>
          <w:sz w:val="19"/>
        </w:rPr>
        <w:t xml:space="preserve">No substantive protection, right, agency, program, or enforcement authority created or restored by this Act automatically expires merely because a review date arrives. Congress retains its ordinary power to amend or repeal.</w:t>
      </w:r>
    </w:p>
    <w:bookmarkEnd w:id="370"/>
    <w:bookmarkStart w:id="371" w:name="Xb7806b8b13cf2409074a1273a090fe8d9b9268f"/>
    <w:p>
      <w:pPr>
        <w:pStyle w:val="Heading2"/>
        <w:keepNext/>
        <w:spacing w:before="160" w:after="60"/>
      </w:pPr>
      <w:r>
        <w:rPr>
          <w:rFonts w:ascii="Inter" w:hAnsi="Inter" w:eastAsia="Inter"/>
          <w:b/>
          <w:color w:val="1F3F5B"/>
          <w:sz w:val="23"/>
        </w:rPr>
        <w:t xml:space="preserve">SEC. 2402. THREE-, SEVEN-, AND FIFTEEN-YEAR REVIEWS.</w:t>
      </w:r>
    </w:p>
    <w:p>
      <w:pPr>
        <w:widowControl/>
        <w:numPr>
          <w:ilvl w:val="0"/>
          <w:numId w:val="1120"/>
        </w:numPr>
        <w:spacing w:after="30" w:line="245" w:lineRule="auto"/>
      </w:pPr>
      <w:r>
        <w:rPr>
          <w:rFonts w:ascii="Noto Serif" w:hAnsi="Noto Serif" w:eastAsia="Noto Serif"/>
          <w:sz w:val="18"/>
        </w:rPr>
        <w:t xml:space="preserve">GAO shall lead comprehensive reviews at 3, 7, and 15 years after enactment.</w:t>
      </w:r>
    </w:p>
    <w:p>
      <w:pPr>
        <w:widowControl/>
        <w:numPr>
          <w:ilvl w:val="0"/>
          <w:numId w:val="1120"/>
        </w:numPr>
        <w:spacing w:after="30" w:line="245" w:lineRule="auto"/>
      </w:pPr>
      <w:r>
        <w:rPr>
          <w:rFonts w:ascii="Noto Serif" w:hAnsi="Noto Serif" w:eastAsia="Noto Serif"/>
          <w:sz w:val="18"/>
        </w:rPr>
        <w:t xml:space="preserve">Reviews shall assess legality, effectiveness, fiscal performance, rights, administrative burden, federalism, technology, unintended consequences, duplication, obsolete provisions, and need for amendment.</w:t>
      </w:r>
    </w:p>
    <w:p>
      <w:pPr>
        <w:widowControl/>
        <w:numPr>
          <w:ilvl w:val="0"/>
          <w:numId w:val="1120"/>
        </w:numPr>
        <w:spacing w:after="30" w:line="245" w:lineRule="auto"/>
      </w:pPr>
      <w:r>
        <w:rPr>
          <w:rFonts w:ascii="Noto Serif" w:hAnsi="Noto Serif" w:eastAsia="Noto Serif"/>
          <w:sz w:val="18"/>
        </w:rPr>
        <w:t xml:space="preserve">The 15-year review shall include public hearings in every census region, Tribal consultation, scientific review, State and local testimony, affected-person evidence, and recommendations to Congress.</w:t>
      </w:r>
    </w:p>
    <w:bookmarkEnd w:id="371"/>
    <w:bookmarkStart w:id="372" w:name="Xd74a02fbadbb28a58bff32d160351cca29d0ac9"/>
    <w:p>
      <w:pPr>
        <w:pStyle w:val="Heading2"/>
        <w:keepNext/>
        <w:spacing w:before="160" w:after="60"/>
      </w:pPr>
      <w:r>
        <w:rPr>
          <w:rFonts w:ascii="Inter" w:hAnsi="Inter" w:eastAsia="Inter"/>
          <w:b/>
          <w:color w:val="1F3F5B"/>
          <w:sz w:val="23"/>
        </w:rPr>
        <w:t xml:space="preserve">SEC. 2403. PROCEDURES FOR MAJOR REGRESSION ACTIONS.</w:t>
      </w:r>
    </w:p>
    <w:p>
      <w:pPr>
        <w:pStyle w:val="FirstParagraph"/>
        <w:widowControl/>
        <w:spacing w:after="60" w:line="250" w:lineRule="auto"/>
      </w:pPr>
      <w:r>
        <w:rPr>
          <w:rFonts w:ascii="Noto Serif" w:hAnsi="Noto Serif" w:eastAsia="Noto Serif"/>
          <w:sz w:val="19"/>
        </w:rPr>
        <w:t xml:space="preserve">Before an agency materially weakens a protection restored or created by this Act, the agency shall:</w:t>
      </w:r>
    </w:p>
    <w:p>
      <w:pPr>
        <w:pStyle w:val="Compact"/>
        <w:widowControl/>
        <w:numPr>
          <w:ilvl w:val="0"/>
          <w:numId w:val="1121"/>
        </w:numPr>
        <w:spacing w:after="30" w:line="245" w:lineRule="auto"/>
      </w:pPr>
      <w:r>
        <w:rPr>
          <w:rFonts w:ascii="Noto Serif" w:hAnsi="Noto Serif" w:eastAsia="Noto Serif"/>
          <w:sz w:val="18"/>
        </w:rPr>
        <w:t xml:space="preserve">identify statutory authority;</w:t>
      </w:r>
    </w:p>
    <w:p>
      <w:pPr>
        <w:pStyle w:val="Compact"/>
        <w:widowControl/>
        <w:numPr>
          <w:ilvl w:val="0"/>
          <w:numId w:val="1121"/>
        </w:numPr>
        <w:spacing w:after="30" w:line="245" w:lineRule="auto"/>
      </w:pPr>
      <w:r>
        <w:rPr>
          <w:rFonts w:ascii="Noto Serif" w:hAnsi="Noto Serif" w:eastAsia="Noto Serif"/>
          <w:sz w:val="18"/>
        </w:rPr>
        <w:t xml:space="preserve">publish the proposed change and underlying evidence;</w:t>
      </w:r>
    </w:p>
    <w:p>
      <w:pPr>
        <w:pStyle w:val="Compact"/>
        <w:widowControl/>
        <w:numPr>
          <w:ilvl w:val="0"/>
          <w:numId w:val="1121"/>
        </w:numPr>
        <w:spacing w:after="30" w:line="245" w:lineRule="auto"/>
      </w:pPr>
      <w:r>
        <w:rPr>
          <w:rFonts w:ascii="Noto Serif" w:hAnsi="Noto Serif" w:eastAsia="Noto Serif"/>
          <w:sz w:val="18"/>
        </w:rPr>
        <w:t xml:space="preserve">evaluate reliance, rights, distribution, health, environment, fiscal, and implementation effects;</w:t>
      </w:r>
    </w:p>
    <w:p>
      <w:pPr>
        <w:pStyle w:val="Compact"/>
        <w:widowControl/>
        <w:numPr>
          <w:ilvl w:val="0"/>
          <w:numId w:val="1121"/>
        </w:numPr>
        <w:spacing w:after="30" w:line="245" w:lineRule="auto"/>
      </w:pPr>
      <w:r>
        <w:rPr>
          <w:rFonts w:ascii="Noto Serif" w:hAnsi="Noto Serif" w:eastAsia="Noto Serif"/>
          <w:sz w:val="18"/>
        </w:rPr>
        <w:t xml:space="preserve">consider less harmful alternatives;</w:t>
      </w:r>
    </w:p>
    <w:p>
      <w:pPr>
        <w:pStyle w:val="Compact"/>
        <w:widowControl/>
        <w:numPr>
          <w:ilvl w:val="0"/>
          <w:numId w:val="1121"/>
        </w:numPr>
        <w:spacing w:after="30" w:line="245" w:lineRule="auto"/>
      </w:pPr>
      <w:r>
        <w:rPr>
          <w:rFonts w:ascii="Noto Serif" w:hAnsi="Noto Serif" w:eastAsia="Noto Serif"/>
          <w:sz w:val="18"/>
        </w:rPr>
        <w:t xml:space="preserve">provide at least 90 days for comment, except a genuine emergency;</w:t>
      </w:r>
    </w:p>
    <w:p>
      <w:pPr>
        <w:pStyle w:val="Compact"/>
        <w:widowControl/>
        <w:numPr>
          <w:ilvl w:val="0"/>
          <w:numId w:val="1121"/>
        </w:numPr>
        <w:spacing w:after="30" w:line="245" w:lineRule="auto"/>
      </w:pPr>
      <w:r>
        <w:rPr>
          <w:rFonts w:ascii="Noto Serif" w:hAnsi="Noto Serif" w:eastAsia="Noto Serif"/>
          <w:sz w:val="18"/>
        </w:rPr>
        <w:t xml:space="preserve">respond to material comments; and</w:t>
      </w:r>
    </w:p>
    <w:p>
      <w:pPr>
        <w:pStyle w:val="Compact"/>
        <w:widowControl/>
        <w:numPr>
          <w:ilvl w:val="0"/>
          <w:numId w:val="1121"/>
        </w:numPr>
        <w:spacing w:after="30" w:line="245" w:lineRule="auto"/>
      </w:pPr>
      <w:r>
        <w:rPr>
          <w:rFonts w:ascii="Noto Serif" w:hAnsi="Noto Serif" w:eastAsia="Noto Serif"/>
          <w:sz w:val="18"/>
        </w:rPr>
        <w:t xml:space="preserve">obtain review by the agency Inspector General for procedural compliance.</w:t>
      </w:r>
    </w:p>
    <w:p>
      <w:pPr>
        <w:pStyle w:val="FirstParagraph"/>
        <w:widowControl/>
        <w:spacing w:after="60" w:line="250" w:lineRule="auto"/>
      </w:pPr>
      <w:r>
        <w:rPr>
          <w:rFonts w:ascii="Noto Serif" w:hAnsi="Noto Serif" w:eastAsia="Noto Serif"/>
          <w:sz w:val="19"/>
        </w:rPr>
        <w:t xml:space="preserve">This section creates procedural discipline, not an entrenchment against future legislation.</w:t>
      </w:r>
    </w:p>
    <w:bookmarkEnd w:id="372"/>
    <w:bookmarkStart w:id="373" w:name="X6f8afbd9a8df1899e824e9353f65fde1c376b7d"/>
    <w:p>
      <w:pPr>
        <w:pStyle w:val="Heading2"/>
        <w:keepNext/>
        <w:spacing w:before="160" w:after="60"/>
      </w:pPr>
      <w:r>
        <w:rPr>
          <w:rFonts w:ascii="Inter" w:hAnsi="Inter" w:eastAsia="Inter"/>
          <w:b/>
          <w:color w:val="1F3F5B"/>
          <w:sz w:val="23"/>
        </w:rPr>
        <w:t xml:space="preserve">SEC. 2404. CONGRESSIONAL NOTICE OF MAJOR REGRESSION.</w:t>
      </w:r>
    </w:p>
    <w:p>
      <w:pPr>
        <w:pStyle w:val="FirstParagraph"/>
        <w:widowControl/>
        <w:spacing w:after="60" w:line="250" w:lineRule="auto"/>
      </w:pPr>
      <w:r>
        <w:rPr>
          <w:rFonts w:ascii="Noto Serif" w:hAnsi="Noto Serif" w:eastAsia="Noto Serif"/>
          <w:sz w:val="19"/>
        </w:rPr>
        <w:t xml:space="preserve">A rule, reorganization, grant termination, data-sharing arrangement, international withdrawal, or program reduction expected to affect more than $5,000,000,000, 100,000 beneficiaries, 10,000 employees, a nationwide civil right, or a major public asset requires 120 days’ notice to Congress and the public, unless immediate action is essential to prevent imminent serious harm.</w:t>
      </w:r>
    </w:p>
    <w:bookmarkEnd w:id="373"/>
    <w:bookmarkStart w:id="374" w:name="sec.-2405.-public-petition-for-review."/>
    <w:p>
      <w:pPr>
        <w:pStyle w:val="Heading2"/>
        <w:keepNext/>
        <w:spacing w:before="160" w:after="60"/>
      </w:pPr>
      <w:r>
        <w:rPr>
          <w:rFonts w:ascii="Inter" w:hAnsi="Inter" w:eastAsia="Inter"/>
          <w:b/>
          <w:color w:val="1F3F5B"/>
          <w:sz w:val="23"/>
        </w:rPr>
        <w:t xml:space="preserve">SEC. 2405. PUBLIC PETITION FOR REVIEW.</w:t>
      </w:r>
    </w:p>
    <w:p>
      <w:pPr>
        <w:pStyle w:val="FirstParagraph"/>
        <w:widowControl/>
        <w:spacing w:after="60" w:line="250" w:lineRule="auto"/>
      </w:pPr>
      <w:r>
        <w:rPr>
          <w:rFonts w:ascii="Noto Serif" w:hAnsi="Noto Serif" w:eastAsia="Noto Serif"/>
          <w:sz w:val="19"/>
        </w:rPr>
        <w:t xml:space="preserve">A person may petition an agency to review an obsolete, ineffective, burdensome, discriminatory, or harmful provision of this Act or its implementing rules. Agencies shall respond to significant petitions within 180 days. This mechanism may recommend weakening or strengthening based on evidence.</w:t>
      </w:r>
    </w:p>
    <w:bookmarkEnd w:id="374"/>
    <w:bookmarkStart w:id="375" w:name="sec.-2406.-general-effective-date."/>
    <w:p>
      <w:pPr>
        <w:pStyle w:val="Heading2"/>
        <w:keepNext/>
        <w:spacing w:before="160" w:after="60"/>
      </w:pPr>
      <w:r>
        <w:rPr>
          <w:rFonts w:ascii="Inter" w:hAnsi="Inter" w:eastAsia="Inter"/>
          <w:b/>
          <w:color w:val="1F3F5B"/>
          <w:sz w:val="23"/>
        </w:rPr>
        <w:t xml:space="preserve">SEC. 2406. GENERAL EFFECTIVE DATE.</w:t>
      </w:r>
    </w:p>
    <w:p>
      <w:pPr>
        <w:pStyle w:val="FirstParagraph"/>
        <w:widowControl/>
        <w:spacing w:after="60" w:line="250" w:lineRule="auto"/>
      </w:pPr>
      <w:r>
        <w:rPr>
          <w:rFonts w:ascii="Noto Serif" w:hAnsi="Noto Serif" w:eastAsia="Noto Serif"/>
          <w:sz w:val="19"/>
        </w:rPr>
        <w:t xml:space="preserve">Except as otherwise provided, this Act takes effect 180 days after enactment.</w:t>
      </w:r>
    </w:p>
    <w:bookmarkEnd w:id="375"/>
    <w:bookmarkStart w:id="376" w:name="X5573a795a5f5d84b0361e479f5052b945bb2ad3"/>
    <w:p>
      <w:pPr>
        <w:pStyle w:val="Heading2"/>
        <w:keepNext/>
        <w:spacing w:before="160" w:after="60"/>
      </w:pPr>
      <w:r>
        <w:rPr>
          <w:rFonts w:ascii="Inter" w:hAnsi="Inter" w:eastAsia="Inter"/>
          <w:b/>
          <w:color w:val="1F3F5B"/>
          <w:sz w:val="23"/>
        </w:rPr>
        <w:t xml:space="preserve">SEC. 2407. IMMEDIATE EFFECTIVE PROVISIONS.</w:t>
      </w:r>
    </w:p>
    <w:p>
      <w:pPr>
        <w:pStyle w:val="FirstParagraph"/>
        <w:widowControl/>
        <w:spacing w:after="60" w:line="250" w:lineRule="auto"/>
      </w:pPr>
      <w:r>
        <w:rPr>
          <w:rFonts w:ascii="Noto Serif" w:hAnsi="Noto Serif" w:eastAsia="Noto Serif"/>
          <w:sz w:val="19"/>
        </w:rPr>
        <w:t xml:space="preserve">Sections concerning records preservation, impoundment, prohibited personnel classifications, unauthorized sensitive-data access, voting documentary-proof repeal, lifesaving foreign assistance, USAID legal status, birthright citizenship, Inspector General access, and temporary preservation orders take effect upon enactment.</w:t>
      </w:r>
    </w:p>
    <w:bookmarkEnd w:id="376"/>
    <w:bookmarkStart w:id="377" w:name="sec.-2408.-rulemaking."/>
    <w:p>
      <w:pPr>
        <w:pStyle w:val="Heading2"/>
        <w:keepNext/>
        <w:spacing w:before="160" w:after="60"/>
      </w:pPr>
      <w:r>
        <w:rPr>
          <w:rFonts w:ascii="Inter" w:hAnsi="Inter" w:eastAsia="Inter"/>
          <w:b/>
          <w:color w:val="1F3F5B"/>
          <w:sz w:val="23"/>
        </w:rPr>
        <w:t xml:space="preserve">SEC. 2408. RULEMAKING.</w:t>
      </w:r>
    </w:p>
    <w:p>
      <w:pPr>
        <w:pStyle w:val="FirstParagraph"/>
        <w:widowControl/>
        <w:spacing w:after="60" w:line="250" w:lineRule="auto"/>
      </w:pPr>
      <w:r>
        <w:rPr>
          <w:rFonts w:ascii="Noto Serif" w:hAnsi="Noto Serif" w:eastAsia="Noto Serif"/>
          <w:sz w:val="19"/>
        </w:rPr>
        <w:t xml:space="preserve">Agencies shall issue required rules within 18 months unless a title specifies another deadline. Proposed rules shall generally issue within 270 days. Failure to meet a deadline permits an action to compel unreasonably delayed agency action, subject to equitable considerations.</w:t>
      </w:r>
    </w:p>
    <w:bookmarkEnd w:id="377"/>
    <w:bookmarkStart w:id="378" w:name="sec.-2409.-transition-and-reliance."/>
    <w:p>
      <w:pPr>
        <w:pStyle w:val="Heading2"/>
        <w:keepNext/>
        <w:spacing w:before="160" w:after="60"/>
      </w:pPr>
      <w:r>
        <w:rPr>
          <w:rFonts w:ascii="Inter" w:hAnsi="Inter" w:eastAsia="Inter"/>
          <w:b/>
          <w:color w:val="1F3F5B"/>
          <w:sz w:val="23"/>
        </w:rPr>
        <w:t xml:space="preserve">SEC. 2409. TRANSITION AND RELIANCE.</w:t>
      </w:r>
    </w:p>
    <w:p>
      <w:pPr>
        <w:pStyle w:val="FirstParagraph"/>
        <w:widowControl/>
        <w:spacing w:after="60" w:line="250" w:lineRule="auto"/>
      </w:pPr>
      <w:r>
        <w:rPr>
          <w:rFonts w:ascii="Noto Serif" w:hAnsi="Noto Serif" w:eastAsia="Noto Serif"/>
          <w:sz w:val="19"/>
        </w:rPr>
        <w:t xml:space="preserve">Agencies shall protect lawful reliance, continuity of essential services, due process, collective bargaining, cybersecurity, records, and orderly transition. Restoration shall not require needless destruction of improvements made during a covered period that satisfy this Act.</w:t>
      </w:r>
    </w:p>
    <w:bookmarkEnd w:id="378"/>
    <w:bookmarkStart w:id="379" w:name="sec.-2410.-general-savings-clause."/>
    <w:p>
      <w:pPr>
        <w:pStyle w:val="Heading2"/>
        <w:keepNext/>
        <w:spacing w:before="160" w:after="60"/>
      </w:pPr>
      <w:r>
        <w:rPr>
          <w:rFonts w:ascii="Inter" w:hAnsi="Inter" w:eastAsia="Inter"/>
          <w:b/>
          <w:color w:val="1F3F5B"/>
          <w:sz w:val="23"/>
        </w:rPr>
        <w:t xml:space="preserve">SEC. 2410. GENERAL SAVINGS CLAUSE.</w:t>
      </w:r>
    </w:p>
    <w:p>
      <w:pPr>
        <w:pStyle w:val="FirstParagraph"/>
        <w:widowControl/>
        <w:spacing w:after="60" w:line="250" w:lineRule="auto"/>
      </w:pPr>
      <w:r>
        <w:rPr>
          <w:rFonts w:ascii="Noto Serif" w:hAnsi="Noto Serif" w:eastAsia="Noto Serif"/>
          <w:sz w:val="19"/>
        </w:rPr>
        <w:t xml:space="preserve">Nothing in this Act shall be construed to:</w:t>
      </w:r>
    </w:p>
    <w:p>
      <w:pPr>
        <w:pStyle w:val="Compact"/>
        <w:widowControl/>
        <w:numPr>
          <w:ilvl w:val="0"/>
          <w:numId w:val="1122"/>
        </w:numPr>
        <w:spacing w:after="30" w:line="245" w:lineRule="auto"/>
      </w:pPr>
      <w:r>
        <w:rPr>
          <w:rFonts w:ascii="Noto Serif" w:hAnsi="Noto Serif" w:eastAsia="Noto Serif"/>
          <w:sz w:val="18"/>
        </w:rPr>
        <w:t xml:space="preserve">authorize censorship of protected speech;</w:t>
      </w:r>
    </w:p>
    <w:p>
      <w:pPr>
        <w:pStyle w:val="Compact"/>
        <w:widowControl/>
        <w:numPr>
          <w:ilvl w:val="0"/>
          <w:numId w:val="1122"/>
        </w:numPr>
        <w:spacing w:after="30" w:line="245" w:lineRule="auto"/>
      </w:pPr>
      <w:r>
        <w:rPr>
          <w:rFonts w:ascii="Noto Serif" w:hAnsi="Noto Serif" w:eastAsia="Noto Serif"/>
          <w:sz w:val="18"/>
        </w:rPr>
        <w:t xml:space="preserve">regulate religious doctrine;</w:t>
      </w:r>
    </w:p>
    <w:p>
      <w:pPr>
        <w:pStyle w:val="Compact"/>
        <w:widowControl/>
        <w:numPr>
          <w:ilvl w:val="0"/>
          <w:numId w:val="1122"/>
        </w:numPr>
        <w:spacing w:after="30" w:line="245" w:lineRule="auto"/>
      </w:pPr>
      <w:r>
        <w:rPr>
          <w:rFonts w:ascii="Noto Serif" w:hAnsi="Noto Serif" w:eastAsia="Noto Serif"/>
          <w:sz w:val="18"/>
        </w:rPr>
        <w:t xml:space="preserve">weaken criminal due process;</w:t>
      </w:r>
    </w:p>
    <w:p>
      <w:pPr>
        <w:pStyle w:val="Compact"/>
        <w:widowControl/>
        <w:numPr>
          <w:ilvl w:val="0"/>
          <w:numId w:val="1122"/>
        </w:numPr>
        <w:spacing w:after="30" w:line="245" w:lineRule="auto"/>
      </w:pPr>
      <w:r>
        <w:rPr>
          <w:rFonts w:ascii="Noto Serif" w:hAnsi="Noto Serif" w:eastAsia="Noto Serif"/>
          <w:sz w:val="18"/>
        </w:rPr>
        <w:t xml:space="preserve">diminish stronger environmental, labor, consumer, voting, privacy, or civil-rights law;</w:t>
      </w:r>
    </w:p>
    <w:p>
      <w:pPr>
        <w:pStyle w:val="Compact"/>
        <w:widowControl/>
        <w:numPr>
          <w:ilvl w:val="0"/>
          <w:numId w:val="1122"/>
        </w:numPr>
        <w:spacing w:after="30" w:line="245" w:lineRule="auto"/>
      </w:pPr>
      <w:r>
        <w:rPr>
          <w:rFonts w:ascii="Noto Serif" w:hAnsi="Noto Serif" w:eastAsia="Noto Serif"/>
          <w:sz w:val="18"/>
        </w:rPr>
        <w:t xml:space="preserve">authorize expenditure without appropriation;</w:t>
      </w:r>
    </w:p>
    <w:p>
      <w:pPr>
        <w:pStyle w:val="Compact"/>
        <w:widowControl/>
        <w:numPr>
          <w:ilvl w:val="0"/>
          <w:numId w:val="1122"/>
        </w:numPr>
        <w:spacing w:after="30" w:line="245" w:lineRule="auto"/>
      </w:pPr>
      <w:r>
        <w:rPr>
          <w:rFonts w:ascii="Noto Serif" w:hAnsi="Noto Serif" w:eastAsia="Noto Serif"/>
          <w:sz w:val="18"/>
        </w:rPr>
        <w:t xml:space="preserve">confer a private right to compel discretionary foreign aid or military assistance except as expressly provided;</w:t>
      </w:r>
    </w:p>
    <w:p>
      <w:pPr>
        <w:pStyle w:val="Compact"/>
        <w:widowControl/>
        <w:numPr>
          <w:ilvl w:val="0"/>
          <w:numId w:val="1122"/>
        </w:numPr>
        <w:spacing w:after="30" w:line="245" w:lineRule="auto"/>
      </w:pPr>
      <w:r>
        <w:rPr>
          <w:rFonts w:ascii="Noto Serif" w:hAnsi="Noto Serif" w:eastAsia="Noto Serif"/>
          <w:sz w:val="18"/>
        </w:rPr>
        <w:t xml:space="preserve">impair Tribal sovereignty or treaty rights;</w:t>
      </w:r>
    </w:p>
    <w:p>
      <w:pPr>
        <w:pStyle w:val="Compact"/>
        <w:widowControl/>
        <w:numPr>
          <w:ilvl w:val="0"/>
          <w:numId w:val="1122"/>
        </w:numPr>
        <w:spacing w:after="30" w:line="245" w:lineRule="auto"/>
      </w:pPr>
      <w:r>
        <w:rPr>
          <w:rFonts w:ascii="Noto Serif" w:hAnsi="Noto Serif" w:eastAsia="Noto Serif"/>
          <w:sz w:val="18"/>
        </w:rPr>
        <w:t xml:space="preserve">displace constitutional powers of Congress, the President, or the courts; or</w:t>
      </w:r>
    </w:p>
    <w:p>
      <w:pPr>
        <w:pStyle w:val="Compact"/>
        <w:widowControl/>
        <w:numPr>
          <w:ilvl w:val="0"/>
          <w:numId w:val="1122"/>
        </w:numPr>
        <w:spacing w:after="30" w:line="245" w:lineRule="auto"/>
      </w:pPr>
      <w:r>
        <w:rPr>
          <w:rFonts w:ascii="Noto Serif" w:hAnsi="Noto Serif" w:eastAsia="Noto Serif"/>
          <w:sz w:val="18"/>
        </w:rPr>
        <w:t xml:space="preserve">prevent retention of a policy adopted during a covered period that satisfies the objective standards of this Act.</w:t>
      </w:r>
    </w:p>
    <w:bookmarkEnd w:id="379"/>
    <w:bookmarkEnd w:id="380"/>
    <w:bookmarkStart w:id="391" w:name="X4d50b327bd4677e75733517f88a85fad5c0946b"/>
    <w:p>
      <w:pPr>
        <w:pStyle w:val="Heading1"/>
        <w:keepNext/>
        <w:pageBreakBefore/>
        <w:spacing w:before="0" w:after="180"/>
        <w:pBdr>
          <w:bottom w:val="single" w:sz="8" w:space="4" w:color="9EB0BF"/>
        </w:pBdr>
      </w:pPr>
      <w:r>
        <w:rPr>
          <w:rFonts w:ascii="Inter" w:hAnsi="Inter" w:eastAsia="Inter"/>
          <w:b/>
          <w:color w:val="142D48"/>
          <w:sz w:val="34"/>
        </w:rPr>
        <w:t xml:space="preserve">SCHEDULE A - INITIAL COVERED ACTION CATEGORIES</w:t>
      </w:r>
    </w:p>
    <w:p>
      <w:pPr>
        <w:pStyle w:val="FirstParagraph"/>
        <w:widowControl/>
        <w:spacing w:after="60" w:line="250" w:lineRule="auto"/>
      </w:pPr>
      <w:r>
        <w:rPr>
          <w:rFonts w:ascii="Noto Serif" w:hAnsi="Noto Serif" w:eastAsia="Noto Serif"/>
          <w:sz w:val="19"/>
        </w:rPr>
        <w:t xml:space="preserve">Schedule A identifies actions receiving automatic priority review. Listing does not predetermine final classification, and omission does not prevent review.</w:t>
      </w:r>
    </w:p>
    <w:bookmarkStart w:id="381" w:name="X99cbce053fe9f8ee5e43caa67bffba39012add8"/>
    <w:p>
      <w:pPr>
        <w:pStyle w:val="Heading2"/>
        <w:keepNext/>
        <w:spacing w:before="160" w:after="60"/>
      </w:pPr>
      <w:r>
        <w:rPr>
          <w:rFonts w:ascii="Inter" w:hAnsi="Inter" w:eastAsia="Inter"/>
          <w:b/>
          <w:color w:val="1F3F5B"/>
          <w:sz w:val="23"/>
        </w:rPr>
        <w:t xml:space="preserve">A. Executive dismantling, civil service, and government control</w:t>
      </w:r>
    </w:p>
    <w:p>
      <w:pPr>
        <w:pStyle w:val="Compact"/>
        <w:widowControl/>
        <w:numPr>
          <w:ilvl w:val="0"/>
          <w:numId w:val="1123"/>
        </w:numPr>
        <w:spacing w:after="30" w:line="245" w:lineRule="auto"/>
      </w:pPr>
      <w:r>
        <w:rPr>
          <w:rFonts w:ascii="Noto Serif" w:hAnsi="Noto Serif" w:eastAsia="Noto Serif"/>
          <w:sz w:val="18"/>
        </w:rPr>
        <w:t xml:space="preserve">Executive actions establishing or expanding the United States DOGE Service, departmental DOGE teams, mass data access, unilateral cost cancellation, deregulatory quotas, and workforce-optimization structures.</w:t>
      </w:r>
    </w:p>
    <w:p>
      <w:pPr>
        <w:pStyle w:val="Compact"/>
        <w:widowControl/>
        <w:numPr>
          <w:ilvl w:val="0"/>
          <w:numId w:val="1123"/>
        </w:numPr>
        <w:spacing w:after="30" w:line="245" w:lineRule="auto"/>
      </w:pPr>
      <w:r>
        <w:rPr>
          <w:rFonts w:ascii="Noto Serif" w:hAnsi="Noto Serif" w:eastAsia="Noto Serif"/>
          <w:sz w:val="18"/>
        </w:rPr>
        <w:t xml:space="preserve">Schedule F, Schedule Policy/Career, and materially similar classifications.</w:t>
      </w:r>
    </w:p>
    <w:p>
      <w:pPr>
        <w:pStyle w:val="Compact"/>
        <w:widowControl/>
        <w:numPr>
          <w:ilvl w:val="0"/>
          <w:numId w:val="1123"/>
        </w:numPr>
        <w:spacing w:after="30" w:line="245" w:lineRule="auto"/>
      </w:pPr>
      <w:r>
        <w:rPr>
          <w:rFonts w:ascii="Noto Serif" w:hAnsi="Noto Serif" w:eastAsia="Noto Serif"/>
          <w:sz w:val="18"/>
        </w:rPr>
        <w:t xml:space="preserve">Government-wide hiring freezes, mass reduction-in-force directives, return-to-office mandates applied without individualized operational analysis, and relocation or closure actions designed to induce attrition.</w:t>
      </w:r>
    </w:p>
    <w:p>
      <w:pPr>
        <w:pStyle w:val="Compact"/>
        <w:widowControl/>
        <w:numPr>
          <w:ilvl w:val="0"/>
          <w:numId w:val="1123"/>
        </w:numPr>
        <w:spacing w:after="30" w:line="245" w:lineRule="auto"/>
      </w:pPr>
      <w:r>
        <w:rPr>
          <w:rFonts w:ascii="Noto Serif" w:hAnsi="Noto Serif" w:eastAsia="Noto Serif"/>
          <w:sz w:val="18"/>
        </w:rPr>
        <w:t xml:space="preserve">Direct presidential control of independent agencies beyond statutory authority.</w:t>
      </w:r>
    </w:p>
    <w:p>
      <w:pPr>
        <w:pStyle w:val="Compact"/>
        <w:widowControl/>
        <w:numPr>
          <w:ilvl w:val="0"/>
          <w:numId w:val="1123"/>
        </w:numPr>
        <w:spacing w:after="30" w:line="245" w:lineRule="auto"/>
      </w:pPr>
      <w:r>
        <w:rPr>
          <w:rFonts w:ascii="Noto Serif" w:hAnsi="Noto Serif" w:eastAsia="Noto Serif"/>
          <w:sz w:val="18"/>
        </w:rPr>
        <w:t xml:space="preserve">Removal or obstruction of Inspectors General, ethics officials, whistleblowers, career prosecutors, scientists, statisticians, and other protected officials.</w:t>
      </w:r>
    </w:p>
    <w:p>
      <w:pPr>
        <w:pStyle w:val="Compact"/>
        <w:widowControl/>
        <w:numPr>
          <w:ilvl w:val="0"/>
          <w:numId w:val="1123"/>
        </w:numPr>
        <w:spacing w:after="30" w:line="245" w:lineRule="auto"/>
      </w:pPr>
      <w:r>
        <w:rPr>
          <w:rFonts w:ascii="Noto Serif" w:hAnsi="Noto Serif" w:eastAsia="Noto Serif"/>
          <w:sz w:val="18"/>
        </w:rPr>
        <w:t xml:space="preserve">Ten-for-one, two-for-one, or other numerical deregulatory quotas that substitute counting for statutory analysis.</w:t>
      </w:r>
    </w:p>
    <w:bookmarkEnd w:id="381"/>
    <w:bookmarkStart w:id="382" w:name="X30a8b4cb1e6937c960c2a34a70d2a4193862c6c"/>
    <w:p>
      <w:pPr>
        <w:pStyle w:val="Heading2"/>
        <w:keepNext/>
        <w:spacing w:before="160" w:after="60"/>
      </w:pPr>
      <w:r>
        <w:rPr>
          <w:rFonts w:ascii="Inter" w:hAnsi="Inter" w:eastAsia="Inter"/>
          <w:b/>
          <w:color w:val="1F3F5B"/>
          <w:sz w:val="23"/>
        </w:rPr>
        <w:t xml:space="preserve">B. Appropriations, grants, contracts, and records</w:t>
      </w:r>
    </w:p>
    <w:p>
      <w:pPr>
        <w:pStyle w:val="Compact"/>
        <w:widowControl/>
        <w:numPr>
          <w:ilvl w:val="0"/>
          <w:numId w:val="1124"/>
        </w:numPr>
        <w:spacing w:after="30" w:line="245" w:lineRule="auto"/>
      </w:pPr>
      <w:r>
        <w:rPr>
          <w:rFonts w:ascii="Noto Serif" w:hAnsi="Noto Serif" w:eastAsia="Noto Serif"/>
          <w:sz w:val="18"/>
        </w:rPr>
        <w:t xml:space="preserve">Withholding or cancellation of enacted funds without compliance with the Impoundment Control Act.</w:t>
      </w:r>
    </w:p>
    <w:p>
      <w:pPr>
        <w:pStyle w:val="Compact"/>
        <w:widowControl/>
        <w:numPr>
          <w:ilvl w:val="0"/>
          <w:numId w:val="1124"/>
        </w:numPr>
        <w:spacing w:after="30" w:line="245" w:lineRule="auto"/>
      </w:pPr>
      <w:r>
        <w:rPr>
          <w:rFonts w:ascii="Noto Serif" w:hAnsi="Noto Serif" w:eastAsia="Noto Serif"/>
          <w:sz w:val="18"/>
        </w:rPr>
        <w:t xml:space="preserve">Blanket grant and contract terminations based on</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convenience,</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disfavored terminology, or unpublished ideological criteria.</w:t>
      </w:r>
    </w:p>
    <w:p>
      <w:pPr>
        <w:pStyle w:val="Compact"/>
        <w:widowControl/>
        <w:numPr>
          <w:ilvl w:val="0"/>
          <w:numId w:val="1124"/>
        </w:numPr>
        <w:spacing w:after="30" w:line="245" w:lineRule="auto"/>
      </w:pPr>
      <w:r>
        <w:rPr>
          <w:rFonts w:ascii="Noto Serif" w:hAnsi="Noto Serif" w:eastAsia="Noto Serif"/>
          <w:sz w:val="18"/>
        </w:rPr>
        <w:t xml:space="preserve">Destruction, concealment, or off-system use of official records.</w:t>
      </w:r>
    </w:p>
    <w:p>
      <w:pPr>
        <w:pStyle w:val="Compact"/>
        <w:widowControl/>
        <w:numPr>
          <w:ilvl w:val="0"/>
          <w:numId w:val="1124"/>
        </w:numPr>
        <w:spacing w:after="30" w:line="245" w:lineRule="auto"/>
      </w:pPr>
      <w:r>
        <w:rPr>
          <w:rFonts w:ascii="Noto Serif" w:hAnsi="Noto Serif" w:eastAsia="Noto Serif"/>
          <w:sz w:val="18"/>
        </w:rPr>
        <w:t xml:space="preserve">Unauthorized or insufficiently controlled access to Treasury, Social Security, tax, health, education, immigration, labor, or other sensitive databases.</w:t>
      </w:r>
    </w:p>
    <w:bookmarkEnd w:id="382"/>
    <w:bookmarkStart w:id="383" w:name="Xe38e06de1012feb39f4bae12232ffb72192f50f"/>
    <w:p>
      <w:pPr>
        <w:pStyle w:val="Heading2"/>
        <w:keepNext/>
        <w:spacing w:before="160" w:after="60"/>
      </w:pPr>
      <w:r>
        <w:rPr>
          <w:rFonts w:ascii="Inter" w:hAnsi="Inter" w:eastAsia="Inter"/>
          <w:b/>
          <w:color w:val="1F3F5B"/>
          <w:sz w:val="23"/>
        </w:rPr>
        <w:t xml:space="preserve">C. Elections and democratic participation</w:t>
      </w:r>
    </w:p>
    <w:p>
      <w:pPr>
        <w:pStyle w:val="Compact"/>
        <w:widowControl/>
        <w:numPr>
          <w:ilvl w:val="0"/>
          <w:numId w:val="1125"/>
        </w:numPr>
        <w:spacing w:after="30" w:line="245" w:lineRule="auto"/>
      </w:pPr>
      <w:r>
        <w:rPr>
          <w:rFonts w:ascii="Noto Serif" w:hAnsi="Noto Serif" w:eastAsia="Noto Serif"/>
          <w:sz w:val="18"/>
        </w:rPr>
        <w:t xml:space="preserve">Executive orders requiring documentary proof of citizenship or expanded cross-agency voter-citizenship databases without adequate accuracy and due-process safeguards.</w:t>
      </w:r>
    </w:p>
    <w:p>
      <w:pPr>
        <w:pStyle w:val="Compact"/>
        <w:widowControl/>
        <w:numPr>
          <w:ilvl w:val="0"/>
          <w:numId w:val="1125"/>
        </w:numPr>
        <w:spacing w:after="30" w:line="245" w:lineRule="auto"/>
      </w:pPr>
      <w:r>
        <w:rPr>
          <w:rFonts w:ascii="Noto Serif" w:hAnsi="Noto Serif" w:eastAsia="Noto Serif"/>
          <w:sz w:val="18"/>
        </w:rPr>
        <w:t xml:space="preserve">The SAVE Act or materially similar Federal documentary-proof legislation, if enacted before this Act.</w:t>
      </w:r>
    </w:p>
    <w:p>
      <w:pPr>
        <w:pStyle w:val="Compact"/>
        <w:widowControl/>
        <w:numPr>
          <w:ilvl w:val="0"/>
          <w:numId w:val="1125"/>
        </w:numPr>
        <w:spacing w:after="30" w:line="245" w:lineRule="auto"/>
      </w:pPr>
      <w:r>
        <w:rPr>
          <w:rFonts w:ascii="Noto Serif" w:hAnsi="Noto Serif" w:eastAsia="Noto Serif"/>
          <w:sz w:val="18"/>
        </w:rPr>
        <w:t xml:space="preserve">Federal actions facilitating mass voter challenges, inaccurate purges, intimidation, politicized prosecutions, or unlawful interference with election administration.</w:t>
      </w:r>
    </w:p>
    <w:bookmarkEnd w:id="383"/>
    <w:bookmarkStart w:id="384" w:name="d.-civil-rights-and-equal-opportunity"/>
    <w:p>
      <w:pPr>
        <w:pStyle w:val="Heading2"/>
        <w:keepNext/>
        <w:spacing w:before="160" w:after="60"/>
      </w:pPr>
      <w:r>
        <w:rPr>
          <w:rFonts w:ascii="Inter" w:hAnsi="Inter" w:eastAsia="Inter"/>
          <w:b/>
          <w:color w:val="1F3F5B"/>
          <w:sz w:val="23"/>
        </w:rPr>
        <w:t xml:space="preserve">D. Civil rights and equal opportunity</w:t>
      </w:r>
    </w:p>
    <w:p>
      <w:pPr>
        <w:pStyle w:val="Compact"/>
        <w:widowControl/>
        <w:numPr>
          <w:ilvl w:val="0"/>
          <w:numId w:val="1126"/>
        </w:numPr>
        <w:spacing w:after="30" w:line="245" w:lineRule="auto"/>
      </w:pPr>
      <w:r>
        <w:rPr>
          <w:rFonts w:ascii="Noto Serif" w:hAnsi="Noto Serif" w:eastAsia="Noto Serif"/>
          <w:sz w:val="18"/>
        </w:rPr>
        <w:t xml:space="preserve">Executive actions categorically terminating lawful DEI, accessibility, environmental-justice, or equal-opportunity functions without program-specific legal analysis.</w:t>
      </w:r>
    </w:p>
    <w:p>
      <w:pPr>
        <w:pStyle w:val="Compact"/>
        <w:widowControl/>
        <w:numPr>
          <w:ilvl w:val="0"/>
          <w:numId w:val="1126"/>
        </w:numPr>
        <w:spacing w:after="30" w:line="245" w:lineRule="auto"/>
      </w:pPr>
      <w:r>
        <w:rPr>
          <w:rFonts w:ascii="Noto Serif" w:hAnsi="Noto Serif" w:eastAsia="Noto Serif"/>
          <w:sz w:val="18"/>
        </w:rPr>
        <w:t xml:space="preserve">Executive definitions used to categorically exclude transgender or intersex persons from Federal rights, documents, services, employment, military service, or health care without individualized and lawful justification.</w:t>
      </w:r>
    </w:p>
    <w:p>
      <w:pPr>
        <w:pStyle w:val="Compact"/>
        <w:widowControl/>
        <w:numPr>
          <w:ilvl w:val="0"/>
          <w:numId w:val="1126"/>
        </w:numPr>
        <w:spacing w:after="30" w:line="245" w:lineRule="auto"/>
      </w:pPr>
      <w:r>
        <w:rPr>
          <w:rFonts w:ascii="Noto Serif" w:hAnsi="Noto Serif" w:eastAsia="Noto Serif"/>
          <w:sz w:val="18"/>
        </w:rPr>
        <w:t xml:space="preserve">Categorical nonenforcement of disparate-impact standards authorized by statute.</w:t>
      </w:r>
    </w:p>
    <w:p>
      <w:pPr>
        <w:pStyle w:val="Compact"/>
        <w:widowControl/>
        <w:numPr>
          <w:ilvl w:val="0"/>
          <w:numId w:val="1126"/>
        </w:numPr>
        <w:spacing w:after="30" w:line="245" w:lineRule="auto"/>
      </w:pPr>
      <w:r>
        <w:rPr>
          <w:rFonts w:ascii="Noto Serif" w:hAnsi="Noto Serif" w:eastAsia="Noto Serif"/>
          <w:sz w:val="18"/>
        </w:rPr>
        <w:t xml:space="preserve">Elimination or disabling of civil-rights offices, complaint systems, pattern-or-practice work, minority-health research, or minority-business programs.</w:t>
      </w:r>
    </w:p>
    <w:bookmarkEnd w:id="384"/>
    <w:bookmarkStart w:id="385" w:name="e.-immigration-and-refugees"/>
    <w:p>
      <w:pPr>
        <w:pStyle w:val="Heading2"/>
        <w:keepNext/>
        <w:spacing w:before="160" w:after="60"/>
      </w:pPr>
      <w:r>
        <w:rPr>
          <w:rFonts w:ascii="Inter" w:hAnsi="Inter" w:eastAsia="Inter"/>
          <w:b/>
          <w:color w:val="1F3F5B"/>
          <w:sz w:val="23"/>
        </w:rPr>
        <w:t xml:space="preserve">E. Immigration and refugees</w:t>
      </w:r>
    </w:p>
    <w:p>
      <w:pPr>
        <w:pStyle w:val="Compact"/>
        <w:widowControl/>
        <w:numPr>
          <w:ilvl w:val="0"/>
          <w:numId w:val="1127"/>
        </w:numPr>
        <w:spacing w:after="30" w:line="245" w:lineRule="auto"/>
      </w:pPr>
      <w:r>
        <w:rPr>
          <w:rFonts w:ascii="Noto Serif" w:hAnsi="Noto Serif" w:eastAsia="Noto Serif"/>
          <w:sz w:val="18"/>
        </w:rPr>
        <w:t xml:space="preserve">Categorical denial of birthright citizenship based on parental immigration status.</w:t>
      </w:r>
    </w:p>
    <w:p>
      <w:pPr>
        <w:pStyle w:val="Compact"/>
        <w:widowControl/>
        <w:numPr>
          <w:ilvl w:val="0"/>
          <w:numId w:val="1127"/>
        </w:numPr>
        <w:spacing w:after="30" w:line="245" w:lineRule="auto"/>
      </w:pPr>
      <w:r>
        <w:rPr>
          <w:rFonts w:ascii="Noto Serif" w:hAnsi="Noto Serif" w:eastAsia="Noto Serif"/>
          <w:sz w:val="18"/>
        </w:rPr>
        <w:t xml:space="preserve">Travel and entry bans lacking individualized security justification or unlawfully discriminating by nationality or religion.</w:t>
      </w:r>
    </w:p>
    <w:p>
      <w:pPr>
        <w:pStyle w:val="Compact"/>
        <w:widowControl/>
        <w:numPr>
          <w:ilvl w:val="0"/>
          <w:numId w:val="1127"/>
        </w:numPr>
        <w:spacing w:after="30" w:line="245" w:lineRule="auto"/>
      </w:pPr>
      <w:r>
        <w:rPr>
          <w:rFonts w:ascii="Noto Serif" w:hAnsi="Noto Serif" w:eastAsia="Noto Serif"/>
          <w:sz w:val="18"/>
        </w:rPr>
        <w:t xml:space="preserve">Family-separation policies, zero-tolerance systems foreseeably causing separation, and inadequate reunification records.</w:t>
      </w:r>
    </w:p>
    <w:p>
      <w:pPr>
        <w:pStyle w:val="Compact"/>
        <w:widowControl/>
        <w:numPr>
          <w:ilvl w:val="0"/>
          <w:numId w:val="1127"/>
        </w:numPr>
        <w:spacing w:after="30" w:line="245" w:lineRule="auto"/>
      </w:pPr>
      <w:r>
        <w:rPr>
          <w:rFonts w:ascii="Noto Serif" w:hAnsi="Noto Serif" w:eastAsia="Noto Serif"/>
          <w:sz w:val="18"/>
        </w:rPr>
        <w:t xml:space="preserve">Migrant Protection Protocols and third-country transfer systems lacking safety, counsel, and non-refoulement safeguards.</w:t>
      </w:r>
    </w:p>
    <w:p>
      <w:pPr>
        <w:pStyle w:val="Compact"/>
        <w:widowControl/>
        <w:numPr>
          <w:ilvl w:val="0"/>
          <w:numId w:val="1127"/>
        </w:numPr>
        <w:spacing w:after="30" w:line="245" w:lineRule="auto"/>
      </w:pPr>
      <w:r>
        <w:rPr>
          <w:rFonts w:ascii="Noto Serif" w:hAnsi="Noto Serif" w:eastAsia="Noto Serif"/>
          <w:sz w:val="18"/>
        </w:rPr>
        <w:t xml:space="preserve">Categorical asylum suspension,</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invasion</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theories used to override asylum statutes, unlawful parole restrictions, and blanket benefit or public-charge barriers.</w:t>
      </w:r>
    </w:p>
    <w:p>
      <w:pPr>
        <w:pStyle w:val="Compact"/>
        <w:widowControl/>
        <w:numPr>
          <w:ilvl w:val="0"/>
          <w:numId w:val="1127"/>
        </w:numPr>
        <w:spacing w:after="30" w:line="245" w:lineRule="auto"/>
      </w:pPr>
      <w:r>
        <w:rPr>
          <w:rFonts w:ascii="Noto Serif" w:hAnsi="Noto Serif" w:eastAsia="Noto Serif"/>
          <w:sz w:val="18"/>
        </w:rPr>
        <w:t xml:space="preserve">Suspension or dismantling of the refugee admissions program and refugee-support infrastructure.</w:t>
      </w:r>
    </w:p>
    <w:p>
      <w:pPr>
        <w:pStyle w:val="Compact"/>
        <w:widowControl/>
        <w:numPr>
          <w:ilvl w:val="0"/>
          <w:numId w:val="1127"/>
        </w:numPr>
        <w:spacing w:after="30" w:line="245" w:lineRule="auto"/>
      </w:pPr>
      <w:r>
        <w:rPr>
          <w:rFonts w:ascii="Noto Serif" w:hAnsi="Noto Serif" w:eastAsia="Noto Serif"/>
          <w:sz w:val="18"/>
        </w:rPr>
        <w:t xml:space="preserve">Use of the Alien Enemies Act or military authority beyond statutory and constitutional limits for ordinary immigration enforcement.</w:t>
      </w:r>
    </w:p>
    <w:bookmarkEnd w:id="385"/>
    <w:bookmarkStart w:id="386" w:name="Xd11b4a09e6d56ef2ea912bca9bb97dff0fa20f5"/>
    <w:p>
      <w:pPr>
        <w:pStyle w:val="Heading2"/>
        <w:keepNext/>
        <w:spacing w:before="160" w:after="60"/>
      </w:pPr>
      <w:r>
        <w:rPr>
          <w:rFonts w:ascii="Inter" w:hAnsi="Inter" w:eastAsia="Inter"/>
          <w:b/>
          <w:color w:val="1F3F5B"/>
          <w:sz w:val="23"/>
        </w:rPr>
        <w:t xml:space="preserve">F. Environment, climate, energy, and public assets</w:t>
      </w:r>
    </w:p>
    <w:p>
      <w:pPr>
        <w:pStyle w:val="Compact"/>
        <w:widowControl/>
        <w:numPr>
          <w:ilvl w:val="0"/>
          <w:numId w:val="1128"/>
        </w:numPr>
        <w:spacing w:after="30" w:line="245" w:lineRule="auto"/>
      </w:pPr>
      <w:r>
        <w:rPr>
          <w:rFonts w:ascii="Noto Serif" w:hAnsi="Noto Serif" w:eastAsia="Noto Serif"/>
          <w:sz w:val="18"/>
        </w:rPr>
        <w:t xml:space="preserve">Withdrawal from the Paris Agreement without adequate statutory, national-interest, and continuity review.</w:t>
      </w:r>
    </w:p>
    <w:p>
      <w:pPr>
        <w:pStyle w:val="Compact"/>
        <w:widowControl/>
        <w:numPr>
          <w:ilvl w:val="0"/>
          <w:numId w:val="1128"/>
        </w:numPr>
        <w:spacing w:after="30" w:line="245" w:lineRule="auto"/>
      </w:pPr>
      <w:r>
        <w:rPr>
          <w:rFonts w:ascii="Noto Serif" w:hAnsi="Noto Serif" w:eastAsia="Noto Serif"/>
          <w:sz w:val="18"/>
        </w:rPr>
        <w:t xml:space="preserve">“</w:t>
      </w:r>
      <w:r>
        <w:rPr>
          <w:rFonts w:ascii="Noto Serif" w:hAnsi="Noto Serif" w:eastAsia="Noto Serif"/>
          <w:sz w:val="18"/>
        </w:rPr>
        <w:t xml:space="preserve">Unleashing American Energy,</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national</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energy emergency,</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energy dominance,</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coal-expansion, offshore-mineral, timber-expansion, and related directives to the extent they displaced environmental, fair-value, multiple-use, or consultation law.</w:t>
      </w:r>
    </w:p>
    <w:p>
      <w:pPr>
        <w:pStyle w:val="Compact"/>
        <w:widowControl/>
        <w:numPr>
          <w:ilvl w:val="0"/>
          <w:numId w:val="1128"/>
        </w:numPr>
        <w:spacing w:after="30" w:line="245" w:lineRule="auto"/>
      </w:pPr>
      <w:r>
        <w:rPr>
          <w:rFonts w:ascii="Noto Serif" w:hAnsi="Noto Serif" w:eastAsia="Noto Serif"/>
          <w:sz w:val="18"/>
        </w:rPr>
        <w:t xml:space="preserve">Rescission of greenhouse-gas endangerment findings or vehicle, power, methane, appliance, air-toxic, water, chemical, coal-ash, or climate-risk rules without adequate legal and scientific basis.</w:t>
      </w:r>
    </w:p>
    <w:p>
      <w:pPr>
        <w:pStyle w:val="Compact"/>
        <w:widowControl/>
        <w:numPr>
          <w:ilvl w:val="0"/>
          <w:numId w:val="1128"/>
        </w:numPr>
        <w:spacing w:after="30" w:line="245" w:lineRule="auto"/>
      </w:pPr>
      <w:r>
        <w:rPr>
          <w:rFonts w:ascii="Noto Serif" w:hAnsi="Noto Serif" w:eastAsia="Noto Serif"/>
          <w:sz w:val="18"/>
        </w:rPr>
        <w:t xml:space="preserve">Rescission of government-wide NEPA regulations and categorical shortcuts inconsistent with Title X.</w:t>
      </w:r>
    </w:p>
    <w:p>
      <w:pPr>
        <w:pStyle w:val="Compact"/>
        <w:widowControl/>
        <w:numPr>
          <w:ilvl w:val="0"/>
          <w:numId w:val="1128"/>
        </w:numPr>
        <w:spacing w:after="30" w:line="245" w:lineRule="auto"/>
      </w:pPr>
      <w:r>
        <w:rPr>
          <w:rFonts w:ascii="Noto Serif" w:hAnsi="Noto Serif" w:eastAsia="Noto Serif"/>
          <w:sz w:val="18"/>
        </w:rPr>
        <w:t xml:space="preserve">Public-land, Alaska, Arctic, offshore, mining, drilling, timber, monument, endangered-species, marine-mammal, and habitat actions failing fair-value, environmental, cultural, or Tribal standards.</w:t>
      </w:r>
    </w:p>
    <w:p>
      <w:pPr>
        <w:pStyle w:val="Compact"/>
        <w:widowControl/>
        <w:numPr>
          <w:ilvl w:val="0"/>
          <w:numId w:val="1128"/>
        </w:numPr>
        <w:spacing w:after="30" w:line="245" w:lineRule="auto"/>
      </w:pPr>
      <w:r>
        <w:rPr>
          <w:rFonts w:ascii="Noto Serif" w:hAnsi="Noto Serif" w:eastAsia="Noto Serif"/>
          <w:sz w:val="18"/>
        </w:rPr>
        <w:t xml:space="preserve">Abolition or disabling of EERE, climate science, NOAA research, ARPA-E portfolios, environmental-justice grants, or clean-energy deployment solely because of subject matter.</w:t>
      </w:r>
    </w:p>
    <w:bookmarkEnd w:id="386"/>
    <w:bookmarkStart w:id="387" w:name="Xf12917476a4bbfdf8b18593fc4dd199b083d0ef"/>
    <w:p>
      <w:pPr>
        <w:pStyle w:val="Heading2"/>
        <w:keepNext/>
        <w:spacing w:before="160" w:after="60"/>
      </w:pPr>
      <w:r>
        <w:rPr>
          <w:rFonts w:ascii="Inter" w:hAnsi="Inter" w:eastAsia="Inter"/>
          <w:b/>
          <w:color w:val="1F3F5B"/>
          <w:sz w:val="23"/>
        </w:rPr>
        <w:t xml:space="preserve">G. Data centers, AI, and digital governance</w:t>
      </w:r>
    </w:p>
    <w:p>
      <w:pPr>
        <w:pStyle w:val="Compact"/>
        <w:widowControl/>
        <w:numPr>
          <w:ilvl w:val="0"/>
          <w:numId w:val="1129"/>
        </w:numPr>
        <w:spacing w:after="30" w:line="245" w:lineRule="auto"/>
      </w:pPr>
      <w:r>
        <w:rPr>
          <w:rFonts w:ascii="Noto Serif" w:hAnsi="Noto Serif" w:eastAsia="Noto Serif"/>
          <w:sz w:val="18"/>
        </w:rPr>
        <w:t xml:space="preserve">Executive actions accelerating Federal-land data centers or AI infrastructure through categorical environmental, water, labor, community, or grid shortcuts.</w:t>
      </w:r>
    </w:p>
    <w:p>
      <w:pPr>
        <w:pStyle w:val="Compact"/>
        <w:widowControl/>
        <w:numPr>
          <w:ilvl w:val="0"/>
          <w:numId w:val="1129"/>
        </w:numPr>
        <w:spacing w:after="30" w:line="245" w:lineRule="auto"/>
      </w:pPr>
      <w:r>
        <w:rPr>
          <w:rFonts w:ascii="Noto Serif" w:hAnsi="Noto Serif" w:eastAsia="Noto Serif"/>
          <w:sz w:val="18"/>
        </w:rPr>
        <w:t xml:space="preserve">Executive or funding actions coercing States to repeal generally applicable AI safeguards without express congressional preemption.</w:t>
      </w:r>
    </w:p>
    <w:p>
      <w:pPr>
        <w:pStyle w:val="Compact"/>
        <w:widowControl/>
        <w:numPr>
          <w:ilvl w:val="0"/>
          <w:numId w:val="1129"/>
        </w:numPr>
        <w:spacing w:after="30" w:line="245" w:lineRule="auto"/>
      </w:pPr>
      <w:r>
        <w:rPr>
          <w:rFonts w:ascii="Noto Serif" w:hAnsi="Noto Serif" w:eastAsia="Noto Serif"/>
          <w:sz w:val="18"/>
        </w:rPr>
        <w:t xml:space="preserve">Government use or purchase of commercial sensitive data to evade legal process.</w:t>
      </w:r>
    </w:p>
    <w:p>
      <w:pPr>
        <w:pStyle w:val="Compact"/>
        <w:widowControl/>
        <w:numPr>
          <w:ilvl w:val="0"/>
          <w:numId w:val="1129"/>
        </w:numPr>
        <w:spacing w:after="30" w:line="245" w:lineRule="auto"/>
      </w:pPr>
      <w:r>
        <w:rPr>
          <w:rFonts w:ascii="Noto Serif" w:hAnsi="Noto Serif" w:eastAsia="Noto Serif"/>
          <w:sz w:val="18"/>
        </w:rPr>
        <w:t xml:space="preserve">Undisclosed biometric, location, reproductive, immigration, or political-surveillance systems.</w:t>
      </w:r>
    </w:p>
    <w:bookmarkEnd w:id="387"/>
    <w:bookmarkStart w:id="388" w:name="Xd81ef6c853aa3ce4dfa22197bea2cac31e20915"/>
    <w:p>
      <w:pPr>
        <w:pStyle w:val="Heading2"/>
        <w:keepNext/>
        <w:spacing w:before="160" w:after="60"/>
      </w:pPr>
      <w:r>
        <w:rPr>
          <w:rFonts w:ascii="Inter" w:hAnsi="Inter" w:eastAsia="Inter"/>
          <w:b/>
          <w:color w:val="1F3F5B"/>
          <w:sz w:val="23"/>
        </w:rPr>
        <w:t xml:space="preserve">H. Education, health, labor, consumers, and housing</w:t>
      </w:r>
    </w:p>
    <w:p>
      <w:pPr>
        <w:pStyle w:val="Compact"/>
        <w:widowControl/>
        <w:numPr>
          <w:ilvl w:val="0"/>
          <w:numId w:val="1130"/>
        </w:numPr>
        <w:spacing w:after="30" w:line="245" w:lineRule="auto"/>
      </w:pPr>
      <w:r>
        <w:rPr>
          <w:rFonts w:ascii="Noto Serif" w:hAnsi="Noto Serif" w:eastAsia="Noto Serif"/>
          <w:sz w:val="18"/>
        </w:rPr>
        <w:t xml:space="preserve">Executive action to close or disable the Department of Education or transfer its statutory functions without Congress.</w:t>
      </w:r>
    </w:p>
    <w:p>
      <w:pPr>
        <w:pStyle w:val="Compact"/>
        <w:widowControl/>
        <w:numPr>
          <w:ilvl w:val="0"/>
          <w:numId w:val="1130"/>
        </w:numPr>
        <w:spacing w:after="30" w:line="245" w:lineRule="auto"/>
      </w:pPr>
      <w:r>
        <w:rPr>
          <w:rFonts w:ascii="Noto Serif" w:hAnsi="Noto Serif" w:eastAsia="Noto Serif"/>
          <w:sz w:val="18"/>
        </w:rPr>
        <w:t xml:space="preserve">Reductions disabling Federal Student Aid, OCR, IES, special education, or education grant administration.</w:t>
      </w:r>
    </w:p>
    <w:p>
      <w:pPr>
        <w:pStyle w:val="Compact"/>
        <w:widowControl/>
        <w:numPr>
          <w:ilvl w:val="0"/>
          <w:numId w:val="1130"/>
        </w:numPr>
        <w:spacing w:after="30" w:line="245" w:lineRule="auto"/>
      </w:pPr>
      <w:r>
        <w:rPr>
          <w:rFonts w:ascii="Noto Serif" w:hAnsi="Noto Serif" w:eastAsia="Noto Serif"/>
          <w:sz w:val="18"/>
        </w:rPr>
        <w:t xml:space="preserve">HHS reorganizations or reductions materially disabling CDC, FDA, NIH, CMS, AHRQ, SAMHSA, HRSA, civil rights, or emergency readiness.</w:t>
      </w:r>
    </w:p>
    <w:p>
      <w:pPr>
        <w:pStyle w:val="Compact"/>
        <w:widowControl/>
        <w:numPr>
          <w:ilvl w:val="0"/>
          <w:numId w:val="1130"/>
        </w:numPr>
        <w:spacing w:after="30" w:line="245" w:lineRule="auto"/>
      </w:pPr>
      <w:r>
        <w:rPr>
          <w:rFonts w:ascii="Noto Serif" w:hAnsi="Noto Serif" w:eastAsia="Noto Serif"/>
          <w:sz w:val="18"/>
        </w:rPr>
        <w:t xml:space="preserve">Withdrawal from WHO without a lawful continuity and national-interest process.</w:t>
      </w:r>
    </w:p>
    <w:p>
      <w:pPr>
        <w:pStyle w:val="Compact"/>
        <w:widowControl/>
        <w:numPr>
          <w:ilvl w:val="0"/>
          <w:numId w:val="1130"/>
        </w:numPr>
        <w:spacing w:after="30" w:line="245" w:lineRule="auto"/>
      </w:pPr>
      <w:r>
        <w:rPr>
          <w:rFonts w:ascii="Noto Serif" w:hAnsi="Noto Serif" w:eastAsia="Noto Serif"/>
          <w:sz w:val="18"/>
        </w:rPr>
        <w:t xml:space="preserve">Categorical termination of reproductive-health, LGBTQ-health, minority-health, harm-reduction, international-health, or climate-health work based on ideology rather than evidence and law.</w:t>
      </w:r>
    </w:p>
    <w:p>
      <w:pPr>
        <w:pStyle w:val="Compact"/>
        <w:widowControl/>
        <w:numPr>
          <w:ilvl w:val="0"/>
          <w:numId w:val="1130"/>
        </w:numPr>
        <w:spacing w:after="30" w:line="245" w:lineRule="auto"/>
      </w:pPr>
      <w:r>
        <w:rPr>
          <w:rFonts w:ascii="Noto Serif" w:hAnsi="Noto Serif" w:eastAsia="Noto Serif"/>
          <w:sz w:val="18"/>
        </w:rPr>
        <w:t xml:space="preserve">Blanket nonenforcement or disabling of CFPB, FTC, NLRB, OSHA, wage, housing, fair-housing, community-development, Job Corps, senior-employment, MBDA, or EDA functions.</w:t>
      </w:r>
    </w:p>
    <w:bookmarkEnd w:id="388"/>
    <w:bookmarkStart w:id="389" w:name="X8826dbe34a081784e36a85ef7f4cd130863c92b"/>
    <w:p>
      <w:pPr>
        <w:pStyle w:val="Heading2"/>
        <w:keepNext/>
        <w:spacing w:before="160" w:after="60"/>
      </w:pPr>
      <w:r>
        <w:rPr>
          <w:rFonts w:ascii="Inter" w:hAnsi="Inter" w:eastAsia="Inter"/>
          <w:b/>
          <w:color w:val="1F3F5B"/>
          <w:sz w:val="23"/>
        </w:rPr>
        <w:t xml:space="preserve">I. Foreign affairs, USAID, corruption, and security assistance</w:t>
      </w:r>
    </w:p>
    <w:p>
      <w:pPr>
        <w:pStyle w:val="Compact"/>
        <w:widowControl/>
        <w:numPr>
          <w:ilvl w:val="0"/>
          <w:numId w:val="1131"/>
        </w:numPr>
        <w:spacing w:after="30" w:line="245" w:lineRule="auto"/>
      </w:pPr>
      <w:r>
        <w:rPr>
          <w:rFonts w:ascii="Noto Serif" w:hAnsi="Noto Serif" w:eastAsia="Noto Serif"/>
          <w:sz w:val="18"/>
        </w:rPr>
        <w:t xml:space="preserve">Blanket foreign-assistance pauses and dismantling or transfer of USAID without an Act of Congress.</w:t>
      </w:r>
    </w:p>
    <w:p>
      <w:pPr>
        <w:pStyle w:val="Compact"/>
        <w:widowControl/>
        <w:numPr>
          <w:ilvl w:val="0"/>
          <w:numId w:val="1131"/>
        </w:numPr>
        <w:spacing w:after="30" w:line="245" w:lineRule="auto"/>
      </w:pPr>
      <w:r>
        <w:rPr>
          <w:rFonts w:ascii="Noto Serif" w:hAnsi="Noto Serif" w:eastAsia="Noto Serif"/>
          <w:sz w:val="18"/>
        </w:rPr>
        <w:t xml:space="preserve">Suspension of refugee and humanitarian operations without lifesaving continuity.</w:t>
      </w:r>
    </w:p>
    <w:p>
      <w:pPr>
        <w:pStyle w:val="Compact"/>
        <w:widowControl/>
        <w:numPr>
          <w:ilvl w:val="0"/>
          <w:numId w:val="1131"/>
        </w:numPr>
        <w:spacing w:after="30" w:line="245" w:lineRule="auto"/>
      </w:pPr>
      <w:r>
        <w:rPr>
          <w:rFonts w:ascii="Noto Serif" w:hAnsi="Noto Serif" w:eastAsia="Noto Serif"/>
          <w:sz w:val="18"/>
        </w:rPr>
        <w:t xml:space="preserve">Categorical pauses or weakening of Foreign Corrupt Practices Act enforcement unrelated to case-specific law and evidence.</w:t>
      </w:r>
    </w:p>
    <w:p>
      <w:pPr>
        <w:pStyle w:val="Compact"/>
        <w:widowControl/>
        <w:numPr>
          <w:ilvl w:val="0"/>
          <w:numId w:val="1131"/>
        </w:numPr>
        <w:spacing w:after="30" w:line="245" w:lineRule="auto"/>
      </w:pPr>
      <w:r>
        <w:rPr>
          <w:rFonts w:ascii="Noto Serif" w:hAnsi="Noto Serif" w:eastAsia="Noto Serif"/>
          <w:sz w:val="18"/>
        </w:rPr>
        <w:t xml:space="preserve">Security-assistance arrangements that purport to create automatic military integration, country-specific immunity from human-rights standards, or open-ended obligations without Congress.</w:t>
      </w:r>
    </w:p>
    <w:p>
      <w:pPr>
        <w:pStyle w:val="Compact"/>
        <w:widowControl/>
        <w:numPr>
          <w:ilvl w:val="0"/>
          <w:numId w:val="1131"/>
        </w:numPr>
        <w:spacing w:after="30" w:line="245" w:lineRule="auto"/>
      </w:pPr>
      <w:r>
        <w:rPr>
          <w:rFonts w:ascii="Noto Serif" w:hAnsi="Noto Serif" w:eastAsia="Noto Serif"/>
          <w:sz w:val="18"/>
        </w:rPr>
        <w:t xml:space="preserve">Arms transfers or intelligence, surveillance, or cyber assistance lacking required human-rights, civilian-harm, end-use, diversion, or congressional review.</w:t>
      </w:r>
    </w:p>
    <w:bookmarkEnd w:id="389"/>
    <w:bookmarkStart w:id="390" w:name="X0e3d071797083df6ed14005cc47e4f929797fda"/>
    <w:p>
      <w:pPr>
        <w:pStyle w:val="Heading2"/>
        <w:keepNext/>
        <w:spacing w:before="160" w:after="60"/>
      </w:pPr>
      <w:r>
        <w:rPr>
          <w:rFonts w:ascii="Inter" w:hAnsi="Inter" w:eastAsia="Inter"/>
          <w:b/>
          <w:color w:val="1F3F5B"/>
          <w:sz w:val="23"/>
        </w:rPr>
        <w:t xml:space="preserve">J. First-term policies requiring renewed review</w:t>
      </w:r>
    </w:p>
    <w:p>
      <w:pPr>
        <w:pStyle w:val="FirstParagraph"/>
        <w:widowControl/>
        <w:spacing w:after="60" w:line="250" w:lineRule="auto"/>
      </w:pPr>
      <w:r>
        <w:rPr>
          <w:rFonts w:ascii="Noto Serif" w:hAnsi="Noto Serif" w:eastAsia="Noto Serif"/>
          <w:sz w:val="19"/>
        </w:rPr>
        <w:t xml:space="preserve">The Council shall prioritize first-term actions concerning the 2017 travel restrictions, family separation, public charge, MPP, asylum and refugee reductions, Schedule F, transgender military exclusion, Paris withdrawal, climate and methane rollbacks, power-plant and vehicle rules, NEPA and Endangered Species Act changes, public-land leasing and monument reductions, inspector-general removals, politicized civil-service actions, and comparable actions whose effects continued or were revived.</w:t>
      </w:r>
    </w:p>
    <w:bookmarkEnd w:id="390"/>
    <w:bookmarkEnd w:id="391"/>
    <w:bookmarkStart w:id="402" w:name="section-by-section-commentary"/>
    <w:p>
      <w:pPr>
        <w:pStyle w:val="Heading1"/>
        <w:keepNext/>
        <w:pageBreakBefore/>
        <w:spacing w:before="0" w:after="180"/>
        <w:pBdr>
          <w:bottom w:val="single" w:sz="8" w:space="4" w:color="9EB0BF"/>
        </w:pBdr>
      </w:pPr>
      <w:r>
        <w:rPr>
          <w:rFonts w:ascii="Inter" w:hAnsi="Inter" w:eastAsia="Inter"/>
          <w:b/>
          <w:color w:val="142D48"/>
          <w:sz w:val="34"/>
        </w:rPr>
        <w:t xml:space="preserve">SECTION-BY-SECTION COMMENTARY</w:t>
      </w:r>
    </w:p>
    <w:bookmarkStart w:id="392" w:name="X7af2be2df78a2b8c3cf79977b4f174c12b5862d"/>
    <w:p>
      <w:pPr>
        <w:pStyle w:val="Heading2"/>
        <w:keepNext/>
        <w:spacing w:before="160" w:after="60"/>
      </w:pPr>
      <w:r>
        <w:rPr>
          <w:rFonts w:ascii="Inter" w:hAnsi="Inter" w:eastAsia="Inter"/>
          <w:b/>
          <w:color w:val="1F3F5B"/>
          <w:sz w:val="23"/>
        </w:rPr>
        <w:t xml:space="preserve">Titles I and II: constitutional design and restoration review</w:t>
      </w:r>
    </w:p>
    <w:p>
      <w:pPr>
        <w:pStyle w:val="FirstParagraph"/>
        <w:widowControl/>
        <w:spacing w:after="60" w:line="250" w:lineRule="auto"/>
      </w:pPr>
      <w:r>
        <w:rPr>
          <w:rFonts w:ascii="Noto Serif" w:hAnsi="Noto Serif" w:eastAsia="Noto Serif"/>
          <w:sz w:val="19"/>
        </w:rPr>
        <w:t xml:space="preserve">Title I deliberately defines the bill by</w:t>
      </w:r>
      <w:r>
        <w:rPr>
          <w:rFonts w:ascii="Noto Serif" w:hAnsi="Noto Serif" w:eastAsia="Noto Serif"/>
          <w:sz w:val="19"/>
        </w:rPr>
        <w:t xml:space="preserve"> </w:t>
      </w:r>
      <w:r>
        <w:rPr>
          <w:rFonts w:ascii="Noto Serif" w:hAnsi="Noto Serif" w:eastAsia="Noto Serif"/>
          <w:b/>
          <w:bCs/>
          <w:sz w:val="19"/>
        </w:rPr>
        <w:t xml:space="preserve">objective legal defects and public harms</w:t>
      </w:r>
      <w:r>
        <w:rPr>
          <w:rFonts w:ascii="Noto Serif" w:hAnsi="Noto Serif" w:eastAsia="Noto Serif"/>
          <w:sz w:val="19"/>
        </w:rPr>
        <w:t xml:space="preserve">, not by party label. That choice reduces bill-of-attainder, equal-protection, and viewpoint-discrimination risk while still reaching the rollback periods that prompted the legislation. Section 110 is especially important: Congress can amend statutes and express delegations, but cannot order courts to disregard a constitutional holding or reopen a final judgment merely because Congress dislikes it.</w:t>
      </w:r>
    </w:p>
    <w:p>
      <w:pPr>
        <w:pStyle w:val="BodyText"/>
        <w:widowControl/>
        <w:spacing w:after="60" w:line="250" w:lineRule="auto"/>
      </w:pPr>
      <w:r>
        <w:rPr>
          <w:rFonts w:ascii="Noto Serif" w:hAnsi="Noto Serif" w:eastAsia="Noto Serif"/>
          <w:sz w:val="19"/>
        </w:rPr>
        <w:t xml:space="preserve">Title II solves the</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we cannot possibly list everything</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problem. Schedule A starts the review, while section 201 captures unpublished guidance, enforcement withdrawals, personnel changes, database access, grant cancellations, litigation positions, leases, and other actions not neatly contained in an executive order. The Council cannot rescind policy merely because it is conservative. It must identify unlawfulness, evidentiary failure, or disproportionate public harm. Temporary preservation orders are limited, reviewable, and designed to prevent irreversible injury while the record is built.</w:t>
      </w:r>
    </w:p>
    <w:bookmarkEnd w:id="392"/>
    <w:bookmarkStart w:id="393" w:name="X6f7fd6f048ed01127eaadb7ff4b424b1e3b340e"/>
    <w:p>
      <w:pPr>
        <w:pStyle w:val="Heading2"/>
        <w:keepNext/>
        <w:spacing w:before="160" w:after="60"/>
      </w:pPr>
      <w:r>
        <w:rPr>
          <w:rFonts w:ascii="Inter" w:hAnsi="Inter" w:eastAsia="Inter"/>
          <w:b/>
          <w:color w:val="1F3F5B"/>
          <w:sz w:val="23"/>
        </w:rPr>
        <w:t xml:space="preserve">Titles III through V: preventing another administrative demolition</w:t>
      </w:r>
    </w:p>
    <w:p>
      <w:pPr>
        <w:pStyle w:val="FirstParagraph"/>
        <w:widowControl/>
        <w:spacing w:after="60" w:line="250" w:lineRule="auto"/>
      </w:pPr>
      <w:r>
        <w:rPr>
          <w:rFonts w:ascii="Noto Serif" w:hAnsi="Noto Serif" w:eastAsia="Noto Serif"/>
          <w:sz w:val="19"/>
        </w:rPr>
        <w:t xml:space="preserve">Title III converts appropriations and continuity principles into enforceable duties. It avoids an unconstitutional legislative veto: Congress receives advance notice and may legislate, but a committee or single chamber cannot cancel an executive action by itself. The Comptroller General and intended recipients receive pathways to challenge unlawful impoundment before funds expire.</w:t>
      </w:r>
    </w:p>
    <w:p>
      <w:pPr>
        <w:pStyle w:val="BodyText"/>
        <w:widowControl/>
        <w:spacing w:after="60" w:line="250" w:lineRule="auto"/>
      </w:pPr>
      <w:r>
        <w:rPr>
          <w:rFonts w:ascii="Noto Serif" w:hAnsi="Noto Serif" w:eastAsia="Noto Serif"/>
          <w:sz w:val="19"/>
        </w:rPr>
        <w:t xml:space="preserve">Title IV abolishes policy-based at-will classifications while preserving ordinary discipline for misconduct and poor performance. It requires agencies to count the hidden costs of mass layoffs, including contractor replacement, lost expertise, service backlogs, litigation, and later rehiring.</w:t>
      </w:r>
    </w:p>
    <w:p>
      <w:pPr>
        <w:pStyle w:val="BodyText"/>
        <w:widowControl/>
        <w:spacing w:after="60" w:line="250" w:lineRule="auto"/>
      </w:pPr>
      <w:r>
        <w:rPr>
          <w:rFonts w:ascii="Noto Serif" w:hAnsi="Noto Serif" w:eastAsia="Noto Serif"/>
          <w:sz w:val="19"/>
        </w:rPr>
        <w:t xml:space="preserve">Title V does not reject efficiency. It turns efficiency into a profession instead of a demolition brand. OPEI measures service quality, total cost, accuracy, privacy, cybersecurity, and long-term liability. It may recommend but may not abolish, fire, impound, or invade databases on its own.</w:t>
      </w:r>
    </w:p>
    <w:bookmarkEnd w:id="393"/>
    <w:bookmarkStart w:id="394" w:name="title-vi-elections"/>
    <w:p>
      <w:pPr>
        <w:pStyle w:val="Heading2"/>
        <w:keepNext/>
        <w:spacing w:before="160" w:after="60"/>
      </w:pPr>
      <w:r>
        <w:rPr>
          <w:rFonts w:ascii="Inter" w:hAnsi="Inter" w:eastAsia="Inter"/>
          <w:b/>
          <w:color w:val="1F3F5B"/>
          <w:sz w:val="23"/>
        </w:rPr>
        <w:t xml:space="preserve">Title VI: elections</w:t>
      </w:r>
    </w:p>
    <w:p>
      <w:pPr>
        <w:pStyle w:val="FirstParagraph"/>
        <w:widowControl/>
        <w:spacing w:after="60" w:line="250" w:lineRule="auto"/>
      </w:pPr>
      <w:r>
        <w:rPr>
          <w:rFonts w:ascii="Noto Serif" w:hAnsi="Noto Serif" w:eastAsia="Noto Serif"/>
          <w:sz w:val="19"/>
        </w:rPr>
        <w:t xml:space="preserve">The election title repeals documentary-proof requirements that would make registration depend on possession of particular papers. It preserves citizenship eligibility and penalties for knowingly false registration, while requiring government to use accurate, individualized verification. The provisions operate as an interim floor and defer to the more comprehensive American Vote Act where stronger.</w:t>
      </w:r>
    </w:p>
    <w:p>
      <w:pPr>
        <w:pStyle w:val="BodyText"/>
        <w:widowControl/>
        <w:spacing w:after="60" w:line="250" w:lineRule="auto"/>
      </w:pPr>
      <w:r>
        <w:rPr>
          <w:rFonts w:ascii="Noto Serif" w:hAnsi="Noto Serif" w:eastAsia="Noto Serif"/>
          <w:sz w:val="19"/>
        </w:rPr>
        <w:t xml:space="preserve">The emergency preclearance mechanism is coverage-by-current-conduct rather than a frozen geographic formula. That design responds to constitutional concerns by requiring recent, repeated, or intentional violations and tailoring the duration and covered practices.</w:t>
      </w:r>
    </w:p>
    <w:bookmarkEnd w:id="394"/>
    <w:bookmarkStart w:id="395" w:name="Xe7791501583b4d61c5da6e86be9ecf3b1256db5"/>
    <w:p>
      <w:pPr>
        <w:pStyle w:val="Heading2"/>
        <w:keepNext/>
        <w:spacing w:before="160" w:after="60"/>
      </w:pPr>
      <w:r>
        <w:rPr>
          <w:rFonts w:ascii="Inter" w:hAnsi="Inter" w:eastAsia="Inter"/>
          <w:b/>
          <w:color w:val="1F3F5B"/>
          <w:sz w:val="23"/>
        </w:rPr>
        <w:t xml:space="preserve">Titles VII and VIII: civil rights and immigration</w:t>
      </w:r>
    </w:p>
    <w:p>
      <w:pPr>
        <w:pStyle w:val="FirstParagraph"/>
        <w:widowControl/>
        <w:spacing w:after="60" w:line="250" w:lineRule="auto"/>
      </w:pPr>
      <w:r>
        <w:rPr>
          <w:rFonts w:ascii="Noto Serif" w:hAnsi="Noto Serif" w:eastAsia="Noto Serif"/>
          <w:sz w:val="19"/>
        </w:rPr>
        <w:t xml:space="preserve">Title VII restores enforcement without turning equal opportunity into compulsory ideology. It permits evidence-based remedial measures but rejects automatic quotas and personal loyalty statements. It protects LGBTQ people while expressly preserving scientifically relevant sex-specific standards and constitutional religious protections.</w:t>
      </w:r>
    </w:p>
    <w:p>
      <w:pPr>
        <w:pStyle w:val="BodyText"/>
        <w:widowControl/>
        <w:spacing w:after="60" w:line="250" w:lineRule="auto"/>
      </w:pPr>
      <w:r>
        <w:rPr>
          <w:rFonts w:ascii="Noto Serif" w:hAnsi="Noto Serif" w:eastAsia="Noto Serif"/>
          <w:sz w:val="19"/>
        </w:rPr>
        <w:t xml:space="preserve">Title VIII restores asylum, refugee protection, family unity, counsel, and immigration due process while preserving lawful border enforcement, anti-smuggling work, detention for demonstrated risks, and emergency operational authority. It does not create an unrestricted right to enter. It requires the Executive to administer the system Congress enacted rather than suspend it through a generalized declaration.</w:t>
      </w:r>
    </w:p>
    <w:bookmarkEnd w:id="395"/>
    <w:bookmarkStart w:id="396" w:name="Xed63caedc7711cfcac760715977a3d286cfa823"/>
    <w:p>
      <w:pPr>
        <w:pStyle w:val="Heading2"/>
        <w:keepNext/>
        <w:spacing w:before="160" w:after="60"/>
      </w:pPr>
      <w:r>
        <w:rPr>
          <w:rFonts w:ascii="Inter" w:hAnsi="Inter" w:eastAsia="Inter"/>
          <w:b/>
          <w:color w:val="1F3F5B"/>
          <w:sz w:val="23"/>
        </w:rPr>
        <w:t xml:space="preserve">Titles IX through XI: environment, lands, energy, and data centers</w:t>
      </w:r>
    </w:p>
    <w:p>
      <w:pPr>
        <w:pStyle w:val="FirstParagraph"/>
        <w:widowControl/>
        <w:spacing w:after="60" w:line="250" w:lineRule="auto"/>
      </w:pPr>
      <w:r>
        <w:rPr>
          <w:rFonts w:ascii="Noto Serif" w:hAnsi="Noto Serif" w:eastAsia="Noto Serif"/>
          <w:sz w:val="19"/>
        </w:rPr>
        <w:t xml:space="preserve">Title IX codifies the greenhouse-gas endangerment judgment and expressly authorizes system-based power-sector standards. This is intended to answer statutory-interpretation limits by making Congress’s delegation unmistakable. EPA must still demonstrate feasibility, reliability, and reasonableness.</w:t>
      </w:r>
    </w:p>
    <w:p>
      <w:pPr>
        <w:pStyle w:val="BodyText"/>
        <w:widowControl/>
        <w:spacing w:after="60" w:line="250" w:lineRule="auto"/>
      </w:pPr>
      <w:r>
        <w:rPr>
          <w:rFonts w:ascii="Noto Serif" w:hAnsi="Noto Serif" w:eastAsia="Noto Serif"/>
          <w:sz w:val="19"/>
        </w:rPr>
        <w:t xml:space="preserve">Title X restores a broader Clean Water Act jurisdiction while using a material-connection standard and explicit exclusions to reduce uncertainty. Public-land leases are reviewed, not confiscated. Valid vested interests receive due process; fraud, inadequate bonding, and violations remain enforceable.</w:t>
      </w:r>
    </w:p>
    <w:p>
      <w:pPr>
        <w:pStyle w:val="BodyText"/>
        <w:widowControl/>
        <w:spacing w:after="60" w:line="250" w:lineRule="auto"/>
      </w:pPr>
      <w:r>
        <w:rPr>
          <w:rFonts w:ascii="Noto Serif" w:hAnsi="Noto Serif" w:eastAsia="Noto Serif"/>
          <w:sz w:val="19"/>
        </w:rPr>
        <w:t xml:space="preserve">Title XI treats data centers as industrial infrastructure. The bill supports construction, grid investment, and AI competitiveness, but makes developers disclose resource use, pay attributable grid costs, protect water, control backup emissions, and negotiate community benefits when public subsidies are substantial. It preserves stronger State and local law.</w:t>
      </w:r>
    </w:p>
    <w:bookmarkEnd w:id="396"/>
    <w:bookmarkStart w:id="397" w:name="title-xii-digital-rights"/>
    <w:p>
      <w:pPr>
        <w:pStyle w:val="Heading2"/>
        <w:keepNext/>
        <w:spacing w:before="160" w:after="60"/>
      </w:pPr>
      <w:r>
        <w:rPr>
          <w:rFonts w:ascii="Inter" w:hAnsi="Inter" w:eastAsia="Inter"/>
          <w:b/>
          <w:color w:val="1F3F5B"/>
          <w:sz w:val="23"/>
        </w:rPr>
        <w:t xml:space="preserve">Title XII: digital rights</w:t>
      </w:r>
    </w:p>
    <w:p>
      <w:pPr>
        <w:pStyle w:val="FirstParagraph"/>
        <w:widowControl/>
        <w:spacing w:after="60" w:line="250" w:lineRule="auto"/>
      </w:pPr>
      <w:r>
        <w:rPr>
          <w:rFonts w:ascii="Noto Serif" w:hAnsi="Noto Serif" w:eastAsia="Noto Serif"/>
          <w:sz w:val="19"/>
        </w:rPr>
        <w:t xml:space="preserve">The privacy title closes the data-broker loophole through which the Government may purchase information that would require legal process if demanded directly. It also applies strict access logging to Federal efficiency teams and contractors. The bill does not ban data use for public safety, fraud prevention, research, or emergencies. It requires legal authority, minimization, audit, and human review.</w:t>
      </w:r>
    </w:p>
    <w:bookmarkEnd w:id="397"/>
    <w:bookmarkStart w:id="398" w:name="X3e0c1b5d703519b2d5f36f78f02991f825b4229"/>
    <w:p>
      <w:pPr>
        <w:pStyle w:val="Heading2"/>
        <w:keepNext/>
        <w:spacing w:before="160" w:after="60"/>
      </w:pPr>
      <w:r>
        <w:rPr>
          <w:rFonts w:ascii="Inter" w:hAnsi="Inter" w:eastAsia="Inter"/>
          <w:b/>
          <w:color w:val="1F3F5B"/>
          <w:sz w:val="23"/>
        </w:rPr>
        <w:t xml:space="preserve">Titles XIII through XV: education, health, workers, consumers, and housing</w:t>
      </w:r>
    </w:p>
    <w:p>
      <w:pPr>
        <w:pStyle w:val="FirstParagraph"/>
        <w:widowControl/>
        <w:spacing w:after="60" w:line="250" w:lineRule="auto"/>
      </w:pPr>
      <w:r>
        <w:rPr>
          <w:rFonts w:ascii="Noto Serif" w:hAnsi="Noto Serif" w:eastAsia="Noto Serif"/>
          <w:sz w:val="19"/>
        </w:rPr>
        <w:t xml:space="preserve">These titles restore the institutional platform. They do not freeze every 2024 organizational chart. Agencies may retain genuine efficiencies, close persistently failing operators, revise scientific portfolios, and modernize services, but must preserve statutory missions, due process, evidence, and continuity.</w:t>
      </w:r>
    </w:p>
    <w:p>
      <w:pPr>
        <w:pStyle w:val="BodyText"/>
        <w:widowControl/>
        <w:spacing w:after="60" w:line="250" w:lineRule="auto"/>
      </w:pPr>
      <w:r>
        <w:rPr>
          <w:rFonts w:ascii="Noto Serif" w:hAnsi="Noto Serif" w:eastAsia="Noto Serif"/>
          <w:sz w:val="19"/>
        </w:rPr>
        <w:t xml:space="preserve">The Department of Education and HHS cannot be functionally abolished by workforce actions. CFPB and other regulators may prioritize enforcement, but may not announce categorical abandonment of statutes. Grants can still be terminated for fraud, illegality, material breach, or nonperformance, with reasons and transition.</w:t>
      </w:r>
    </w:p>
    <w:bookmarkEnd w:id="398"/>
    <w:bookmarkStart w:id="399" w:name="Xa2078d435cf9c64b5d43559c2ee37bd1966874b"/>
    <w:p>
      <w:pPr>
        <w:pStyle w:val="Heading2"/>
        <w:keepNext/>
        <w:spacing w:before="160" w:after="60"/>
      </w:pPr>
      <w:r>
        <w:rPr>
          <w:rFonts w:ascii="Inter" w:hAnsi="Inter" w:eastAsia="Inter"/>
          <w:b/>
          <w:color w:val="1F3F5B"/>
          <w:sz w:val="23"/>
        </w:rPr>
        <w:t xml:space="preserve">Titles XVI through XVIII: trade, USAID, sovereignty, and foreign policy</w:t>
      </w:r>
    </w:p>
    <w:p>
      <w:pPr>
        <w:pStyle w:val="FirstParagraph"/>
        <w:widowControl/>
        <w:spacing w:after="60" w:line="250" w:lineRule="auto"/>
      </w:pPr>
      <w:r>
        <w:rPr>
          <w:rFonts w:ascii="Noto Serif" w:hAnsi="Noto Serif" w:eastAsia="Noto Serif"/>
          <w:sz w:val="19"/>
        </w:rPr>
        <w:t xml:space="preserve">Title XVI codifies that a general tariff is a tax requiring express congressional authority. It preserves ordinary antidumping, countervailing-duty, safeguard, and national-security statutes. Broad tariffs receive impact analysis, exclusions, time limits, and congressional approval.</w:t>
      </w:r>
    </w:p>
    <w:p>
      <w:pPr>
        <w:pStyle w:val="BodyText"/>
        <w:widowControl/>
        <w:spacing w:after="60" w:line="250" w:lineRule="auto"/>
      </w:pPr>
      <w:r>
        <w:rPr>
          <w:rFonts w:ascii="Noto Serif" w:hAnsi="Noto Serif" w:eastAsia="Noto Serif"/>
          <w:sz w:val="19"/>
        </w:rPr>
        <w:t xml:space="preserve">Title XVII restores USAID as a congressionally grounded independent establishment. Foreign policy guidance remains with the President and Secretary of State; professional program administration and statutory continuity remain with USAID. The funding goal is ambitious but remains subject to appropriations.</w:t>
      </w:r>
    </w:p>
    <w:p>
      <w:pPr>
        <w:pStyle w:val="BodyText"/>
        <w:widowControl/>
        <w:spacing w:after="60" w:line="250" w:lineRule="auto"/>
      </w:pPr>
      <w:r>
        <w:rPr>
          <w:rFonts w:ascii="Noto Serif" w:hAnsi="Noto Serif" w:eastAsia="Noto Serif"/>
          <w:sz w:val="19"/>
        </w:rPr>
        <w:t xml:space="preserve">Title XVIII is intentionally country-neutral. It does not target Israel or protect Israel, and it likewise does not target or protect Saudi Arabia, Egypt, Ukraine, Taiwan, or any other recipient. Every partner faces the same human-rights, end-use, civilian-harm, sovereignty, lobbying, and congressional-control rules. The title prevents</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interoperability</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from becoming an automatic legal commitment to join a war or surrender United States command authority.</w:t>
      </w:r>
    </w:p>
    <w:bookmarkEnd w:id="399"/>
    <w:bookmarkStart w:id="400" w:name="X73aa8b6033ccc5530933deae92cffdac283271a"/>
    <w:p>
      <w:pPr>
        <w:pStyle w:val="Heading2"/>
        <w:keepNext/>
        <w:spacing w:before="160" w:after="60"/>
      </w:pPr>
      <w:r>
        <w:rPr>
          <w:rFonts w:ascii="Inter" w:hAnsi="Inter" w:eastAsia="Inter"/>
          <w:b/>
          <w:color w:val="1F3F5B"/>
          <w:sz w:val="23"/>
        </w:rPr>
        <w:t xml:space="preserve">Title XIX: responding to judicial doctrine</w:t>
      </w:r>
    </w:p>
    <w:p>
      <w:pPr>
        <w:pStyle w:val="FirstParagraph"/>
        <w:widowControl/>
        <w:spacing w:after="60" w:line="250" w:lineRule="auto"/>
      </w:pPr>
      <w:r>
        <w:rPr>
          <w:rFonts w:ascii="Noto Serif" w:hAnsi="Noto Serif" w:eastAsia="Noto Serif"/>
          <w:sz w:val="19"/>
        </w:rPr>
        <w:t xml:space="preserve">Congress may amend the Administrative Procedure Act and expressly delegate policy choices. Section 1901 restores a bounded form of deference only where Congress delegated gap-filling and the agency acted reasonably after lawful procedure. Courts remain independent on constitutional and pure legal questions.</w:t>
      </w:r>
    </w:p>
    <w:p>
      <w:pPr>
        <w:pStyle w:val="BodyText"/>
        <w:widowControl/>
        <w:spacing w:after="60" w:line="250" w:lineRule="auto"/>
      </w:pPr>
      <w:r>
        <w:rPr>
          <w:rFonts w:ascii="Noto Serif" w:hAnsi="Noto Serif" w:eastAsia="Noto Serif"/>
          <w:sz w:val="19"/>
        </w:rPr>
        <w:t xml:space="preserve">The major-questions provision does not eliminate nondelegation review. It prevents courts from using an amorphous clear-statement doctrine to override text and structure that reasonably delegate the issue. The remedies provisions seek a middle path: complete relief, classwide relief where Rule 23 is satisfied, and systemwide relief only where necessary and legally grounded.</w:t>
      </w:r>
    </w:p>
    <w:bookmarkEnd w:id="400"/>
    <w:bookmarkStart w:id="401" w:name="X6f190b23f010451f4f542b9b46ba7897c48d55a"/>
    <w:p>
      <w:pPr>
        <w:pStyle w:val="Heading2"/>
        <w:keepNext/>
        <w:spacing w:before="160" w:after="60"/>
      </w:pPr>
      <w:r>
        <w:rPr>
          <w:rFonts w:ascii="Inter" w:hAnsi="Inter" w:eastAsia="Inter"/>
          <w:b/>
          <w:color w:val="1F3F5B"/>
          <w:sz w:val="23"/>
        </w:rPr>
        <w:t xml:space="preserve">Titles XX through XXIV: integrity, repair, funding, and durability</w:t>
      </w:r>
    </w:p>
    <w:p>
      <w:pPr>
        <w:pStyle w:val="FirstParagraph"/>
        <w:widowControl/>
        <w:spacing w:after="60" w:line="250" w:lineRule="auto"/>
      </w:pPr>
      <w:r>
        <w:rPr>
          <w:rFonts w:ascii="Noto Serif" w:hAnsi="Noto Serif" w:eastAsia="Noto Serif"/>
          <w:sz w:val="19"/>
        </w:rPr>
        <w:t xml:space="preserve">Title XX relies heavily on the Transparent Government Act rather than building a rival portal. Title XXI creates a limited claims system focused on provable direct loss, not generalized political grievance or speculative profit. Title XXII distinguishes authorization from actual outlays and requires transparent offsets.</w:t>
      </w:r>
    </w:p>
    <w:bookmarkEnd w:id="401"/>
    <w:bookmarkEnd w:id="402"/>
    <w:bookmarkStart w:id="418" w:name="constitutional-and-legal-risk-analysis"/>
    <w:p>
      <w:pPr>
        <w:pStyle w:val="Heading1"/>
        <w:keepNext/>
        <w:pageBreakBefore/>
        <w:spacing w:before="0" w:after="180"/>
        <w:pBdr>
          <w:bottom w:val="single" w:sz="8" w:space="4" w:color="9EB0BF"/>
        </w:pBdr>
      </w:pPr>
      <w:r>
        <w:rPr>
          <w:rFonts w:ascii="Inter" w:hAnsi="Inter" w:eastAsia="Inter"/>
          <w:b/>
          <w:color w:val="142D48"/>
          <w:sz w:val="34"/>
        </w:rPr>
        <w:t xml:space="preserve">CONSTITUTIONAL AND LEGAL-RISK ANALYSIS</w:t>
      </w:r>
    </w:p>
    <w:bookmarkStart w:id="403" w:name="X0673bbbe0395aa9d2e4b6b02ec4690ddc84ce4d"/>
    <w:p>
      <w:pPr>
        <w:pStyle w:val="Heading2"/>
        <w:keepNext/>
        <w:spacing w:before="160" w:after="60"/>
      </w:pPr>
      <w:r>
        <w:rPr>
          <w:rFonts w:ascii="Inter" w:hAnsi="Inter" w:eastAsia="Inter"/>
          <w:b/>
          <w:color w:val="1F3F5B"/>
          <w:sz w:val="23"/>
        </w:rPr>
        <w:t xml:space="preserve">1. Separation of powers and executive control</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Removal protections for the Restoration Council, OPEI, or other officers could face challenge under evolving unitary-executive doctrine.</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The bill gives OPEI analytical and coordinating authority rather than core prosecutorial or adjudicatory power; the Council’s orders are reviewable; the President retains constitutional supervision; and severability preserves functions if a removal restriction falls. A final introduced version should align appointment and removal language with the Supreme Court’s most current precedents at the time of introduction.</w:t>
      </w:r>
    </w:p>
    <w:bookmarkEnd w:id="403"/>
    <w:bookmarkStart w:id="404" w:name="Xcf7cbfe3d6aaab78527cea1060ca9e7203ee5d9"/>
    <w:p>
      <w:pPr>
        <w:pStyle w:val="Heading2"/>
        <w:keepNext/>
        <w:spacing w:before="160" w:after="60"/>
      </w:pPr>
      <w:r>
        <w:rPr>
          <w:rFonts w:ascii="Inter" w:hAnsi="Inter" w:eastAsia="Inter"/>
          <w:b/>
          <w:color w:val="1F3F5B"/>
          <w:sz w:val="23"/>
        </w:rPr>
        <w:t xml:space="preserve">2. Impoundment and appropriations litigation</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Courts may question standing, cause of action, or the scope of an order compelling expenditure.</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Congress expressly creates causes of action for GAO and concretely injured intended recipients, identifies the duty, authorizes provisional obligation, and preserves ordinary equitable limits. The bill does not require expenditure beyond enacted appropriations.</w:t>
      </w:r>
    </w:p>
    <w:bookmarkEnd w:id="404"/>
    <w:bookmarkStart w:id="405" w:name="anti-entrenchment"/>
    <w:p>
      <w:pPr>
        <w:pStyle w:val="Heading2"/>
        <w:keepNext/>
        <w:spacing w:before="160" w:after="60"/>
      </w:pPr>
      <w:r>
        <w:rPr>
          <w:rFonts w:ascii="Inter" w:hAnsi="Inter" w:eastAsia="Inter"/>
          <w:b/>
          <w:color w:val="1F3F5B"/>
          <w:sz w:val="23"/>
        </w:rPr>
        <w:t xml:space="preserve">3. Anti-entrenchment</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A statute cannot require a future Congress to muster a supermajority or prevent ordinary repeal.</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The Act uses procedural requirements for agencies, not a legislative supermajority lock. The 15-year review does not sunset the law. Future Congresses remain free to amend or repeal through ordinary bicameralism and presentment.</w:t>
      </w:r>
    </w:p>
    <w:bookmarkEnd w:id="405"/>
    <w:bookmarkStart w:id="406" w:name="X8e31f924ee106d0a4a10c4fa8737fdef3f375ac"/>
    <w:p>
      <w:pPr>
        <w:pStyle w:val="Heading2"/>
        <w:keepNext/>
        <w:spacing w:before="160" w:after="60"/>
      </w:pPr>
      <w:r>
        <w:rPr>
          <w:rFonts w:ascii="Inter" w:hAnsi="Inter" w:eastAsia="Inter"/>
          <w:b/>
          <w:color w:val="1F3F5B"/>
          <w:sz w:val="23"/>
        </w:rPr>
        <w:t xml:space="preserve">4. Bill of attainder and viewpoint discrimination</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A bill expressly punishing</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conservative administrations</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could be attacked as punitive, partisan, or viewpoint-based.</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The operative test is conduct-based and applies to any administration. Schedule A creates priority review, not automatic personal guilt. No official is punished for association, party, advocacy, or policy belief.</w:t>
      </w:r>
    </w:p>
    <w:bookmarkEnd w:id="406"/>
    <w:bookmarkStart w:id="407" w:name="property-contracts-and-takings"/>
    <w:p>
      <w:pPr>
        <w:pStyle w:val="Heading2"/>
        <w:keepNext/>
        <w:spacing w:before="160" w:after="60"/>
      </w:pPr>
      <w:r>
        <w:rPr>
          <w:rFonts w:ascii="Inter" w:hAnsi="Inter" w:eastAsia="Inter"/>
          <w:b/>
          <w:color w:val="1F3F5B"/>
          <w:sz w:val="23"/>
        </w:rPr>
        <w:t xml:space="preserve">5. Property, contracts, and takings</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Cancellation of leases, contracts, permits, or grants may trigger due-process, contract, or takings claims.</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The bill requires individualized review, lawful authority, notice, hearing, consideration of reliance, and compensation where constitutionally required. It preserves cancellation for fraud, ultra vires issuance, nonperformance, and breach. The Claims Commission resolves transition costs.</w:t>
      </w:r>
    </w:p>
    <w:bookmarkEnd w:id="407"/>
    <w:bookmarkStart w:id="408" w:name="elections-clause-and-federalism"/>
    <w:p>
      <w:pPr>
        <w:pStyle w:val="Heading2"/>
        <w:keepNext/>
        <w:spacing w:before="160" w:after="60"/>
      </w:pPr>
      <w:r>
        <w:rPr>
          <w:rFonts w:ascii="Inter" w:hAnsi="Inter" w:eastAsia="Inter"/>
          <w:b/>
          <w:color w:val="1F3F5B"/>
          <w:sz w:val="23"/>
        </w:rPr>
        <w:t xml:space="preserve">6. Elections Clause and federalism</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States may challenge Federal election floors and grant conditions.</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Requirements are limited principally to Federal elections and rest on the Elections Clause, Fourteenth and Fifteenth Amendments, and spending power. State election administration remains intact, and stronger State access rules are preserved. Preclearance is based on current violations and tailored duration.</w:t>
      </w:r>
    </w:p>
    <w:bookmarkEnd w:id="408"/>
    <w:bookmarkStart w:id="409" w:name="X97bd63ab6c8ee8dd681bb9ddc709c8b9b8443fe"/>
    <w:p>
      <w:pPr>
        <w:pStyle w:val="Heading2"/>
        <w:keepNext/>
        <w:spacing w:before="160" w:after="60"/>
      </w:pPr>
      <w:r>
        <w:rPr>
          <w:rFonts w:ascii="Inter" w:hAnsi="Inter" w:eastAsia="Inter"/>
          <w:b/>
          <w:color w:val="1F3F5B"/>
          <w:sz w:val="23"/>
        </w:rPr>
        <w:t xml:space="preserve">7. Equal protection and civil-rights remedies</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Race-conscious programs and disparate-impact rules may be challenged.</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The bill emphasizes documented barriers, causal proof, legitimate-necessity defenses, less-discriminatory alternatives, individualized review, and constitutional tailoring. It prohibits automatic quotas and treats race-conscious measures as evidence-based, limited tools rather than permanent entitlements.</w:t>
      </w:r>
    </w:p>
    <w:bookmarkEnd w:id="409"/>
    <w:bookmarkStart w:id="410" w:name="immigration-and-plenary-power"/>
    <w:p>
      <w:pPr>
        <w:pStyle w:val="Heading2"/>
        <w:keepNext/>
        <w:spacing w:before="160" w:after="60"/>
      </w:pPr>
      <w:r>
        <w:rPr>
          <w:rFonts w:ascii="Inter" w:hAnsi="Inter" w:eastAsia="Inter"/>
          <w:b/>
          <w:color w:val="1F3F5B"/>
          <w:sz w:val="23"/>
        </w:rPr>
        <w:t xml:space="preserve">8. Immigration and plenary power</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Courts traditionally grant the political branches broad immigration authority, while executive officials may argue for emergency discretion.</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Congress is exercising its own Article I immigration power and clarifying that statutory asylum, refugee, citizenship, parole, and due-process schemes cannot be displaced by generalized executive declarations. Emergency operational authority remains robust but bounded.</w:t>
      </w:r>
    </w:p>
    <w:bookmarkEnd w:id="410"/>
    <w:bookmarkStart w:id="411" w:name="X5dfd4f0e7a7673ccc62e995375d3b94ee2f469f"/>
    <w:p>
      <w:pPr>
        <w:pStyle w:val="Heading2"/>
        <w:keepNext/>
        <w:spacing w:before="160" w:after="60"/>
      </w:pPr>
      <w:r>
        <w:rPr>
          <w:rFonts w:ascii="Inter" w:hAnsi="Inter" w:eastAsia="Inter"/>
          <w:b/>
          <w:color w:val="1F3F5B"/>
          <w:sz w:val="23"/>
        </w:rPr>
        <w:t xml:space="preserve">9. Environmental commerce power and federal land power</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Broad Clean Water Act jurisdiction can raise Commerce Clause and vagueness concerns.</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Section 1001 uses material hydrologic effects, ties coverage to interstate waters and commerce, and requires clear exclusions. Federal-land provisions also rest on the Property Clause. Rules should be written with maps, examples, jurisdictional determinations, and prompt appeals.</w:t>
      </w:r>
    </w:p>
    <w:bookmarkEnd w:id="411"/>
    <w:bookmarkStart w:id="412" w:name="Xcfcb182034e00a0611fe9fc7240626b1db7ce18"/>
    <w:p>
      <w:pPr>
        <w:pStyle w:val="Heading2"/>
        <w:keepNext/>
        <w:spacing w:before="160" w:after="60"/>
      </w:pPr>
      <w:r>
        <w:rPr>
          <w:rFonts w:ascii="Inter" w:hAnsi="Inter" w:eastAsia="Inter"/>
          <w:b/>
          <w:color w:val="1F3F5B"/>
          <w:sz w:val="23"/>
        </w:rPr>
        <w:t xml:space="preserve">10. Administrative deference after Loper Bright</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Courts may view a generic deference command as intruding on judicial power.</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Congress amends the APA, expressly identifies delegated gap-filling, preserves de novo constitutional review, and conditions respect on procedure, reasonableness, evidence, consistency, and record transparency. Congress may strengthen delegation in individual organic statutes through conforming amendments.</w:t>
      </w:r>
    </w:p>
    <w:bookmarkEnd w:id="412"/>
    <w:bookmarkStart w:id="413" w:name="major-questions-doctrine"/>
    <w:p>
      <w:pPr>
        <w:pStyle w:val="Heading2"/>
        <w:keepNext/>
        <w:spacing w:before="160" w:after="60"/>
      </w:pPr>
      <w:r>
        <w:rPr>
          <w:rFonts w:ascii="Inter" w:hAnsi="Inter" w:eastAsia="Inter"/>
          <w:b/>
          <w:color w:val="1F3F5B"/>
          <w:sz w:val="23"/>
        </w:rPr>
        <w:t xml:space="preserve">11. Major-questions doctrine</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A court may characterize the doctrine as constitutional rather than statutory.</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Section 1902 does not foreclose constitutional nondelegation. It clarifies statutory interpretation and is reinforced by explicit subject-matter delegations in climate, data, health, labor, consumer, and infrastructure titles.</w:t>
      </w:r>
    </w:p>
    <w:bookmarkEnd w:id="413"/>
    <w:bookmarkStart w:id="414" w:name="Xa0e6797b726817b665aa2b090dfa6050febc252"/>
    <w:p>
      <w:pPr>
        <w:pStyle w:val="Heading2"/>
        <w:keepNext/>
        <w:spacing w:before="160" w:after="60"/>
      </w:pPr>
      <w:r>
        <w:rPr>
          <w:rFonts w:ascii="Inter" w:hAnsi="Inter" w:eastAsia="Inter"/>
          <w:b/>
          <w:color w:val="1F3F5B"/>
          <w:sz w:val="23"/>
        </w:rPr>
        <w:t xml:space="preserve">12. Foreign affairs and commander-in-chief authority</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Reporting, security-assistance conditions, and war-powers limits may encounter executive privilege or Commander-in-Chief objections.</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Congress relies on appropriations, commerce, war, Armed Forces, foreign-assistance, and oversight powers. The bill does not direct tactical battlefield decisions. It conditions funds, requires legal authority, preserves classified annexes, and regulates long-term commitments and assistance Congress finances.</w:t>
      </w:r>
    </w:p>
    <w:bookmarkEnd w:id="414"/>
    <w:bookmarkStart w:id="415" w:name="fara-and-first-amendment-rights"/>
    <w:p>
      <w:pPr>
        <w:pStyle w:val="Heading2"/>
        <w:keepNext/>
        <w:spacing w:before="160" w:after="60"/>
      </w:pPr>
      <w:r>
        <w:rPr>
          <w:rFonts w:ascii="Inter" w:hAnsi="Inter" w:eastAsia="Inter"/>
          <w:b/>
          <w:color w:val="1F3F5B"/>
          <w:sz w:val="23"/>
        </w:rPr>
        <w:t xml:space="preserve">13. FARA and First Amendment rights</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Expanded foreign-influence disclosure could burden speech and association.</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Coverage depends on agency relationship with a foreign principal and material influence activity, not viewpoint. Journalism, academic work, diplomacy, legal representation, and independent advocacy receive safeguards. Disclosure, rather than censorship, is the principal remedy.</w:t>
      </w:r>
    </w:p>
    <w:bookmarkEnd w:id="415"/>
    <w:bookmarkStart w:id="416" w:name="privacy-and-fourth-amendment"/>
    <w:p>
      <w:pPr>
        <w:pStyle w:val="Heading2"/>
        <w:keepNext/>
        <w:spacing w:before="160" w:after="60"/>
      </w:pPr>
      <w:r>
        <w:rPr>
          <w:rFonts w:ascii="Inter" w:hAnsi="Inter" w:eastAsia="Inter"/>
          <w:b/>
          <w:color w:val="1F3F5B"/>
          <w:sz w:val="23"/>
        </w:rPr>
        <w:t xml:space="preserve">14. Privacy and Fourth Amendment</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Government may argue that commercially available data falls outside ordinary warrant requirements.</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Congress can impose a statutory warrant rule broader than the Fourth Amendment floor. Emergency access is preserved with rapid review. Publicly available data is defined to avoid criminalizing ordinary observation and research.</w:t>
      </w:r>
    </w:p>
    <w:bookmarkEnd w:id="416"/>
    <w:bookmarkStart w:id="417" w:name="claims-and-sovereign-immunity"/>
    <w:p>
      <w:pPr>
        <w:pStyle w:val="Heading2"/>
        <w:keepNext/>
        <w:spacing w:before="160" w:after="60"/>
      </w:pPr>
      <w:r>
        <w:rPr>
          <w:rFonts w:ascii="Inter" w:hAnsi="Inter" w:eastAsia="Inter"/>
          <w:b/>
          <w:color w:val="1F3F5B"/>
          <w:sz w:val="23"/>
        </w:rPr>
        <w:t xml:space="preserve">15. Claims and sovereign immunity</w:t>
      </w:r>
    </w:p>
    <w:p>
      <w:pPr>
        <w:pStyle w:val="FirstParagraph"/>
        <w:widowControl/>
        <w:spacing w:after="60" w:line="250" w:lineRule="auto"/>
      </w:pPr>
      <w:r>
        <w:rPr>
          <w:rFonts w:ascii="Noto Serif" w:hAnsi="Noto Serif" w:eastAsia="Noto Serif"/>
          <w:b/>
          <w:bCs/>
          <w:sz w:val="19"/>
        </w:rPr>
        <w:t xml:space="preserve">Risk.</w:t>
      </w:r>
      <w:r>
        <w:rPr>
          <w:rFonts w:ascii="Noto Serif" w:hAnsi="Noto Serif" w:eastAsia="Noto Serif"/>
          <w:sz w:val="19"/>
        </w:rPr>
        <w:t xml:space="preserve"> </w:t>
      </w:r>
      <w:r>
        <w:rPr>
          <w:rFonts w:ascii="Noto Serif" w:hAnsi="Noto Serif" w:eastAsia="Noto Serif"/>
          <w:sz w:val="19"/>
        </w:rPr>
        <w:t xml:space="preserve">Broad compensation can produce substantial exposure and inconsistent adjudication.</w:t>
      </w:r>
    </w:p>
    <w:p>
      <w:pPr>
        <w:pStyle w:val="BodyText"/>
        <w:widowControl/>
        <w:spacing w:after="60" w:line="250" w:lineRule="auto"/>
      </w:pPr>
      <w:r>
        <w:rPr>
          <w:rFonts w:ascii="Noto Serif" w:hAnsi="Noto Serif" w:eastAsia="Noto Serif"/>
          <w:b/>
          <w:bCs/>
          <w:sz w:val="19"/>
        </w:rPr>
        <w:t xml:space="preserve">Mitigation.</w:t>
      </w:r>
      <w:r>
        <w:rPr>
          <w:rFonts w:ascii="Noto Serif" w:hAnsi="Noto Serif" w:eastAsia="Noto Serif"/>
          <w:sz w:val="19"/>
        </w:rPr>
        <w:t xml:space="preserve"> </w:t>
      </w:r>
      <w:r>
        <w:rPr>
          <w:rFonts w:ascii="Noto Serif" w:hAnsi="Noto Serif" w:eastAsia="Noto Serif"/>
          <w:sz w:val="19"/>
        </w:rPr>
        <w:t xml:space="preserve">Title XXI expressly waives immunity only for defined claims, uses proof and limitations rules, excludes speculative profit, offsets double recovery, and channels review to the Court of Federal Claims.</w:t>
      </w:r>
    </w:p>
    <w:bookmarkEnd w:id="417"/>
    <w:bookmarkEnd w:id="418"/>
    <w:bookmarkStart w:id="424" w:name="preliminary-fiscal-note"/>
    <w:p>
      <w:pPr>
        <w:pStyle w:val="Heading1"/>
        <w:keepNext/>
        <w:pageBreakBefore/>
        <w:spacing w:before="0" w:after="180"/>
        <w:pBdr>
          <w:bottom w:val="single" w:sz="8" w:space="4" w:color="9EB0BF"/>
        </w:pBdr>
      </w:pPr>
      <w:r>
        <w:rPr>
          <w:rFonts w:ascii="Inter" w:hAnsi="Inter" w:eastAsia="Inter"/>
          <w:b/>
          <w:color w:val="142D48"/>
          <w:sz w:val="34"/>
        </w:rPr>
        <w:t xml:space="preserve">PRELIMINARY FISCAL NOTE</w:t>
      </w:r>
    </w:p>
    <w:p>
      <w:pPr>
        <w:pStyle w:val="BlockText"/>
        <w:widowControl/>
        <w:spacing w:after="60" w:line="250" w:lineRule="auto"/>
      </w:pPr>
      <w:r>
        <w:rPr>
          <w:rFonts w:ascii="Noto Serif" w:hAnsi="Noto Serif" w:eastAsia="Noto Serif"/>
          <w:sz w:val="19"/>
        </w:rPr>
        <w:t xml:space="preserve">These figures are policy-model estimates, not a Congressional Budget Office or Joint Committee on Taxation score. They distinguish broad authorizations from probable outlays. Actual costs depend on appropriations, companion legislation, restoration classifications, litigation, economic conditions, and program take-up.</w:t>
      </w:r>
    </w:p>
    <w:bookmarkStart w:id="419" w:name="principal-authorizations"/>
    <w:p>
      <w:pPr>
        <w:pStyle w:val="Heading2"/>
        <w:keepNext/>
        <w:spacing w:before="160" w:after="60"/>
      </w:pPr>
      <w:r>
        <w:rPr>
          <w:rFonts w:ascii="Inter" w:hAnsi="Inter" w:eastAsia="Inter"/>
          <w:b/>
          <w:color w:val="1F3F5B"/>
          <w:sz w:val="23"/>
        </w:rPr>
        <w:t xml:space="preserve">Principal authorizations</w:t>
      </w:r>
    </w:p>
    <w:p>
      <w:pPr>
        <w:pStyle w:val="Compact"/>
        <w:widowControl/>
        <w:numPr>
          <w:ilvl w:val="0"/>
          <w:numId w:val="1132"/>
        </w:numPr>
        <w:spacing w:after="30" w:line="245" w:lineRule="auto"/>
      </w:pPr>
      <w:r>
        <w:rPr>
          <w:rFonts w:ascii="Noto Serif" w:hAnsi="Noto Serif" w:eastAsia="Noto Serif"/>
          <w:b/>
          <w:bCs/>
          <w:sz w:val="18"/>
        </w:rPr>
        <w:t xml:space="preserve">OPEI:</w:t>
      </w:r>
      <w:r>
        <w:rPr>
          <w:rFonts w:ascii="Noto Serif" w:hAnsi="Noto Serif" w:eastAsia="Noto Serif"/>
          <w:sz w:val="18"/>
        </w:rPr>
        <w:t xml:space="preserve"> </w:t>
      </w:r>
      <w:r>
        <w:rPr>
          <w:rFonts w:ascii="Noto Serif" w:hAnsi="Noto Serif" w:eastAsia="Noto Serif"/>
          <w:sz w:val="18"/>
        </w:rPr>
        <w:t xml:space="preserve">$4.3 billion over fiscal years 2027 through 2031.</w:t>
      </w:r>
    </w:p>
    <w:p>
      <w:pPr>
        <w:pStyle w:val="Compact"/>
        <w:widowControl/>
        <w:numPr>
          <w:ilvl w:val="0"/>
          <w:numId w:val="1132"/>
        </w:numPr>
        <w:spacing w:after="30" w:line="245" w:lineRule="auto"/>
      </w:pPr>
      <w:r>
        <w:rPr>
          <w:rFonts w:ascii="Noto Serif" w:hAnsi="Noto Serif" w:eastAsia="Noto Serif"/>
          <w:b/>
          <w:bCs/>
          <w:sz w:val="18"/>
        </w:rPr>
        <w:t xml:space="preserve">Election resilience:</w:t>
      </w:r>
      <w:r>
        <w:rPr>
          <w:rFonts w:ascii="Noto Serif" w:hAnsi="Noto Serif" w:eastAsia="Noto Serif"/>
          <w:sz w:val="18"/>
        </w:rPr>
        <w:t xml:space="preserve"> </w:t>
      </w:r>
      <w:r>
        <w:rPr>
          <w:rFonts w:ascii="Noto Serif" w:hAnsi="Noto Serif" w:eastAsia="Noto Serif"/>
          <w:sz w:val="18"/>
        </w:rPr>
        <w:t xml:space="preserve">$18.5 billion over fiscal years 2027 through 2036.</w:t>
      </w:r>
    </w:p>
    <w:p>
      <w:pPr>
        <w:pStyle w:val="Compact"/>
        <w:widowControl/>
        <w:numPr>
          <w:ilvl w:val="0"/>
          <w:numId w:val="1132"/>
        </w:numPr>
        <w:spacing w:after="30" w:line="245" w:lineRule="auto"/>
      </w:pPr>
      <w:r>
        <w:rPr>
          <w:rFonts w:ascii="Noto Serif" w:hAnsi="Noto Serif" w:eastAsia="Noto Serif"/>
          <w:b/>
          <w:bCs/>
          <w:sz w:val="18"/>
        </w:rPr>
        <w:t xml:space="preserve">EPA, climate, monitoring, and remediation capacity:</w:t>
      </w:r>
      <w:r>
        <w:rPr>
          <w:rFonts w:ascii="Noto Serif" w:hAnsi="Noto Serif" w:eastAsia="Noto Serif"/>
          <w:sz w:val="18"/>
        </w:rPr>
        <w:t xml:space="preserve"> </w:t>
      </w:r>
      <w:r>
        <w:rPr>
          <w:rFonts w:ascii="Noto Serif" w:hAnsi="Noto Serif" w:eastAsia="Noto Serif"/>
          <w:sz w:val="18"/>
        </w:rPr>
        <w:t xml:space="preserve">$90 billion over fiscal years 2027 through 2031.</w:t>
      </w:r>
    </w:p>
    <w:p>
      <w:pPr>
        <w:pStyle w:val="Compact"/>
        <w:widowControl/>
        <w:numPr>
          <w:ilvl w:val="0"/>
          <w:numId w:val="1132"/>
        </w:numPr>
        <w:spacing w:after="30" w:line="245" w:lineRule="auto"/>
      </w:pPr>
      <w:r>
        <w:rPr>
          <w:rFonts w:ascii="Noto Serif" w:hAnsi="Noto Serif" w:eastAsia="Noto Serif"/>
          <w:b/>
          <w:bCs/>
          <w:sz w:val="18"/>
        </w:rPr>
        <w:t xml:space="preserve">Grid, transmission, storage, resilience, and public and Tribal energy:</w:t>
      </w:r>
      <w:r>
        <w:rPr>
          <w:rFonts w:ascii="Noto Serif" w:hAnsi="Noto Serif" w:eastAsia="Noto Serif"/>
          <w:sz w:val="18"/>
        </w:rPr>
        <w:t xml:space="preserve"> </w:t>
      </w:r>
      <w:r>
        <w:rPr>
          <w:rFonts w:ascii="Noto Serif" w:hAnsi="Noto Serif" w:eastAsia="Noto Serif"/>
          <w:sz w:val="18"/>
        </w:rPr>
        <w:t xml:space="preserve">$200 billion over fiscal years 2027 through 2036.</w:t>
      </w:r>
    </w:p>
    <w:p>
      <w:pPr>
        <w:pStyle w:val="Compact"/>
        <w:widowControl/>
        <w:numPr>
          <w:ilvl w:val="0"/>
          <w:numId w:val="1132"/>
        </w:numPr>
        <w:spacing w:after="30" w:line="245" w:lineRule="auto"/>
      </w:pPr>
      <w:r>
        <w:rPr>
          <w:rFonts w:ascii="Noto Serif" w:hAnsi="Noto Serif" w:eastAsia="Noto Serif"/>
          <w:b/>
          <w:bCs/>
          <w:sz w:val="18"/>
        </w:rPr>
        <w:t xml:space="preserve">USAID and related development and humanitarian accounts:</w:t>
      </w:r>
      <w:r>
        <w:rPr>
          <w:rFonts w:ascii="Noto Serif" w:hAnsi="Noto Serif" w:eastAsia="Noto Serif"/>
          <w:sz w:val="18"/>
        </w:rPr>
        <w:t xml:space="preserve"> </w:t>
      </w:r>
      <w:r>
        <w:rPr>
          <w:rFonts w:ascii="Noto Serif" w:hAnsi="Noto Serif" w:eastAsia="Noto Serif"/>
          <w:sz w:val="18"/>
        </w:rPr>
        <w:t xml:space="preserve">approximately $825 billion over fiscal years 2027 through 2036 under the stated 3-percent annual growth path.</w:t>
      </w:r>
    </w:p>
    <w:p>
      <w:pPr>
        <w:pStyle w:val="Compact"/>
        <w:widowControl/>
        <w:numPr>
          <w:ilvl w:val="0"/>
          <w:numId w:val="1132"/>
        </w:numPr>
        <w:spacing w:after="30" w:line="245" w:lineRule="auto"/>
      </w:pPr>
      <w:r>
        <w:rPr>
          <w:rFonts w:ascii="Noto Serif" w:hAnsi="Noto Serif" w:eastAsia="Noto Serif"/>
          <w:b/>
          <w:bCs/>
          <w:sz w:val="18"/>
        </w:rPr>
        <w:t xml:space="preserve">Restoration Claims Commission:</w:t>
      </w:r>
      <w:r>
        <w:rPr>
          <w:rFonts w:ascii="Noto Serif" w:hAnsi="Noto Serif" w:eastAsia="Noto Serif"/>
          <w:sz w:val="18"/>
        </w:rPr>
        <w:t xml:space="preserve"> </w:t>
      </w:r>
      <w:r>
        <w:rPr>
          <w:rFonts w:ascii="Noto Serif" w:hAnsi="Noto Serif" w:eastAsia="Noto Serif"/>
          <w:sz w:val="18"/>
        </w:rPr>
        <w:t xml:space="preserve">$15 billion initial authorization plus such sums as necessary through fiscal year 2036.</w:t>
      </w:r>
    </w:p>
    <w:p>
      <w:pPr>
        <w:pStyle w:val="Compact"/>
        <w:widowControl/>
        <w:numPr>
          <w:ilvl w:val="0"/>
          <w:numId w:val="1132"/>
        </w:numPr>
        <w:spacing w:after="30" w:line="245" w:lineRule="auto"/>
      </w:pPr>
      <w:r>
        <w:rPr>
          <w:rFonts w:ascii="Noto Serif" w:hAnsi="Noto Serif" w:eastAsia="Noto Serif"/>
          <w:b/>
          <w:bCs/>
          <w:sz w:val="18"/>
        </w:rPr>
        <w:t xml:space="preserve">American Restoration and Resilience Fund:</w:t>
      </w:r>
      <w:r>
        <w:rPr>
          <w:rFonts w:ascii="Noto Serif" w:hAnsi="Noto Serif" w:eastAsia="Noto Serif"/>
          <w:sz w:val="18"/>
        </w:rPr>
        <w:t xml:space="preserve"> </w:t>
      </w:r>
      <w:r>
        <w:rPr>
          <w:rFonts w:ascii="Noto Serif" w:hAnsi="Noto Serif" w:eastAsia="Noto Serif"/>
          <w:sz w:val="18"/>
        </w:rPr>
        <w:t xml:space="preserve">$225 billion over fiscal years 2027 through 2031.</w:t>
      </w:r>
    </w:p>
    <w:p>
      <w:pPr>
        <w:pStyle w:val="Compact"/>
        <w:widowControl/>
        <w:numPr>
          <w:ilvl w:val="0"/>
          <w:numId w:val="1132"/>
        </w:numPr>
        <w:spacing w:after="30" w:line="245" w:lineRule="auto"/>
      </w:pPr>
      <w:r>
        <w:rPr>
          <w:rFonts w:ascii="Noto Serif" w:hAnsi="Noto Serif" w:eastAsia="Noto Serif"/>
          <w:b/>
          <w:bCs/>
          <w:sz w:val="18"/>
        </w:rPr>
        <w:t xml:space="preserve">Education, health, labor, consumer, housing, privacy, civil rights, lands, and agency reconstitution:</w:t>
      </w:r>
      <w:r>
        <w:rPr>
          <w:rFonts w:ascii="Noto Serif" w:hAnsi="Noto Serif" w:eastAsia="Noto Serif"/>
          <w:sz w:val="18"/>
        </w:rPr>
        <w:t xml:space="preserve"> </w:t>
      </w:r>
      <w:r>
        <w:rPr>
          <w:rFonts w:ascii="Noto Serif" w:hAnsi="Noto Serif" w:eastAsia="Noto Serif"/>
          <w:sz w:val="18"/>
        </w:rPr>
        <w:t xml:space="preserve">subject to annual appropriations and companion legislation and modeled below.</w:t>
      </w:r>
    </w:p>
    <w:bookmarkEnd w:id="419"/>
    <w:bookmarkStart w:id="420" w:name="estimated-budget-windows"/>
    <w:p>
      <w:pPr>
        <w:pStyle w:val="Heading2"/>
        <w:keepNext/>
        <w:spacing w:before="160" w:after="60"/>
      </w:pPr>
      <w:r>
        <w:rPr>
          <w:rFonts w:ascii="Inter" w:hAnsi="Inter" w:eastAsia="Inter"/>
          <w:b/>
          <w:color w:val="1F3F5B"/>
          <w:sz w:val="23"/>
        </w:rPr>
        <w:t xml:space="preserve">Estimated budget windows</w:t>
      </w:r>
    </w:p>
    <w:p>
      <w:pPr>
        <w:pStyle w:val="Compact"/>
        <w:widowControl/>
        <w:numPr>
          <w:ilvl w:val="0"/>
          <w:numId w:val="1133"/>
        </w:numPr>
        <w:spacing w:after="30" w:line="245" w:lineRule="auto"/>
      </w:pPr>
      <w:r>
        <w:rPr>
          <w:rFonts w:ascii="Noto Serif" w:hAnsi="Noto Serif" w:eastAsia="Noto Serif"/>
          <w:b/>
          <w:bCs/>
          <w:sz w:val="18"/>
        </w:rPr>
        <w:t xml:space="preserve">One-year window:</w:t>
      </w:r>
      <w:r>
        <w:rPr>
          <w:rFonts w:ascii="Noto Serif" w:hAnsi="Noto Serif" w:eastAsia="Noto Serif"/>
          <w:sz w:val="18"/>
        </w:rPr>
        <w:t xml:space="preserve"> </w:t>
      </w:r>
      <w:r>
        <w:rPr>
          <w:rFonts w:ascii="Noto Serif" w:hAnsi="Noto Serif" w:eastAsia="Noto Serif"/>
          <w:sz w:val="18"/>
        </w:rPr>
        <w:t xml:space="preserve">Base case of approximately $335 billion; plausible range $280-$395 billion. This includes the initial Restoration Fund, USAID, agency reconstitution, grants, claims, grid, environment, and election systems.</w:t>
      </w:r>
    </w:p>
    <w:p>
      <w:pPr>
        <w:pStyle w:val="Compact"/>
        <w:widowControl/>
        <w:numPr>
          <w:ilvl w:val="0"/>
          <w:numId w:val="1133"/>
        </w:numPr>
        <w:spacing w:after="30" w:line="245" w:lineRule="auto"/>
      </w:pPr>
      <w:r>
        <w:rPr>
          <w:rFonts w:ascii="Noto Serif" w:hAnsi="Noto Serif" w:eastAsia="Noto Serif"/>
          <w:b/>
          <w:bCs/>
          <w:sz w:val="18"/>
        </w:rPr>
        <w:t xml:space="preserve">Five-year window:</w:t>
      </w:r>
      <w:r>
        <w:rPr>
          <w:rFonts w:ascii="Noto Serif" w:hAnsi="Noto Serif" w:eastAsia="Noto Serif"/>
          <w:sz w:val="18"/>
        </w:rPr>
        <w:t xml:space="preserve"> </w:t>
      </w:r>
      <w:r>
        <w:rPr>
          <w:rFonts w:ascii="Noto Serif" w:hAnsi="Noto Serif" w:eastAsia="Noto Serif"/>
          <w:sz w:val="18"/>
        </w:rPr>
        <w:t xml:space="preserve">Base case of approximately $1.38 trillion; plausible range $1.20-$1.55 trillion. This reflects ramp-up, major grants and infrastructure, workforce rebuilding, environmental cleanup, and claims.</w:t>
      </w:r>
    </w:p>
    <w:p>
      <w:pPr>
        <w:pStyle w:val="Compact"/>
        <w:widowControl/>
        <w:numPr>
          <w:ilvl w:val="0"/>
          <w:numId w:val="1133"/>
        </w:numPr>
        <w:spacing w:after="30" w:line="245" w:lineRule="auto"/>
      </w:pPr>
      <w:r>
        <w:rPr>
          <w:rFonts w:ascii="Noto Serif" w:hAnsi="Noto Serif" w:eastAsia="Noto Serif"/>
          <w:b/>
          <w:bCs/>
          <w:sz w:val="18"/>
        </w:rPr>
        <w:t xml:space="preserve">Ten-year window:</w:t>
      </w:r>
      <w:r>
        <w:rPr>
          <w:rFonts w:ascii="Noto Serif" w:hAnsi="Noto Serif" w:eastAsia="Noto Serif"/>
          <w:sz w:val="18"/>
        </w:rPr>
        <w:t xml:space="preserve"> </w:t>
      </w:r>
      <w:r>
        <w:rPr>
          <w:rFonts w:ascii="Noto Serif" w:hAnsi="Noto Serif" w:eastAsia="Noto Serif"/>
          <w:sz w:val="18"/>
        </w:rPr>
        <w:t xml:space="preserve">Base case of approximately $2.53 trillion; plausible range $2.25-$2.85 trillion. This includes a decade of USAID, grid, and election authority, with later domestic appropriations assumed to stabilize.</w:t>
      </w:r>
    </w:p>
    <w:p>
      <w:pPr>
        <w:pStyle w:val="Compact"/>
        <w:widowControl/>
        <w:numPr>
          <w:ilvl w:val="0"/>
          <w:numId w:val="1133"/>
        </w:numPr>
        <w:spacing w:after="30" w:line="245" w:lineRule="auto"/>
      </w:pPr>
      <w:r>
        <w:rPr>
          <w:rFonts w:ascii="Noto Serif" w:hAnsi="Noto Serif" w:eastAsia="Noto Serif"/>
          <w:b/>
          <w:bCs/>
          <w:sz w:val="18"/>
        </w:rPr>
        <w:t xml:space="preserve">Thirty-year window, constant 2026 dollars:</w:t>
      </w:r>
      <w:r>
        <w:rPr>
          <w:rFonts w:ascii="Noto Serif" w:hAnsi="Noto Serif" w:eastAsia="Noto Serif"/>
          <w:sz w:val="18"/>
        </w:rPr>
        <w:t xml:space="preserve"> </w:t>
      </w:r>
      <w:r>
        <w:rPr>
          <w:rFonts w:ascii="Noto Serif" w:hAnsi="Noto Serif" w:eastAsia="Noto Serif"/>
          <w:sz w:val="18"/>
        </w:rPr>
        <w:t xml:space="preserve">Base scenario of approximately $6.8 trillion; plausible range $5.5-$8.8 trillion. This is a scenario estimate, not an authorization for all years.</w:t>
      </w:r>
    </w:p>
    <w:p>
      <w:pPr>
        <w:pStyle w:val="Compact"/>
        <w:widowControl/>
        <w:numPr>
          <w:ilvl w:val="0"/>
          <w:numId w:val="1133"/>
        </w:numPr>
        <w:spacing w:after="30" w:line="245" w:lineRule="auto"/>
      </w:pPr>
      <w:r>
        <w:rPr>
          <w:rFonts w:ascii="Noto Serif" w:hAnsi="Noto Serif" w:eastAsia="Noto Serif"/>
          <w:b/>
          <w:bCs/>
          <w:sz w:val="18"/>
        </w:rPr>
        <w:t xml:space="preserve">Thirty-year window, nominal dollars:</w:t>
      </w:r>
      <w:r>
        <w:rPr>
          <w:rFonts w:ascii="Noto Serif" w:hAnsi="Noto Serif" w:eastAsia="Noto Serif"/>
          <w:sz w:val="18"/>
        </w:rPr>
        <w:t xml:space="preserve"> </w:t>
      </w:r>
      <w:r>
        <w:rPr>
          <w:rFonts w:ascii="Noto Serif" w:hAnsi="Noto Serif" w:eastAsia="Noto Serif"/>
          <w:sz w:val="18"/>
        </w:rPr>
        <w:t xml:space="preserve">Base scenario of approximately $10.5 trillion; plausible range $8.0-$15.0 trillion, assuming long-run inflation near 2.2-2.5 percent.</w:t>
      </w:r>
    </w:p>
    <w:bookmarkEnd w:id="420"/>
    <w:bookmarkStart w:id="421" w:name="potential-offsets-and-avoided-costs"/>
    <w:p>
      <w:pPr>
        <w:pStyle w:val="Heading2"/>
        <w:keepNext/>
        <w:spacing w:before="160" w:after="60"/>
      </w:pPr>
      <w:r>
        <w:rPr>
          <w:rFonts w:ascii="Inter" w:hAnsi="Inter" w:eastAsia="Inter"/>
          <w:b/>
          <w:color w:val="1F3F5B"/>
          <w:sz w:val="23"/>
        </w:rPr>
        <w:t xml:space="preserve">Potential offsets and avoided costs</w:t>
      </w:r>
    </w:p>
    <w:p>
      <w:pPr>
        <w:pStyle w:val="FirstParagraph"/>
        <w:widowControl/>
        <w:spacing w:after="60" w:line="250" w:lineRule="auto"/>
      </w:pPr>
      <w:r>
        <w:rPr>
          <w:rFonts w:ascii="Noto Serif" w:hAnsi="Noto Serif" w:eastAsia="Noto Serif"/>
          <w:sz w:val="19"/>
        </w:rPr>
        <w:t xml:space="preserve">Potential offsets should not be overstated. Plausible categories include:</w:t>
      </w:r>
    </w:p>
    <w:p>
      <w:pPr>
        <w:pStyle w:val="Compact"/>
        <w:widowControl/>
        <w:numPr>
          <w:ilvl w:val="0"/>
          <w:numId w:val="1134"/>
        </w:numPr>
        <w:spacing w:after="30" w:line="245" w:lineRule="auto"/>
      </w:pPr>
      <w:r>
        <w:rPr>
          <w:rFonts w:ascii="Noto Serif" w:hAnsi="Noto Serif" w:eastAsia="Noto Serif"/>
          <w:b/>
          <w:bCs/>
          <w:sz w:val="18"/>
        </w:rPr>
        <w:t xml:space="preserve">Tax compliance and service modernization:</w:t>
      </w:r>
      <w:r>
        <w:rPr>
          <w:rFonts w:ascii="Noto Serif" w:hAnsi="Noto Serif" w:eastAsia="Noto Serif"/>
          <w:sz w:val="18"/>
        </w:rPr>
        <w:t xml:space="preserve"> </w:t>
      </w:r>
      <w:r>
        <w:rPr>
          <w:rFonts w:ascii="Noto Serif" w:hAnsi="Noto Serif" w:eastAsia="Noto Serif"/>
          <w:sz w:val="18"/>
        </w:rPr>
        <w:t xml:space="preserve">$25-$70 billion annually at mature implementation, depending on enacted tax law, staffing, technology, and enforcement yield.</w:t>
      </w:r>
    </w:p>
    <w:p>
      <w:pPr>
        <w:pStyle w:val="Compact"/>
        <w:widowControl/>
        <w:numPr>
          <w:ilvl w:val="0"/>
          <w:numId w:val="1134"/>
        </w:numPr>
        <w:spacing w:after="30" w:line="245" w:lineRule="auto"/>
      </w:pPr>
      <w:r>
        <w:rPr>
          <w:rFonts w:ascii="Noto Serif" w:hAnsi="Noto Serif" w:eastAsia="Noto Serif"/>
          <w:b/>
          <w:bCs/>
          <w:sz w:val="18"/>
        </w:rPr>
        <w:t xml:space="preserve">Procurement, improper-payment, and fraud prevention:</w:t>
      </w:r>
      <w:r>
        <w:rPr>
          <w:rFonts w:ascii="Noto Serif" w:hAnsi="Noto Serif" w:eastAsia="Noto Serif"/>
          <w:sz w:val="18"/>
        </w:rPr>
        <w:t xml:space="preserve"> </w:t>
      </w:r>
      <w:r>
        <w:rPr>
          <w:rFonts w:ascii="Noto Serif" w:hAnsi="Noto Serif" w:eastAsia="Noto Serif"/>
          <w:sz w:val="18"/>
        </w:rPr>
        <w:t xml:space="preserve">$15-$45 billion annually, with strict protection against counting benefit denials as savings.</w:t>
      </w:r>
    </w:p>
    <w:p>
      <w:pPr>
        <w:pStyle w:val="Compact"/>
        <w:widowControl/>
        <w:numPr>
          <w:ilvl w:val="0"/>
          <w:numId w:val="1134"/>
        </w:numPr>
        <w:spacing w:after="30" w:line="245" w:lineRule="auto"/>
      </w:pPr>
      <w:r>
        <w:rPr>
          <w:rFonts w:ascii="Noto Serif" w:hAnsi="Noto Serif" w:eastAsia="Noto Serif"/>
          <w:b/>
          <w:bCs/>
          <w:sz w:val="18"/>
        </w:rPr>
        <w:t xml:space="preserve">Fair-value royalties, bonding, and responsible-party recovery:</w:t>
      </w:r>
      <w:r>
        <w:rPr>
          <w:rFonts w:ascii="Noto Serif" w:hAnsi="Noto Serif" w:eastAsia="Noto Serif"/>
          <w:sz w:val="18"/>
        </w:rPr>
        <w:t xml:space="preserve"> </w:t>
      </w:r>
      <w:r>
        <w:rPr>
          <w:rFonts w:ascii="Noto Serif" w:hAnsi="Noto Serif" w:eastAsia="Noto Serif"/>
          <w:sz w:val="18"/>
        </w:rPr>
        <w:t xml:space="preserve">$5-$18 billion annually plus avoided cleanup liabilities.</w:t>
      </w:r>
    </w:p>
    <w:p>
      <w:pPr>
        <w:pStyle w:val="Compact"/>
        <w:widowControl/>
        <w:numPr>
          <w:ilvl w:val="0"/>
          <w:numId w:val="1134"/>
        </w:numPr>
        <w:spacing w:after="30" w:line="245" w:lineRule="auto"/>
      </w:pPr>
      <w:r>
        <w:rPr>
          <w:rFonts w:ascii="Noto Serif" w:hAnsi="Noto Serif" w:eastAsia="Noto Serif"/>
          <w:b/>
          <w:bCs/>
          <w:sz w:val="18"/>
        </w:rPr>
        <w:t xml:space="preserve">Energy efficiency, grid reliability, and health benefits:</w:t>
      </w:r>
      <w:r>
        <w:rPr>
          <w:rFonts w:ascii="Noto Serif" w:hAnsi="Noto Serif" w:eastAsia="Noto Serif"/>
          <w:sz w:val="18"/>
        </w:rPr>
        <w:t xml:space="preserve"> </w:t>
      </w:r>
      <w:r>
        <w:rPr>
          <w:rFonts w:ascii="Noto Serif" w:hAnsi="Noto Serif" w:eastAsia="Noto Serif"/>
          <w:sz w:val="18"/>
        </w:rPr>
        <w:t xml:space="preserve">substantial economy-wide savings, but many do not score as direct Federal receipts.</w:t>
      </w:r>
    </w:p>
    <w:p>
      <w:pPr>
        <w:pStyle w:val="Compact"/>
        <w:widowControl/>
        <w:numPr>
          <w:ilvl w:val="0"/>
          <w:numId w:val="1134"/>
        </w:numPr>
        <w:spacing w:after="30" w:line="245" w:lineRule="auto"/>
      </w:pPr>
      <w:r>
        <w:rPr>
          <w:rFonts w:ascii="Noto Serif" w:hAnsi="Noto Serif" w:eastAsia="Noto Serif"/>
          <w:b/>
          <w:bCs/>
          <w:sz w:val="18"/>
        </w:rPr>
        <w:t xml:space="preserve">Reduced disaster, pollution, disease, and litigation costs:</w:t>
      </w:r>
      <w:r>
        <w:rPr>
          <w:rFonts w:ascii="Noto Serif" w:hAnsi="Noto Serif" w:eastAsia="Noto Serif"/>
          <w:sz w:val="18"/>
        </w:rPr>
        <w:t xml:space="preserve"> </w:t>
      </w:r>
      <w:r>
        <w:rPr>
          <w:rFonts w:ascii="Noto Serif" w:hAnsi="Noto Serif" w:eastAsia="Noto Serif"/>
          <w:sz w:val="18"/>
        </w:rPr>
        <w:t xml:space="preserve">potentially large but uncertain and realized over long horizons.</w:t>
      </w:r>
    </w:p>
    <w:p>
      <w:pPr>
        <w:pStyle w:val="Compact"/>
        <w:widowControl/>
        <w:numPr>
          <w:ilvl w:val="0"/>
          <w:numId w:val="1134"/>
        </w:numPr>
        <w:spacing w:after="30" w:line="245" w:lineRule="auto"/>
      </w:pPr>
      <w:r>
        <w:rPr>
          <w:rFonts w:ascii="Noto Serif" w:hAnsi="Noto Serif" w:eastAsia="Noto Serif"/>
          <w:b/>
          <w:bCs/>
          <w:sz w:val="18"/>
        </w:rPr>
        <w:t xml:space="preserve">Reduction of unjustified tax expenditures and subsidies:</w:t>
      </w:r>
      <w:r>
        <w:rPr>
          <w:rFonts w:ascii="Noto Serif" w:hAnsi="Noto Serif" w:eastAsia="Noto Serif"/>
          <w:sz w:val="18"/>
        </w:rPr>
        <w:t xml:space="preserve"> </w:t>
      </w:r>
      <w:r>
        <w:rPr>
          <w:rFonts w:ascii="Noto Serif" w:hAnsi="Noto Serif" w:eastAsia="Noto Serif"/>
          <w:sz w:val="18"/>
        </w:rPr>
        <w:t xml:space="preserve">depends entirely on separate revenue provisions and should not be assumed without enacted changes.</w:t>
      </w:r>
    </w:p>
    <w:bookmarkEnd w:id="421"/>
    <w:bookmarkStart w:id="422" w:name="distributional-effects"/>
    <w:p>
      <w:pPr>
        <w:pStyle w:val="Heading2"/>
        <w:keepNext/>
        <w:spacing w:before="160" w:after="60"/>
      </w:pPr>
      <w:r>
        <w:rPr>
          <w:rFonts w:ascii="Inter" w:hAnsi="Inter" w:eastAsia="Inter"/>
          <w:b/>
          <w:color w:val="1F3F5B"/>
          <w:sz w:val="23"/>
        </w:rPr>
        <w:t xml:space="preserve">Distributional effects</w:t>
      </w:r>
    </w:p>
    <w:p>
      <w:pPr>
        <w:pStyle w:val="Compact"/>
        <w:widowControl/>
        <w:numPr>
          <w:ilvl w:val="0"/>
          <w:numId w:val="1135"/>
        </w:numPr>
        <w:spacing w:after="30" w:line="245" w:lineRule="auto"/>
      </w:pPr>
      <w:r>
        <w:rPr>
          <w:rFonts w:ascii="Noto Serif" w:hAnsi="Noto Serif" w:eastAsia="Noto Serif"/>
          <w:b/>
          <w:bCs/>
          <w:sz w:val="18"/>
        </w:rPr>
        <w:t xml:space="preserve">Primary beneficiaries:</w:t>
      </w:r>
      <w:r>
        <w:rPr>
          <w:rFonts w:ascii="Noto Serif" w:hAnsi="Noto Serif" w:eastAsia="Noto Serif"/>
          <w:sz w:val="18"/>
        </w:rPr>
        <w:t xml:space="preserve"> </w:t>
      </w:r>
      <w:r>
        <w:rPr>
          <w:rFonts w:ascii="Noto Serif" w:hAnsi="Noto Serif" w:eastAsia="Noto Serif"/>
          <w:sz w:val="18"/>
        </w:rPr>
        <w:t xml:space="preserve">voters facing access barriers; Federal beneficiaries and service users; low-income and pollution-burdened communities; workers; consumers; refugees and humanitarian populations; States, Tribes, and local governments; public-interest scientists; and communities hosting major infrastructure.</w:t>
      </w:r>
    </w:p>
    <w:p>
      <w:pPr>
        <w:pStyle w:val="Compact"/>
        <w:widowControl/>
        <w:numPr>
          <w:ilvl w:val="0"/>
          <w:numId w:val="1135"/>
        </w:numPr>
        <w:spacing w:after="30" w:line="245" w:lineRule="auto"/>
      </w:pPr>
      <w:r>
        <w:rPr>
          <w:rFonts w:ascii="Noto Serif" w:hAnsi="Noto Serif" w:eastAsia="Noto Serif"/>
          <w:b/>
          <w:bCs/>
          <w:sz w:val="18"/>
        </w:rPr>
        <w:t xml:space="preserve">Principal compliance costs:</w:t>
      </w:r>
      <w:r>
        <w:rPr>
          <w:rFonts w:ascii="Noto Serif" w:hAnsi="Noto Serif" w:eastAsia="Noto Serif"/>
          <w:sz w:val="18"/>
        </w:rPr>
        <w:t xml:space="preserve"> </w:t>
      </w:r>
      <w:r>
        <w:rPr>
          <w:rFonts w:ascii="Noto Serif" w:hAnsi="Noto Serif" w:eastAsia="Noto Serif"/>
          <w:sz w:val="18"/>
        </w:rPr>
        <w:t xml:space="preserve">major data centers, Federal contractors, data brokers, high-risk security recipients, extractive lessees, regulated polluters, and agencies rebuilding compliance systems.</w:t>
      </w:r>
    </w:p>
    <w:p>
      <w:pPr>
        <w:pStyle w:val="Compact"/>
        <w:widowControl/>
        <w:numPr>
          <w:ilvl w:val="0"/>
          <w:numId w:val="1135"/>
        </w:numPr>
        <w:spacing w:after="30" w:line="245" w:lineRule="auto"/>
      </w:pPr>
      <w:r>
        <w:rPr>
          <w:rFonts w:ascii="Noto Serif" w:hAnsi="Noto Serif" w:eastAsia="Noto Serif"/>
          <w:b/>
          <w:bCs/>
          <w:sz w:val="18"/>
        </w:rPr>
        <w:t xml:space="preserve">Cost shifting prevented:</w:t>
      </w:r>
      <w:r>
        <w:rPr>
          <w:rFonts w:ascii="Noto Serif" w:hAnsi="Noto Serif" w:eastAsia="Noto Serif"/>
          <w:sz w:val="18"/>
        </w:rPr>
        <w:t xml:space="preserve"> </w:t>
      </w:r>
      <w:r>
        <w:rPr>
          <w:rFonts w:ascii="Noto Serif" w:hAnsi="Noto Serif" w:eastAsia="Noto Serif"/>
          <w:sz w:val="18"/>
        </w:rPr>
        <w:t xml:space="preserve">the bill expressly limits shifting data-center grid costs to households, Federal program costs to States without support, cleanup costs to the public, and</w:t>
      </w:r>
      <w:r>
        <w:rPr>
          <w:rFonts w:ascii="Noto Serif" w:hAnsi="Noto Serif" w:eastAsia="Noto Serif"/>
          <w:sz w:val="18"/>
        </w:rPr>
        <w:t xml:space="preserve"> </w:t>
      </w:r>
      <w:r>
        <w:rPr>
          <w:rFonts w:ascii="Noto Serif" w:hAnsi="Noto Serif" w:eastAsia="Noto Serif"/>
          <w:sz w:val="18"/>
        </w:rPr>
        <w:t xml:space="preserve">“</w:t>
      </w:r>
      <w:r>
        <w:rPr>
          <w:rFonts w:ascii="Noto Serif" w:hAnsi="Noto Serif" w:eastAsia="Noto Serif"/>
          <w:sz w:val="18"/>
        </w:rPr>
        <w:t xml:space="preserve">savings</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produced by delaying legal obligations.</w:t>
      </w:r>
    </w:p>
    <w:bookmarkEnd w:id="422"/>
    <w:bookmarkStart w:id="423" w:name="sensitivity-cases"/>
    <w:p>
      <w:pPr>
        <w:pStyle w:val="Heading2"/>
        <w:keepNext/>
        <w:spacing w:before="160" w:after="60"/>
      </w:pPr>
      <w:r>
        <w:rPr>
          <w:rFonts w:ascii="Inter" w:hAnsi="Inter" w:eastAsia="Inter"/>
          <w:b/>
          <w:color w:val="1F3F5B"/>
          <w:sz w:val="23"/>
        </w:rPr>
        <w:t xml:space="preserve">Sensitivity cases</w:t>
      </w:r>
    </w:p>
    <w:p>
      <w:pPr>
        <w:pStyle w:val="FirstParagraph"/>
        <w:widowControl/>
        <w:spacing w:after="60" w:line="250" w:lineRule="auto"/>
      </w:pPr>
      <w:r>
        <w:rPr>
          <w:rFonts w:ascii="Noto Serif" w:hAnsi="Noto Serif" w:eastAsia="Noto Serif"/>
          <w:b/>
          <w:bCs/>
          <w:sz w:val="19"/>
        </w:rPr>
        <w:t xml:space="preserve">Lower-cost case:</w:t>
      </w:r>
      <w:r>
        <w:rPr>
          <w:rFonts w:ascii="Noto Serif" w:hAnsi="Noto Serif" w:eastAsia="Noto Serif"/>
          <w:sz w:val="19"/>
        </w:rPr>
        <w:t xml:space="preserve"> </w:t>
      </w:r>
      <w:r>
        <w:rPr>
          <w:rFonts w:ascii="Noto Serif" w:hAnsi="Noto Serif" w:eastAsia="Noto Serif"/>
          <w:sz w:val="19"/>
        </w:rPr>
        <w:t xml:space="preserve">Congress appropriates only emergency restoration, USAID continuity, elections, privacy, and agency staffing; companion infrastructure Acts carry major investments. Five-year outlays could fall below $1.1 trillion.</w:t>
      </w:r>
    </w:p>
    <w:p>
      <w:pPr>
        <w:pStyle w:val="BodyText"/>
        <w:widowControl/>
        <w:spacing w:after="60" w:line="250" w:lineRule="auto"/>
      </w:pPr>
      <w:r>
        <w:rPr>
          <w:rFonts w:ascii="Noto Serif" w:hAnsi="Noto Serif" w:eastAsia="Noto Serif"/>
          <w:b/>
          <w:bCs/>
          <w:sz w:val="19"/>
        </w:rPr>
        <w:t xml:space="preserve">Base case:</w:t>
      </w:r>
      <w:r>
        <w:rPr>
          <w:rFonts w:ascii="Noto Serif" w:hAnsi="Noto Serif" w:eastAsia="Noto Serif"/>
          <w:sz w:val="19"/>
        </w:rPr>
        <w:t xml:space="preserve"> </w:t>
      </w:r>
      <w:r>
        <w:rPr>
          <w:rFonts w:ascii="Noto Serif" w:hAnsi="Noto Serif" w:eastAsia="Noto Serif"/>
          <w:sz w:val="19"/>
        </w:rPr>
        <w:t xml:space="preserve">Congress funds the major authorizations, phases claims and remediation, and realizes moderate tax/procurement offsets. Five-year net budget effect could be approximately $1.0-$1.3 trillion.</w:t>
      </w:r>
    </w:p>
    <w:p>
      <w:pPr>
        <w:pStyle w:val="BodyText"/>
        <w:widowControl/>
        <w:spacing w:after="60" w:line="250" w:lineRule="auto"/>
      </w:pPr>
      <w:r>
        <w:rPr>
          <w:rFonts w:ascii="Noto Serif" w:hAnsi="Noto Serif" w:eastAsia="Noto Serif"/>
          <w:b/>
          <w:bCs/>
          <w:sz w:val="19"/>
        </w:rPr>
        <w:t xml:space="preserve">Higher-cost case:</w:t>
      </w:r>
      <w:r>
        <w:rPr>
          <w:rFonts w:ascii="Noto Serif" w:hAnsi="Noto Serif" w:eastAsia="Noto Serif"/>
          <w:sz w:val="19"/>
        </w:rPr>
        <w:t xml:space="preserve"> </w:t>
      </w:r>
      <w:r>
        <w:rPr>
          <w:rFonts w:ascii="Noto Serif" w:hAnsi="Noto Serif" w:eastAsia="Noto Serif"/>
          <w:sz w:val="19"/>
        </w:rPr>
        <w:t xml:space="preserve">courts validate broad claims, infrastructure costs escalate, environmental liabilities prove larger, and staffing recovery requires premium compensation. Five-year gross outlays could approach $1.7 trillion.</w:t>
      </w:r>
    </w:p>
    <w:bookmarkEnd w:id="423"/>
    <w:bookmarkEnd w:id="424"/>
    <w:bookmarkStart w:id="432" w:name="implementation-roadmap"/>
    <w:p>
      <w:pPr>
        <w:pStyle w:val="Heading1"/>
        <w:keepNext/>
        <w:pageBreakBefore/>
        <w:spacing w:before="0" w:after="180"/>
        <w:pBdr>
          <w:bottom w:val="single" w:sz="8" w:space="4" w:color="9EB0BF"/>
        </w:pBdr>
      </w:pPr>
      <w:r>
        <w:rPr>
          <w:rFonts w:ascii="Inter" w:hAnsi="Inter" w:eastAsia="Inter"/>
          <w:b/>
          <w:color w:val="142D48"/>
          <w:sz w:val="34"/>
        </w:rPr>
        <w:t xml:space="preserve">IMPLEMENTATION ROADMAP</w:t>
      </w:r>
    </w:p>
    <w:bookmarkStart w:id="425" w:name="days"/>
    <w:p>
      <w:pPr>
        <w:pStyle w:val="Heading2"/>
        <w:keepNext/>
        <w:spacing w:before="160" w:after="60"/>
      </w:pPr>
      <w:r>
        <w:rPr>
          <w:rFonts w:ascii="Inter" w:hAnsi="Inter" w:eastAsia="Inter"/>
          <w:b/>
          <w:color w:val="1F3F5B"/>
          <w:sz w:val="23"/>
        </w:rPr>
        <w:t xml:space="preserve">0-90 days</w:t>
      </w:r>
    </w:p>
    <w:p>
      <w:pPr>
        <w:pStyle w:val="Compact"/>
        <w:widowControl/>
        <w:numPr>
          <w:ilvl w:val="0"/>
          <w:numId w:val="1136"/>
        </w:numPr>
        <w:spacing w:after="30" w:line="245" w:lineRule="auto"/>
      </w:pPr>
      <w:r>
        <w:rPr>
          <w:rFonts w:ascii="Noto Serif" w:hAnsi="Noto Serif" w:eastAsia="Noto Serif"/>
          <w:sz w:val="18"/>
        </w:rPr>
        <w:t xml:space="preserve">Preserve records, credentials, databases, contracts, grants, leases, scientific files, and personnel records.</w:t>
      </w:r>
    </w:p>
    <w:p>
      <w:pPr>
        <w:pStyle w:val="Compact"/>
        <w:widowControl/>
        <w:numPr>
          <w:ilvl w:val="0"/>
          <w:numId w:val="1136"/>
        </w:numPr>
        <w:spacing w:after="30" w:line="245" w:lineRule="auto"/>
      </w:pPr>
      <w:r>
        <w:rPr>
          <w:rFonts w:ascii="Noto Serif" w:hAnsi="Noto Serif" w:eastAsia="Noto Serif"/>
          <w:sz w:val="18"/>
        </w:rPr>
        <w:t xml:space="preserve">Stand up the Restoration Council, OPEI transition team, Director’s office, Claims Commission, and interim public portal.</w:t>
      </w:r>
    </w:p>
    <w:p>
      <w:pPr>
        <w:pStyle w:val="Compact"/>
        <w:widowControl/>
        <w:numPr>
          <w:ilvl w:val="0"/>
          <w:numId w:val="1136"/>
        </w:numPr>
        <w:spacing w:after="30" w:line="245" w:lineRule="auto"/>
      </w:pPr>
      <w:r>
        <w:rPr>
          <w:rFonts w:ascii="Noto Serif" w:hAnsi="Noto Serif" w:eastAsia="Noto Serif"/>
          <w:sz w:val="18"/>
        </w:rPr>
        <w:t xml:space="preserve">Halt unlawful impoundments, prohibited personnel conversions, unauthorized bulk-data access, and destruction of evidence.</w:t>
      </w:r>
    </w:p>
    <w:p>
      <w:pPr>
        <w:pStyle w:val="Compact"/>
        <w:widowControl/>
        <w:numPr>
          <w:ilvl w:val="0"/>
          <w:numId w:val="1136"/>
        </w:numPr>
        <w:spacing w:after="30" w:line="245" w:lineRule="auto"/>
      </w:pPr>
      <w:r>
        <w:rPr>
          <w:rFonts w:ascii="Noto Serif" w:hAnsi="Noto Serif" w:eastAsia="Noto Serif"/>
          <w:sz w:val="18"/>
        </w:rPr>
        <w:t xml:space="preserve">Restore lifesaving foreign assistance and refugee continuity where funds and partners remain available.</w:t>
      </w:r>
    </w:p>
    <w:p>
      <w:pPr>
        <w:pStyle w:val="Compact"/>
        <w:widowControl/>
        <w:numPr>
          <w:ilvl w:val="0"/>
          <w:numId w:val="1136"/>
        </w:numPr>
        <w:spacing w:after="30" w:line="245" w:lineRule="auto"/>
      </w:pPr>
      <w:r>
        <w:rPr>
          <w:rFonts w:ascii="Noto Serif" w:hAnsi="Noto Serif" w:eastAsia="Noto Serif"/>
          <w:sz w:val="18"/>
        </w:rPr>
        <w:t xml:space="preserve">Identify urgent voting, civil-rights, public-health, environmental, education, and service-backlog risks.</w:t>
      </w:r>
    </w:p>
    <w:p>
      <w:pPr>
        <w:pStyle w:val="Compact"/>
        <w:widowControl/>
        <w:numPr>
          <w:ilvl w:val="0"/>
          <w:numId w:val="1136"/>
        </w:numPr>
        <w:spacing w:after="30" w:line="245" w:lineRule="auto"/>
      </w:pPr>
      <w:r>
        <w:rPr>
          <w:rFonts w:ascii="Noto Serif" w:hAnsi="Noto Serif" w:eastAsia="Noto Serif"/>
          <w:sz w:val="18"/>
        </w:rPr>
        <w:t xml:space="preserve">Submit emergency appropriations and apportionment plans.</w:t>
      </w:r>
    </w:p>
    <w:bookmarkEnd w:id="425"/>
    <w:bookmarkStart w:id="426" w:name="months"/>
    <w:p>
      <w:pPr>
        <w:pStyle w:val="Heading2"/>
        <w:keepNext/>
        <w:spacing w:before="160" w:after="60"/>
      </w:pPr>
      <w:r>
        <w:rPr>
          <w:rFonts w:ascii="Inter" w:hAnsi="Inter" w:eastAsia="Inter"/>
          <w:b/>
          <w:color w:val="1F3F5B"/>
          <w:sz w:val="23"/>
        </w:rPr>
        <w:t xml:space="preserve">3-6 months</w:t>
      </w:r>
    </w:p>
    <w:p>
      <w:pPr>
        <w:pStyle w:val="Compact"/>
        <w:widowControl/>
        <w:numPr>
          <w:ilvl w:val="0"/>
          <w:numId w:val="1137"/>
        </w:numPr>
        <w:spacing w:after="30" w:line="245" w:lineRule="auto"/>
      </w:pPr>
      <w:r>
        <w:rPr>
          <w:rFonts w:ascii="Noto Serif" w:hAnsi="Noto Serif" w:eastAsia="Noto Serif"/>
          <w:sz w:val="18"/>
        </w:rPr>
        <w:t xml:space="preserve">Complete agency inventories and high-risk preservation orders.</w:t>
      </w:r>
    </w:p>
    <w:p>
      <w:pPr>
        <w:pStyle w:val="Compact"/>
        <w:widowControl/>
        <w:numPr>
          <w:ilvl w:val="0"/>
          <w:numId w:val="1137"/>
        </w:numPr>
        <w:spacing w:after="30" w:line="245" w:lineRule="auto"/>
      </w:pPr>
      <w:r>
        <w:rPr>
          <w:rFonts w:ascii="Noto Serif" w:hAnsi="Noto Serif" w:eastAsia="Noto Serif"/>
          <w:sz w:val="18"/>
        </w:rPr>
        <w:t xml:space="preserve">Publish proposed rules for Federal data access, data centers, grant termination, staffing floors, immigration due process, and public-land review.</w:t>
      </w:r>
    </w:p>
    <w:p>
      <w:pPr>
        <w:pStyle w:val="Compact"/>
        <w:widowControl/>
        <w:numPr>
          <w:ilvl w:val="0"/>
          <w:numId w:val="1137"/>
        </w:numPr>
        <w:spacing w:after="30" w:line="245" w:lineRule="auto"/>
      </w:pPr>
      <w:r>
        <w:rPr>
          <w:rFonts w:ascii="Noto Serif" w:hAnsi="Noto Serif" w:eastAsia="Noto Serif"/>
          <w:sz w:val="18"/>
        </w:rPr>
        <w:t xml:space="preserve">Begin reemployment, rehiring, mission reopening, and contractor/grantee claims intake.</w:t>
      </w:r>
    </w:p>
    <w:p>
      <w:pPr>
        <w:pStyle w:val="Compact"/>
        <w:widowControl/>
        <w:numPr>
          <w:ilvl w:val="0"/>
          <w:numId w:val="1137"/>
        </w:numPr>
        <w:spacing w:after="30" w:line="245" w:lineRule="auto"/>
      </w:pPr>
      <w:r>
        <w:rPr>
          <w:rFonts w:ascii="Noto Serif" w:hAnsi="Noto Serif" w:eastAsia="Noto Serif"/>
          <w:sz w:val="18"/>
        </w:rPr>
        <w:t xml:space="preserve">Launch election resilience grants and USAID humanitarian surge mechanisms.</w:t>
      </w:r>
    </w:p>
    <w:p>
      <w:pPr>
        <w:pStyle w:val="Compact"/>
        <w:widowControl/>
        <w:numPr>
          <w:ilvl w:val="0"/>
          <w:numId w:val="1137"/>
        </w:numPr>
        <w:spacing w:after="30" w:line="245" w:lineRule="auto"/>
      </w:pPr>
      <w:r>
        <w:rPr>
          <w:rFonts w:ascii="Noto Serif" w:hAnsi="Noto Serif" w:eastAsia="Noto Serif"/>
          <w:sz w:val="18"/>
        </w:rPr>
        <w:t xml:space="preserve">Issue civil-rights and enforcement restoration priorities.</w:t>
      </w:r>
    </w:p>
    <w:bookmarkEnd w:id="426"/>
    <w:bookmarkStart w:id="427" w:name="months-1"/>
    <w:p>
      <w:pPr>
        <w:pStyle w:val="Heading2"/>
        <w:keepNext/>
        <w:spacing w:before="160" w:after="60"/>
      </w:pPr>
      <w:r>
        <w:rPr>
          <w:rFonts w:ascii="Inter" w:hAnsi="Inter" w:eastAsia="Inter"/>
          <w:b/>
          <w:color w:val="1F3F5B"/>
          <w:sz w:val="23"/>
        </w:rPr>
        <w:t xml:space="preserve">6-12 months</w:t>
      </w:r>
    </w:p>
    <w:p>
      <w:pPr>
        <w:pStyle w:val="Compact"/>
        <w:widowControl/>
        <w:numPr>
          <w:ilvl w:val="0"/>
          <w:numId w:val="1138"/>
        </w:numPr>
        <w:spacing w:after="30" w:line="245" w:lineRule="auto"/>
      </w:pPr>
      <w:r>
        <w:rPr>
          <w:rFonts w:ascii="Noto Serif" w:hAnsi="Noto Serif" w:eastAsia="Noto Serif"/>
          <w:sz w:val="18"/>
        </w:rPr>
        <w:t xml:space="preserve">Classify the first tranche of rollback actions.</w:t>
      </w:r>
    </w:p>
    <w:p>
      <w:pPr>
        <w:pStyle w:val="Compact"/>
        <w:widowControl/>
        <w:numPr>
          <w:ilvl w:val="0"/>
          <w:numId w:val="1138"/>
        </w:numPr>
        <w:spacing w:after="30" w:line="245" w:lineRule="auto"/>
      </w:pPr>
      <w:r>
        <w:rPr>
          <w:rFonts w:ascii="Noto Serif" w:hAnsi="Noto Serif" w:eastAsia="Noto Serif"/>
          <w:sz w:val="18"/>
        </w:rPr>
        <w:t xml:space="preserve">Begin obligation of Restoration Fund grants.</w:t>
      </w:r>
    </w:p>
    <w:p>
      <w:pPr>
        <w:pStyle w:val="Compact"/>
        <w:widowControl/>
        <w:numPr>
          <w:ilvl w:val="0"/>
          <w:numId w:val="1138"/>
        </w:numPr>
        <w:spacing w:after="30" w:line="245" w:lineRule="auto"/>
      </w:pPr>
      <w:r>
        <w:rPr>
          <w:rFonts w:ascii="Noto Serif" w:hAnsi="Noto Serif" w:eastAsia="Noto Serif"/>
          <w:sz w:val="18"/>
        </w:rPr>
        <w:t xml:space="preserve">Reopen or reconstitute priority USAID missions, EPA laboratories and enforcement units, Education offices, HHS surveillance and research functions, and labor/consumer field capacity.</w:t>
      </w:r>
    </w:p>
    <w:p>
      <w:pPr>
        <w:pStyle w:val="Compact"/>
        <w:widowControl/>
        <w:numPr>
          <w:ilvl w:val="0"/>
          <w:numId w:val="1138"/>
        </w:numPr>
        <w:spacing w:after="30" w:line="245" w:lineRule="auto"/>
      </w:pPr>
      <w:r>
        <w:rPr>
          <w:rFonts w:ascii="Noto Serif" w:hAnsi="Noto Serif" w:eastAsia="Noto Serif"/>
          <w:sz w:val="18"/>
        </w:rPr>
        <w:t xml:space="preserve">Publish National Grid Plan scoping and data-center impact methodology.</w:t>
      </w:r>
    </w:p>
    <w:p>
      <w:pPr>
        <w:pStyle w:val="Compact"/>
        <w:widowControl/>
        <w:numPr>
          <w:ilvl w:val="0"/>
          <w:numId w:val="1138"/>
        </w:numPr>
        <w:spacing w:after="30" w:line="245" w:lineRule="auto"/>
      </w:pPr>
      <w:r>
        <w:rPr>
          <w:rFonts w:ascii="Noto Serif" w:hAnsi="Noto Serif" w:eastAsia="Noto Serif"/>
          <w:sz w:val="18"/>
        </w:rPr>
        <w:t xml:space="preserve">Implement public dashboards, workforce metrics, and data-access audit logs.</w:t>
      </w:r>
    </w:p>
    <w:p>
      <w:pPr>
        <w:pStyle w:val="Compact"/>
        <w:widowControl/>
        <w:numPr>
          <w:ilvl w:val="0"/>
          <w:numId w:val="1138"/>
        </w:numPr>
        <w:spacing w:after="30" w:line="245" w:lineRule="auto"/>
      </w:pPr>
      <w:r>
        <w:rPr>
          <w:rFonts w:ascii="Noto Serif" w:hAnsi="Noto Serif" w:eastAsia="Noto Serif"/>
          <w:sz w:val="18"/>
        </w:rPr>
        <w:t xml:space="preserve">Begin environmental and Tribal remediation projects.</w:t>
      </w:r>
    </w:p>
    <w:bookmarkEnd w:id="427"/>
    <w:bookmarkStart w:id="428" w:name="year-2"/>
    <w:p>
      <w:pPr>
        <w:pStyle w:val="Heading2"/>
        <w:keepNext/>
        <w:spacing w:before="160" w:after="60"/>
      </w:pPr>
      <w:r>
        <w:rPr>
          <w:rFonts w:ascii="Inter" w:hAnsi="Inter" w:eastAsia="Inter"/>
          <w:b/>
          <w:color w:val="1F3F5B"/>
          <w:sz w:val="23"/>
        </w:rPr>
        <w:t xml:space="preserve">Year 2</w:t>
      </w:r>
    </w:p>
    <w:p>
      <w:pPr>
        <w:pStyle w:val="Compact"/>
        <w:widowControl/>
        <w:numPr>
          <w:ilvl w:val="0"/>
          <w:numId w:val="1139"/>
        </w:numPr>
        <w:spacing w:after="30" w:line="245" w:lineRule="auto"/>
      </w:pPr>
      <w:r>
        <w:rPr>
          <w:rFonts w:ascii="Noto Serif" w:hAnsi="Noto Serif" w:eastAsia="Noto Serif"/>
          <w:sz w:val="18"/>
        </w:rPr>
        <w:t xml:space="preserve">Complete all high-risk rollback reviews.</w:t>
      </w:r>
    </w:p>
    <w:p>
      <w:pPr>
        <w:pStyle w:val="Compact"/>
        <w:widowControl/>
        <w:numPr>
          <w:ilvl w:val="0"/>
          <w:numId w:val="1139"/>
        </w:numPr>
        <w:spacing w:after="30" w:line="245" w:lineRule="auto"/>
      </w:pPr>
      <w:r>
        <w:rPr>
          <w:rFonts w:ascii="Noto Serif" w:hAnsi="Noto Serif" w:eastAsia="Noto Serif"/>
          <w:sz w:val="18"/>
        </w:rPr>
        <w:t xml:space="preserve">Meet core staffing floors and service-level targets.</w:t>
      </w:r>
    </w:p>
    <w:p>
      <w:pPr>
        <w:pStyle w:val="Compact"/>
        <w:widowControl/>
        <w:numPr>
          <w:ilvl w:val="0"/>
          <w:numId w:val="1139"/>
        </w:numPr>
        <w:spacing w:after="30" w:line="245" w:lineRule="auto"/>
      </w:pPr>
      <w:r>
        <w:rPr>
          <w:rFonts w:ascii="Noto Serif" w:hAnsi="Noto Serif" w:eastAsia="Noto Serif"/>
          <w:sz w:val="18"/>
        </w:rPr>
        <w:t xml:space="preserve">Issue final rules for climate, clean water, data centers, data brokers, automated government decisions, grants, and civil-service protections.</w:t>
      </w:r>
    </w:p>
    <w:p>
      <w:pPr>
        <w:pStyle w:val="Compact"/>
        <w:widowControl/>
        <w:numPr>
          <w:ilvl w:val="0"/>
          <w:numId w:val="1139"/>
        </w:numPr>
        <w:spacing w:after="30" w:line="245" w:lineRule="auto"/>
      </w:pPr>
      <w:r>
        <w:rPr>
          <w:rFonts w:ascii="Noto Serif" w:hAnsi="Noto Serif" w:eastAsia="Noto Serif"/>
          <w:sz w:val="18"/>
        </w:rPr>
        <w:t xml:space="preserve">Resolve the first major claims cohorts.</w:t>
      </w:r>
    </w:p>
    <w:p>
      <w:pPr>
        <w:pStyle w:val="Compact"/>
        <w:widowControl/>
        <w:numPr>
          <w:ilvl w:val="0"/>
          <w:numId w:val="1139"/>
        </w:numPr>
        <w:spacing w:after="30" w:line="245" w:lineRule="auto"/>
      </w:pPr>
      <w:r>
        <w:rPr>
          <w:rFonts w:ascii="Noto Serif" w:hAnsi="Noto Serif" w:eastAsia="Noto Serif"/>
          <w:sz w:val="18"/>
        </w:rPr>
        <w:t xml:space="preserve">Achieve USAID continuity, partner diversification, and global-health restoration benchmarks.</w:t>
      </w:r>
    </w:p>
    <w:p>
      <w:pPr>
        <w:pStyle w:val="Compact"/>
        <w:widowControl/>
        <w:numPr>
          <w:ilvl w:val="0"/>
          <w:numId w:val="1139"/>
        </w:numPr>
        <w:spacing w:after="30" w:line="245" w:lineRule="auto"/>
      </w:pPr>
      <w:r>
        <w:rPr>
          <w:rFonts w:ascii="Noto Serif" w:hAnsi="Noto Serif" w:eastAsia="Noto Serif"/>
          <w:sz w:val="18"/>
        </w:rPr>
        <w:t xml:space="preserve">Deliver first GAO government-wide audit and corrective-action cycle.</w:t>
      </w:r>
    </w:p>
    <w:bookmarkEnd w:id="428"/>
    <w:bookmarkStart w:id="429" w:name="years-3-5"/>
    <w:p>
      <w:pPr>
        <w:pStyle w:val="Heading2"/>
        <w:keepNext/>
        <w:spacing w:before="160" w:after="60"/>
      </w:pPr>
      <w:r>
        <w:rPr>
          <w:rFonts w:ascii="Inter" w:hAnsi="Inter" w:eastAsia="Inter"/>
          <w:b/>
          <w:color w:val="1F3F5B"/>
          <w:sz w:val="23"/>
        </w:rPr>
        <w:t xml:space="preserve">Years 3-5</w:t>
      </w:r>
    </w:p>
    <w:p>
      <w:pPr>
        <w:pStyle w:val="Compact"/>
        <w:widowControl/>
        <w:numPr>
          <w:ilvl w:val="0"/>
          <w:numId w:val="1140"/>
        </w:numPr>
        <w:spacing w:after="30" w:line="245" w:lineRule="auto"/>
      </w:pPr>
      <w:r>
        <w:rPr>
          <w:rFonts w:ascii="Noto Serif" w:hAnsi="Noto Serif" w:eastAsia="Noto Serif"/>
          <w:sz w:val="18"/>
        </w:rPr>
        <w:t xml:space="preserve">Transition from emergency reconstitution to modernization and performance management.</w:t>
      </w:r>
    </w:p>
    <w:p>
      <w:pPr>
        <w:pStyle w:val="Compact"/>
        <w:widowControl/>
        <w:numPr>
          <w:ilvl w:val="0"/>
          <w:numId w:val="1140"/>
        </w:numPr>
        <w:spacing w:after="30" w:line="245" w:lineRule="auto"/>
      </w:pPr>
      <w:r>
        <w:rPr>
          <w:rFonts w:ascii="Noto Serif" w:hAnsi="Noto Serif" w:eastAsia="Noto Serif"/>
          <w:sz w:val="18"/>
        </w:rPr>
        <w:t xml:space="preserve">Complete major grid and public-infrastructure awards.</w:t>
      </w:r>
    </w:p>
    <w:p>
      <w:pPr>
        <w:pStyle w:val="Compact"/>
        <w:widowControl/>
        <w:numPr>
          <w:ilvl w:val="0"/>
          <w:numId w:val="1140"/>
        </w:numPr>
        <w:spacing w:after="30" w:line="245" w:lineRule="auto"/>
      </w:pPr>
      <w:r>
        <w:rPr>
          <w:rFonts w:ascii="Noto Serif" w:hAnsi="Noto Serif" w:eastAsia="Noto Serif"/>
          <w:sz w:val="18"/>
        </w:rPr>
        <w:t xml:space="preserve">Reduce benefits, immigration, student-aid, civil-rights, grant, and permitting backlogs.</w:t>
      </w:r>
    </w:p>
    <w:p>
      <w:pPr>
        <w:pStyle w:val="Compact"/>
        <w:widowControl/>
        <w:numPr>
          <w:ilvl w:val="0"/>
          <w:numId w:val="1140"/>
        </w:numPr>
        <w:spacing w:after="30" w:line="245" w:lineRule="auto"/>
      </w:pPr>
      <w:r>
        <w:rPr>
          <w:rFonts w:ascii="Noto Serif" w:hAnsi="Noto Serif" w:eastAsia="Noto Serif"/>
          <w:sz w:val="18"/>
        </w:rPr>
        <w:t xml:space="preserve">Scale environmental remediation, conservation corps, clean water, and data-center compliance.</w:t>
      </w:r>
    </w:p>
    <w:p>
      <w:pPr>
        <w:pStyle w:val="Compact"/>
        <w:widowControl/>
        <w:numPr>
          <w:ilvl w:val="0"/>
          <w:numId w:val="1140"/>
        </w:numPr>
        <w:spacing w:after="30" w:line="245" w:lineRule="auto"/>
      </w:pPr>
      <w:r>
        <w:rPr>
          <w:rFonts w:ascii="Noto Serif" w:hAnsi="Noto Serif" w:eastAsia="Noto Serif"/>
          <w:sz w:val="18"/>
        </w:rPr>
        <w:t xml:space="preserve">Evaluate outcomes and terminate or redesign restoration programs that fail despite corrective action.</w:t>
      </w:r>
    </w:p>
    <w:bookmarkEnd w:id="429"/>
    <w:bookmarkStart w:id="430" w:name="years-6-10"/>
    <w:p>
      <w:pPr>
        <w:pStyle w:val="Heading2"/>
        <w:keepNext/>
        <w:spacing w:before="160" w:after="60"/>
      </w:pPr>
      <w:r>
        <w:rPr>
          <w:rFonts w:ascii="Inter" w:hAnsi="Inter" w:eastAsia="Inter"/>
          <w:b/>
          <w:color w:val="1F3F5B"/>
          <w:sz w:val="23"/>
        </w:rPr>
        <w:t xml:space="preserve">Years 6-10</w:t>
      </w:r>
    </w:p>
    <w:p>
      <w:pPr>
        <w:pStyle w:val="Compact"/>
        <w:widowControl/>
        <w:numPr>
          <w:ilvl w:val="0"/>
          <w:numId w:val="1141"/>
        </w:numPr>
        <w:spacing w:after="30" w:line="245" w:lineRule="auto"/>
      </w:pPr>
      <w:r>
        <w:rPr>
          <w:rFonts w:ascii="Noto Serif" w:hAnsi="Noto Serif" w:eastAsia="Noto Serif"/>
          <w:sz w:val="18"/>
        </w:rPr>
        <w:t xml:space="preserve">Institutionalize workforce pipelines and succession.</w:t>
      </w:r>
    </w:p>
    <w:p>
      <w:pPr>
        <w:pStyle w:val="Compact"/>
        <w:widowControl/>
        <w:numPr>
          <w:ilvl w:val="0"/>
          <w:numId w:val="1141"/>
        </w:numPr>
        <w:spacing w:after="30" w:line="245" w:lineRule="auto"/>
      </w:pPr>
      <w:r>
        <w:rPr>
          <w:rFonts w:ascii="Noto Serif" w:hAnsi="Noto Serif" w:eastAsia="Noto Serif"/>
          <w:sz w:val="18"/>
        </w:rPr>
        <w:t xml:space="preserve">Integrate companion Acts and eliminate duplicate offices or reporting.</w:t>
      </w:r>
    </w:p>
    <w:p>
      <w:pPr>
        <w:pStyle w:val="Compact"/>
        <w:widowControl/>
        <w:numPr>
          <w:ilvl w:val="0"/>
          <w:numId w:val="1141"/>
        </w:numPr>
        <w:spacing w:after="30" w:line="245" w:lineRule="auto"/>
      </w:pPr>
      <w:r>
        <w:rPr>
          <w:rFonts w:ascii="Noto Serif" w:hAnsi="Noto Serif" w:eastAsia="Noto Serif"/>
          <w:sz w:val="18"/>
        </w:rPr>
        <w:t xml:space="preserve">Expand international development toward the statutory policy goal if performance and appropriations support it.</w:t>
      </w:r>
    </w:p>
    <w:p>
      <w:pPr>
        <w:pStyle w:val="Compact"/>
        <w:widowControl/>
        <w:numPr>
          <w:ilvl w:val="0"/>
          <w:numId w:val="1141"/>
        </w:numPr>
        <w:spacing w:after="30" w:line="245" w:lineRule="auto"/>
      </w:pPr>
      <w:r>
        <w:rPr>
          <w:rFonts w:ascii="Noto Serif" w:hAnsi="Noto Serif" w:eastAsia="Noto Serif"/>
          <w:sz w:val="18"/>
        </w:rPr>
        <w:t xml:space="preserve">Modernize legacy Federal technology and records.</w:t>
      </w:r>
    </w:p>
    <w:p>
      <w:pPr>
        <w:pStyle w:val="Compact"/>
        <w:widowControl/>
        <w:numPr>
          <w:ilvl w:val="0"/>
          <w:numId w:val="1141"/>
        </w:numPr>
        <w:spacing w:after="30" w:line="245" w:lineRule="auto"/>
      </w:pPr>
      <w:r>
        <w:rPr>
          <w:rFonts w:ascii="Noto Serif" w:hAnsi="Noto Serif" w:eastAsia="Noto Serif"/>
          <w:sz w:val="18"/>
        </w:rPr>
        <w:t xml:space="preserve">Complete major claims and transition the Claims Commission toward residual cases.</w:t>
      </w:r>
    </w:p>
    <w:bookmarkEnd w:id="430"/>
    <w:bookmarkStart w:id="431" w:name="year-15"/>
    <w:p>
      <w:pPr>
        <w:pStyle w:val="Heading2"/>
        <w:keepNext/>
        <w:spacing w:before="160" w:after="60"/>
      </w:pPr>
      <w:r>
        <w:rPr>
          <w:rFonts w:ascii="Inter" w:hAnsi="Inter" w:eastAsia="Inter"/>
          <w:b/>
          <w:color w:val="1F3F5B"/>
          <w:sz w:val="23"/>
        </w:rPr>
        <w:t xml:space="preserve">Year 15</w:t>
      </w:r>
    </w:p>
    <w:p>
      <w:pPr>
        <w:pStyle w:val="Compact"/>
        <w:widowControl/>
        <w:numPr>
          <w:ilvl w:val="0"/>
          <w:numId w:val="1142"/>
        </w:numPr>
        <w:spacing w:after="30" w:line="245" w:lineRule="auto"/>
      </w:pPr>
      <w:r>
        <w:rPr>
          <w:rFonts w:ascii="Noto Serif" w:hAnsi="Noto Serif" w:eastAsia="Noto Serif"/>
          <w:sz w:val="18"/>
        </w:rPr>
        <w:t xml:space="preserve">Conduct the comprehensive national review, including regional hearings and Tribal consultation.</w:t>
      </w:r>
    </w:p>
    <w:p>
      <w:pPr>
        <w:pStyle w:val="Compact"/>
        <w:widowControl/>
        <w:numPr>
          <w:ilvl w:val="0"/>
          <w:numId w:val="1142"/>
        </w:numPr>
        <w:spacing w:after="30" w:line="245" w:lineRule="auto"/>
      </w:pPr>
      <w:r>
        <w:rPr>
          <w:rFonts w:ascii="Noto Serif" w:hAnsi="Noto Serif" w:eastAsia="Noto Serif"/>
          <w:sz w:val="18"/>
        </w:rPr>
        <w:t xml:space="preserve">Reauthorize, consolidate, strengthen, narrow, or repeal provisions based on evidence.</w:t>
      </w:r>
    </w:p>
    <w:p>
      <w:pPr>
        <w:pStyle w:val="Compact"/>
        <w:widowControl/>
        <w:numPr>
          <w:ilvl w:val="0"/>
          <w:numId w:val="1142"/>
        </w:numPr>
        <w:spacing w:after="30" w:line="245" w:lineRule="auto"/>
      </w:pPr>
      <w:r>
        <w:rPr>
          <w:rFonts w:ascii="Noto Serif" w:hAnsi="Noto Serif" w:eastAsia="Noto Serif"/>
          <w:sz w:val="18"/>
        </w:rPr>
        <w:t xml:space="preserve">No title disappears automatically.</w:t>
      </w:r>
    </w:p>
    <w:bookmarkEnd w:id="431"/>
    <w:bookmarkEnd w:id="432"/>
    <w:bookmarkStart w:id="435" w:name="stakeholder-and-incentive-analysis"/>
    <w:p>
      <w:pPr>
        <w:pStyle w:val="Heading1"/>
        <w:keepNext/>
        <w:pageBreakBefore/>
        <w:spacing w:before="0" w:after="180"/>
        <w:pBdr>
          <w:bottom w:val="single" w:sz="8" w:space="4" w:color="9EB0BF"/>
        </w:pBdr>
      </w:pPr>
      <w:r>
        <w:rPr>
          <w:rFonts w:ascii="Inter" w:hAnsi="Inter" w:eastAsia="Inter"/>
          <w:b/>
          <w:color w:val="142D48"/>
          <w:sz w:val="34"/>
        </w:rPr>
        <w:t xml:space="preserve">STAKEHOLDER AND INCENTIVE ANALYSIS</w:t>
      </w:r>
    </w:p>
    <w:bookmarkStart w:id="433" w:name="X895b5453abe3879951fadaf77c791392c7da027"/>
    <w:p>
      <w:pPr>
        <w:pStyle w:val="Heading2"/>
        <w:keepNext/>
        <w:spacing w:before="160" w:after="60"/>
      </w:pPr>
      <w:r>
        <w:rPr>
          <w:rFonts w:ascii="Inter" w:hAnsi="Inter" w:eastAsia="Inter"/>
          <w:b/>
          <w:color w:val="1F3F5B"/>
          <w:sz w:val="23"/>
        </w:rPr>
        <w:t xml:space="preserve">Beneficiaries and implementation partners</w:t>
      </w:r>
    </w:p>
    <w:p>
      <w:pPr>
        <w:pStyle w:val="FirstParagraph"/>
        <w:widowControl/>
        <w:spacing w:after="60" w:line="250" w:lineRule="auto"/>
      </w:pPr>
      <w:r>
        <w:rPr>
          <w:rFonts w:ascii="Noto Serif" w:hAnsi="Noto Serif" w:eastAsia="Noto Serif"/>
          <w:b/>
          <w:bCs/>
          <w:sz w:val="19"/>
        </w:rPr>
        <w:t xml:space="preserve">Voters and election officials.</w:t>
      </w:r>
      <w:r>
        <w:rPr>
          <w:rFonts w:ascii="Noto Serif" w:hAnsi="Noto Serif" w:eastAsia="Noto Serif"/>
          <w:sz w:val="19"/>
        </w:rPr>
        <w:t xml:space="preserve"> </w:t>
      </w:r>
      <w:r>
        <w:rPr>
          <w:rFonts w:ascii="Noto Serif" w:hAnsi="Noto Serif" w:eastAsia="Noto Serif"/>
          <w:sz w:val="19"/>
        </w:rPr>
        <w:t xml:space="preserve">Their interests are accessible registration, secure systems, stable funding, and protection from threats. The design responds with a national floor, grants, audits, anti-intimidation provisions, and tailored preclearance.</w:t>
      </w:r>
    </w:p>
    <w:p>
      <w:pPr>
        <w:pStyle w:val="BodyText"/>
        <w:widowControl/>
        <w:spacing w:after="60" w:line="250" w:lineRule="auto"/>
      </w:pPr>
      <w:r>
        <w:rPr>
          <w:rFonts w:ascii="Noto Serif" w:hAnsi="Noto Serif" w:eastAsia="Noto Serif"/>
          <w:b/>
          <w:bCs/>
          <w:sz w:val="19"/>
        </w:rPr>
        <w:t xml:space="preserve">Federal career workforce.</w:t>
      </w:r>
      <w:r>
        <w:rPr>
          <w:rFonts w:ascii="Noto Serif" w:hAnsi="Noto Serif" w:eastAsia="Noto Serif"/>
          <w:sz w:val="19"/>
        </w:rPr>
        <w:t xml:space="preserve"> </w:t>
      </w:r>
      <w:r>
        <w:rPr>
          <w:rFonts w:ascii="Noto Serif" w:hAnsi="Noto Serif" w:eastAsia="Noto Serif"/>
          <w:sz w:val="19"/>
        </w:rPr>
        <w:t xml:space="preserve">Their interests are due process, mission clarity, workable staffing, and safe whistleblowing. The design responds with merit protections, staffing floors, a reconstitution corps, and retaliation remedies.</w:t>
      </w:r>
    </w:p>
    <w:p>
      <w:pPr>
        <w:pStyle w:val="BodyText"/>
        <w:widowControl/>
        <w:spacing w:after="60" w:line="250" w:lineRule="auto"/>
      </w:pPr>
      <w:r>
        <w:rPr>
          <w:rFonts w:ascii="Noto Serif" w:hAnsi="Noto Serif" w:eastAsia="Noto Serif"/>
          <w:b/>
          <w:bCs/>
          <w:sz w:val="19"/>
        </w:rPr>
        <w:t xml:space="preserve">States and local governments.</w:t>
      </w:r>
      <w:r>
        <w:rPr>
          <w:rFonts w:ascii="Noto Serif" w:hAnsi="Noto Serif" w:eastAsia="Noto Serif"/>
          <w:sz w:val="19"/>
        </w:rPr>
        <w:t xml:space="preserve"> </w:t>
      </w:r>
      <w:r>
        <w:rPr>
          <w:rFonts w:ascii="Noto Serif" w:hAnsi="Noto Serif" w:eastAsia="Noto Serif"/>
          <w:sz w:val="19"/>
        </w:rPr>
        <w:t xml:space="preserve">Their interests are predictable grants, federalism, infrastructure, and manageable mandates. The design responds with funding, waivers, consultation, stronger-law savings, and cost-shift controls.</w:t>
      </w:r>
    </w:p>
    <w:p>
      <w:pPr>
        <w:pStyle w:val="BodyText"/>
        <w:widowControl/>
        <w:spacing w:after="60" w:line="250" w:lineRule="auto"/>
      </w:pPr>
      <w:r>
        <w:rPr>
          <w:rFonts w:ascii="Noto Serif" w:hAnsi="Noto Serif" w:eastAsia="Noto Serif"/>
          <w:b/>
          <w:bCs/>
          <w:sz w:val="19"/>
        </w:rPr>
        <w:t xml:space="preserve">Tribal governments.</w:t>
      </w:r>
      <w:r>
        <w:rPr>
          <w:rFonts w:ascii="Noto Serif" w:hAnsi="Noto Serif" w:eastAsia="Noto Serif"/>
          <w:sz w:val="19"/>
        </w:rPr>
        <w:t xml:space="preserve"> </w:t>
      </w:r>
      <w:r>
        <w:rPr>
          <w:rFonts w:ascii="Noto Serif" w:hAnsi="Noto Serif" w:eastAsia="Noto Serif"/>
          <w:sz w:val="19"/>
        </w:rPr>
        <w:t xml:space="preserve">Their interests are sovereignty, treaty rights, trust resources, consultation, and repair. The design responds with a Council seat, a government-to-government process, a consent standard, and Tribal claims.</w:t>
      </w:r>
    </w:p>
    <w:p>
      <w:pPr>
        <w:pStyle w:val="BodyText"/>
        <w:widowControl/>
        <w:spacing w:after="60" w:line="250" w:lineRule="auto"/>
      </w:pPr>
      <w:r>
        <w:rPr>
          <w:rFonts w:ascii="Noto Serif" w:hAnsi="Noto Serif" w:eastAsia="Noto Serif"/>
          <w:b/>
          <w:bCs/>
          <w:sz w:val="19"/>
        </w:rPr>
        <w:t xml:space="preserve">Environmental and public-health communities.</w:t>
      </w:r>
      <w:r>
        <w:rPr>
          <w:rFonts w:ascii="Noto Serif" w:hAnsi="Noto Serif" w:eastAsia="Noto Serif"/>
          <w:sz w:val="19"/>
        </w:rPr>
        <w:t xml:space="preserve"> </w:t>
      </w:r>
      <w:r>
        <w:rPr>
          <w:rFonts w:ascii="Noto Serif" w:hAnsi="Noto Serif" w:eastAsia="Noto Serif"/>
          <w:sz w:val="19"/>
        </w:rPr>
        <w:t xml:space="preserve">Their interests are restoration, enforcement, science, and cumulative-impact protection. The design responds with EPA and HHS capacity, remediation, environmental justice, and transparent standards.</w:t>
      </w:r>
    </w:p>
    <w:p>
      <w:pPr>
        <w:pStyle w:val="BodyText"/>
        <w:widowControl/>
        <w:spacing w:after="60" w:line="250" w:lineRule="auto"/>
      </w:pPr>
      <w:r>
        <w:rPr>
          <w:rFonts w:ascii="Noto Serif" w:hAnsi="Noto Serif" w:eastAsia="Noto Serif"/>
          <w:b/>
          <w:bCs/>
          <w:sz w:val="19"/>
        </w:rPr>
        <w:t xml:space="preserve">Industry and small business.</w:t>
      </w:r>
      <w:r>
        <w:rPr>
          <w:rFonts w:ascii="Noto Serif" w:hAnsi="Noto Serif" w:eastAsia="Noto Serif"/>
          <w:sz w:val="19"/>
        </w:rPr>
        <w:t xml:space="preserve"> </w:t>
      </w:r>
      <w:r>
        <w:rPr>
          <w:rFonts w:ascii="Noto Serif" w:hAnsi="Noto Serif" w:eastAsia="Noto Serif"/>
          <w:sz w:val="19"/>
        </w:rPr>
        <w:t xml:space="preserve">Their interests are regulatory certainty, affordable energy, due process, and workable transition. The design responds with clear thresholds, notice and cure, cost-benefit analysis, technology neutrality, and small-business assistance.</w:t>
      </w:r>
    </w:p>
    <w:p>
      <w:pPr>
        <w:pStyle w:val="BodyText"/>
        <w:widowControl/>
        <w:spacing w:after="60" w:line="250" w:lineRule="auto"/>
      </w:pPr>
      <w:r>
        <w:rPr>
          <w:rFonts w:ascii="Noto Serif" w:hAnsi="Noto Serif" w:eastAsia="Noto Serif"/>
          <w:b/>
          <w:bCs/>
          <w:sz w:val="19"/>
        </w:rPr>
        <w:t xml:space="preserve">Data-center developers and utilities.</w:t>
      </w:r>
      <w:r>
        <w:rPr>
          <w:rFonts w:ascii="Noto Serif" w:hAnsi="Noto Serif" w:eastAsia="Noto Serif"/>
          <w:sz w:val="19"/>
        </w:rPr>
        <w:t xml:space="preserve"> </w:t>
      </w:r>
      <w:r>
        <w:rPr>
          <w:rFonts w:ascii="Noto Serif" w:hAnsi="Noto Serif" w:eastAsia="Noto Serif"/>
          <w:sz w:val="19"/>
        </w:rPr>
        <w:t xml:space="preserve">Their interests are rapid interconnection, land and power availability, and predictable permitting. The design responds with national grid investment and defined permits, balanced by full-cost and resource rules.</w:t>
      </w:r>
    </w:p>
    <w:p>
      <w:pPr>
        <w:pStyle w:val="BodyText"/>
        <w:widowControl/>
        <w:spacing w:after="60" w:line="250" w:lineRule="auto"/>
      </w:pPr>
      <w:r>
        <w:rPr>
          <w:rFonts w:ascii="Noto Serif" w:hAnsi="Noto Serif" w:eastAsia="Noto Serif"/>
          <w:b/>
          <w:bCs/>
          <w:sz w:val="19"/>
        </w:rPr>
        <w:t xml:space="preserve">Labor unions and workers.</w:t>
      </w:r>
      <w:r>
        <w:rPr>
          <w:rFonts w:ascii="Noto Serif" w:hAnsi="Noto Serif" w:eastAsia="Noto Serif"/>
          <w:sz w:val="19"/>
        </w:rPr>
        <w:t xml:space="preserve"> </w:t>
      </w:r>
      <w:r>
        <w:rPr>
          <w:rFonts w:ascii="Noto Serif" w:hAnsi="Noto Serif" w:eastAsia="Noto Serif"/>
          <w:sz w:val="19"/>
        </w:rPr>
        <w:t xml:space="preserve">Their interests are bargaining, safety, wage enforcement, and transition. The design responds with participation rights, OSHA standards, wage-theft remedies, prevailing wages, apprenticeships, and reemployment.</w:t>
      </w:r>
    </w:p>
    <w:p>
      <w:pPr>
        <w:pStyle w:val="BodyText"/>
        <w:widowControl/>
        <w:spacing w:after="60" w:line="250" w:lineRule="auto"/>
      </w:pPr>
      <w:r>
        <w:rPr>
          <w:rFonts w:ascii="Noto Serif" w:hAnsi="Noto Serif" w:eastAsia="Noto Serif"/>
          <w:b/>
          <w:bCs/>
          <w:sz w:val="19"/>
        </w:rPr>
        <w:t xml:space="preserve">Civil-rights and privacy groups.</w:t>
      </w:r>
      <w:r>
        <w:rPr>
          <w:rFonts w:ascii="Noto Serif" w:hAnsi="Noto Serif" w:eastAsia="Noto Serif"/>
          <w:sz w:val="19"/>
        </w:rPr>
        <w:t xml:space="preserve"> </w:t>
      </w:r>
      <w:r>
        <w:rPr>
          <w:rFonts w:ascii="Noto Serif" w:hAnsi="Noto Serif" w:eastAsia="Noto Serif"/>
          <w:sz w:val="19"/>
        </w:rPr>
        <w:t xml:space="preserve">Their interests are strong enforcement and remedies. The design responds with restored offices, private relief, a data firewall, broker rules, and audit.</w:t>
      </w:r>
    </w:p>
    <w:p>
      <w:pPr>
        <w:pStyle w:val="BodyText"/>
        <w:widowControl/>
        <w:spacing w:after="60" w:line="250" w:lineRule="auto"/>
      </w:pPr>
      <w:r>
        <w:rPr>
          <w:rFonts w:ascii="Noto Serif" w:hAnsi="Noto Serif" w:eastAsia="Noto Serif"/>
          <w:b/>
          <w:bCs/>
          <w:sz w:val="19"/>
        </w:rPr>
        <w:t xml:space="preserve">Religious organizations.</w:t>
      </w:r>
      <w:r>
        <w:rPr>
          <w:rFonts w:ascii="Noto Serif" w:hAnsi="Noto Serif" w:eastAsia="Noto Serif"/>
          <w:sz w:val="19"/>
        </w:rPr>
        <w:t xml:space="preserve"> </w:t>
      </w:r>
      <w:r>
        <w:rPr>
          <w:rFonts w:ascii="Noto Serif" w:hAnsi="Noto Serif" w:eastAsia="Noto Serif"/>
          <w:sz w:val="19"/>
        </w:rPr>
        <w:t xml:space="preserve">Their interests are conscience and neutrality. The design responds with FAITH Act savings, no doctrinal regulation, and equal application.</w:t>
      </w:r>
    </w:p>
    <w:p>
      <w:pPr>
        <w:pStyle w:val="BodyText"/>
        <w:widowControl/>
        <w:spacing w:after="60" w:line="250" w:lineRule="auto"/>
      </w:pPr>
      <w:r>
        <w:rPr>
          <w:rFonts w:ascii="Noto Serif" w:hAnsi="Noto Serif" w:eastAsia="Noto Serif"/>
          <w:b/>
          <w:bCs/>
          <w:sz w:val="19"/>
        </w:rPr>
        <w:t xml:space="preserve">Humanitarian and development partners.</w:t>
      </w:r>
      <w:r>
        <w:rPr>
          <w:rFonts w:ascii="Noto Serif" w:hAnsi="Noto Serif" w:eastAsia="Noto Serif"/>
          <w:sz w:val="19"/>
        </w:rPr>
        <w:t xml:space="preserve"> </w:t>
      </w:r>
      <w:r>
        <w:rPr>
          <w:rFonts w:ascii="Noto Serif" w:hAnsi="Noto Serif" w:eastAsia="Noto Serif"/>
          <w:sz w:val="19"/>
        </w:rPr>
        <w:t xml:space="preserve">Their interests are program continuity, local partnership, and timely payment. The design responds with USAID independence, limits on blanket pauses, claims, localization, and contingency funding.</w:t>
      </w:r>
    </w:p>
    <w:p>
      <w:pPr>
        <w:pStyle w:val="BodyText"/>
        <w:widowControl/>
        <w:spacing w:after="60" w:line="250" w:lineRule="auto"/>
      </w:pPr>
      <w:r>
        <w:rPr>
          <w:rFonts w:ascii="Noto Serif" w:hAnsi="Noto Serif" w:eastAsia="Noto Serif"/>
          <w:b/>
          <w:bCs/>
          <w:sz w:val="19"/>
        </w:rPr>
        <w:t xml:space="preserve">Defense and national-security agencies.</w:t>
      </w:r>
      <w:r>
        <w:rPr>
          <w:rFonts w:ascii="Noto Serif" w:hAnsi="Noto Serif" w:eastAsia="Noto Serif"/>
          <w:sz w:val="19"/>
        </w:rPr>
        <w:t xml:space="preserve"> </w:t>
      </w:r>
      <w:r>
        <w:rPr>
          <w:rFonts w:ascii="Noto Serif" w:hAnsi="Noto Serif" w:eastAsia="Noto Serif"/>
          <w:sz w:val="19"/>
        </w:rPr>
        <w:t xml:space="preserve">Their interests are operational flexibility and protection of sensitive information. The design preserves classified annexes, emergencies, and tactical command while maintaining congressional and end-use control over long-term commitments.</w:t>
      </w:r>
    </w:p>
    <w:p>
      <w:pPr>
        <w:pStyle w:val="BodyText"/>
        <w:widowControl/>
        <w:spacing w:after="60" w:line="250" w:lineRule="auto"/>
      </w:pPr>
      <w:r>
        <w:rPr>
          <w:rFonts w:ascii="Noto Serif" w:hAnsi="Noto Serif" w:eastAsia="Noto Serif"/>
          <w:b/>
          <w:bCs/>
          <w:sz w:val="19"/>
        </w:rPr>
        <w:t xml:space="preserve">Foreign governments and recipients.</w:t>
      </w:r>
      <w:r>
        <w:rPr>
          <w:rFonts w:ascii="Noto Serif" w:hAnsi="Noto Serif" w:eastAsia="Noto Serif"/>
          <w:sz w:val="19"/>
        </w:rPr>
        <w:t xml:space="preserve"> </w:t>
      </w:r>
      <w:r>
        <w:rPr>
          <w:rFonts w:ascii="Noto Serif" w:hAnsi="Noto Serif" w:eastAsia="Noto Serif"/>
          <w:sz w:val="19"/>
        </w:rPr>
        <w:t xml:space="preserve">Their interests are predictable assistance and security partnership. The design uses country-neutral rules, clear suspension and remediation, and no automatic entitlement.</w:t>
      </w:r>
    </w:p>
    <w:p>
      <w:pPr>
        <w:pStyle w:val="BodyText"/>
        <w:widowControl/>
        <w:spacing w:after="60" w:line="250" w:lineRule="auto"/>
      </w:pPr>
      <w:r>
        <w:rPr>
          <w:rFonts w:ascii="Noto Serif" w:hAnsi="Noto Serif" w:eastAsia="Noto Serif"/>
          <w:b/>
          <w:bCs/>
          <w:sz w:val="19"/>
        </w:rPr>
        <w:t xml:space="preserve">Taxpayers.</w:t>
      </w:r>
      <w:r>
        <w:rPr>
          <w:rFonts w:ascii="Noto Serif" w:hAnsi="Noto Serif" w:eastAsia="Noto Serif"/>
          <w:sz w:val="19"/>
        </w:rPr>
        <w:t xml:space="preserve"> </w:t>
      </w:r>
      <w:r>
        <w:rPr>
          <w:rFonts w:ascii="Noto Serif" w:hAnsi="Noto Serif" w:eastAsia="Noto Serif"/>
          <w:sz w:val="19"/>
        </w:rPr>
        <w:t xml:space="preserve">Their interests are honest savings, effective services, and controlled long-term cost. The design responds with OPEI audit, verified savings, anti-fraud controls, scoring transparency, and limits on claims.</w:t>
      </w:r>
    </w:p>
    <w:bookmarkEnd w:id="433"/>
    <w:bookmarkStart w:id="434" w:name="expected-opposition-and-drafting-answers"/>
    <w:p>
      <w:pPr>
        <w:pStyle w:val="Heading2"/>
        <w:keepNext/>
        <w:spacing w:before="160" w:after="60"/>
      </w:pPr>
      <w:r>
        <w:rPr>
          <w:rFonts w:ascii="Inter" w:hAnsi="Inter" w:eastAsia="Inter"/>
          <w:b/>
          <w:color w:val="1F3F5B"/>
          <w:sz w:val="23"/>
        </w:rPr>
        <w:t xml:space="preserve">Expected opposition and drafting answers</w:t>
      </w:r>
    </w:p>
    <w:p>
      <w:pPr>
        <w:pStyle w:val="Compact"/>
        <w:widowControl/>
        <w:numPr>
          <w:ilvl w:val="0"/>
          <w:numId w:val="1143"/>
        </w:numPr>
        <w:spacing w:after="30" w:line="245" w:lineRule="auto"/>
      </w:pPr>
      <w:r>
        <w:rPr>
          <w:rFonts w:ascii="Noto Serif" w:hAnsi="Noto Serif" w:eastAsia="Noto Serif"/>
          <w:b/>
          <w:bCs/>
          <w:sz w:val="18"/>
        </w:rPr>
        <w:t xml:space="preserve">Executive-power opposition:</w:t>
      </w:r>
      <w:r>
        <w:rPr>
          <w:rFonts w:ascii="Noto Serif" w:hAnsi="Noto Serif" w:eastAsia="Noto Serif"/>
          <w:sz w:val="18"/>
        </w:rPr>
        <w:t xml:space="preserve"> </w:t>
      </w:r>
      <w:r>
        <w:rPr>
          <w:rFonts w:ascii="Noto Serif" w:hAnsi="Noto Serif" w:eastAsia="Noto Serif"/>
          <w:sz w:val="18"/>
        </w:rPr>
        <w:t xml:space="preserve">answered by grounding key duties in appropriations, organic statutes, reporting, due process, and judicial review rather than committee control.</w:t>
      </w:r>
    </w:p>
    <w:p>
      <w:pPr>
        <w:pStyle w:val="Compact"/>
        <w:widowControl/>
        <w:numPr>
          <w:ilvl w:val="0"/>
          <w:numId w:val="1143"/>
        </w:numPr>
        <w:spacing w:after="30" w:line="245" w:lineRule="auto"/>
      </w:pPr>
      <w:r>
        <w:rPr>
          <w:rFonts w:ascii="Noto Serif" w:hAnsi="Noto Serif" w:eastAsia="Noto Serif"/>
          <w:b/>
          <w:bCs/>
          <w:sz w:val="18"/>
        </w:rPr>
        <w:t xml:space="preserve">Industry cost concerns:</w:t>
      </w:r>
      <w:r>
        <w:rPr>
          <w:rFonts w:ascii="Noto Serif" w:hAnsi="Noto Serif" w:eastAsia="Noto Serif"/>
          <w:sz w:val="18"/>
        </w:rPr>
        <w:t xml:space="preserve"> </w:t>
      </w:r>
      <w:r>
        <w:rPr>
          <w:rFonts w:ascii="Noto Serif" w:hAnsi="Noto Serif" w:eastAsia="Noto Serif"/>
          <w:sz w:val="18"/>
        </w:rPr>
        <w:t xml:space="preserve">answered by predictable thresholds, phased standards, technology neutrality, grandfathering of valid interests, waivers for reliability, and public infrastructure investment.</w:t>
      </w:r>
    </w:p>
    <w:p>
      <w:pPr>
        <w:pStyle w:val="Compact"/>
        <w:widowControl/>
        <w:numPr>
          <w:ilvl w:val="0"/>
          <w:numId w:val="1143"/>
        </w:numPr>
        <w:spacing w:after="30" w:line="245" w:lineRule="auto"/>
      </w:pPr>
      <w:r>
        <w:rPr>
          <w:rFonts w:ascii="Noto Serif" w:hAnsi="Noto Serif" w:eastAsia="Noto Serif"/>
          <w:b/>
          <w:bCs/>
          <w:sz w:val="18"/>
        </w:rPr>
        <w:t xml:space="preserve">Federalism concerns:</w:t>
      </w:r>
      <w:r>
        <w:rPr>
          <w:rFonts w:ascii="Noto Serif" w:hAnsi="Noto Serif" w:eastAsia="Noto Serif"/>
          <w:sz w:val="18"/>
        </w:rPr>
        <w:t xml:space="preserve"> </w:t>
      </w:r>
      <w:r>
        <w:rPr>
          <w:rFonts w:ascii="Noto Serif" w:hAnsi="Noto Serif" w:eastAsia="Noto Serif"/>
          <w:sz w:val="18"/>
        </w:rPr>
        <w:t xml:space="preserve">answered by focusing election rules on Federal elections, preserving stronger State rules, funding mandates, and using consultation.</w:t>
      </w:r>
    </w:p>
    <w:p>
      <w:pPr>
        <w:pStyle w:val="Compact"/>
        <w:widowControl/>
        <w:numPr>
          <w:ilvl w:val="0"/>
          <w:numId w:val="1143"/>
        </w:numPr>
        <w:spacing w:after="30" w:line="245" w:lineRule="auto"/>
      </w:pPr>
      <w:r>
        <w:rPr>
          <w:rFonts w:ascii="Noto Serif" w:hAnsi="Noto Serif" w:eastAsia="Noto Serif"/>
          <w:b/>
          <w:bCs/>
          <w:sz w:val="18"/>
        </w:rPr>
        <w:t xml:space="preserve">Civil-liberties concerns:</w:t>
      </w:r>
      <w:r>
        <w:rPr>
          <w:rFonts w:ascii="Noto Serif" w:hAnsi="Noto Serif" w:eastAsia="Noto Serif"/>
          <w:sz w:val="18"/>
        </w:rPr>
        <w:t xml:space="preserve"> </w:t>
      </w:r>
      <w:r>
        <w:rPr>
          <w:rFonts w:ascii="Noto Serif" w:hAnsi="Noto Serif" w:eastAsia="Noto Serif"/>
          <w:sz w:val="18"/>
        </w:rPr>
        <w:t xml:space="preserve">answered by no ideological tests, religious-neutrality savings, warrant rules, protected journalism and research, and limits on biometric surveillance.</w:t>
      </w:r>
    </w:p>
    <w:p>
      <w:pPr>
        <w:pStyle w:val="Compact"/>
        <w:widowControl/>
        <w:numPr>
          <w:ilvl w:val="0"/>
          <w:numId w:val="1143"/>
        </w:numPr>
        <w:spacing w:after="30" w:line="245" w:lineRule="auto"/>
      </w:pPr>
      <w:r>
        <w:rPr>
          <w:rFonts w:ascii="Noto Serif" w:hAnsi="Noto Serif" w:eastAsia="Noto Serif"/>
          <w:b/>
          <w:bCs/>
          <w:sz w:val="18"/>
        </w:rPr>
        <w:t xml:space="preserve">Fiscal concerns:</w:t>
      </w:r>
      <w:r>
        <w:rPr>
          <w:rFonts w:ascii="Noto Serif" w:hAnsi="Noto Serif" w:eastAsia="Noto Serif"/>
          <w:sz w:val="18"/>
        </w:rPr>
        <w:t xml:space="preserve"> </w:t>
      </w:r>
      <w:r>
        <w:rPr>
          <w:rFonts w:ascii="Noto Serif" w:hAnsi="Noto Serif" w:eastAsia="Noto Serif"/>
          <w:sz w:val="18"/>
        </w:rPr>
        <w:t xml:space="preserve">answered by phased appropriations, official scoring, anti-fraud, tax administration, fair-value assets, and no automatic permanent entitlement to every authorization.</w:t>
      </w:r>
    </w:p>
    <w:p>
      <w:pPr>
        <w:pStyle w:val="Compact"/>
        <w:widowControl/>
        <w:numPr>
          <w:ilvl w:val="0"/>
          <w:numId w:val="1143"/>
        </w:numPr>
        <w:spacing w:after="30" w:line="245" w:lineRule="auto"/>
      </w:pPr>
      <w:r>
        <w:rPr>
          <w:rFonts w:ascii="Noto Serif" w:hAnsi="Noto Serif" w:eastAsia="Noto Serif"/>
          <w:b/>
          <w:bCs/>
          <w:sz w:val="18"/>
        </w:rPr>
        <w:t xml:space="preserve">Foreign-policy flexibility concerns:</w:t>
      </w:r>
      <w:r>
        <w:rPr>
          <w:rFonts w:ascii="Noto Serif" w:hAnsi="Noto Serif" w:eastAsia="Noto Serif"/>
          <w:sz w:val="18"/>
        </w:rPr>
        <w:t xml:space="preserve"> </w:t>
      </w:r>
      <w:r>
        <w:rPr>
          <w:rFonts w:ascii="Noto Serif" w:hAnsi="Noto Serif" w:eastAsia="Noto Serif"/>
          <w:sz w:val="18"/>
        </w:rPr>
        <w:t xml:space="preserve">answered by emergency waivers, classified processes, continued tactical command, and country-neutral law rather than rigid country bans.</w:t>
      </w:r>
    </w:p>
    <w:bookmarkEnd w:id="434"/>
    <w:bookmarkEnd w:id="435"/>
    <w:bookmarkStart w:id="436" w:name="plain-language-summary"/>
    <w:p>
      <w:pPr>
        <w:pStyle w:val="Heading1"/>
        <w:keepNext/>
        <w:pageBreakBefore/>
        <w:spacing w:before="0" w:after="180"/>
        <w:pBdr>
          <w:bottom w:val="single" w:sz="8" w:space="4" w:color="9EB0BF"/>
        </w:pBdr>
      </w:pPr>
      <w:r>
        <w:rPr>
          <w:rFonts w:ascii="Inter" w:hAnsi="Inter" w:eastAsia="Inter"/>
          <w:b/>
          <w:color w:val="142D48"/>
          <w:sz w:val="34"/>
        </w:rPr>
        <w:t xml:space="preserve">PLAIN-LANGUAGE SUMMARY</w:t>
      </w:r>
    </w:p>
    <w:p>
      <w:pPr>
        <w:pStyle w:val="FirstParagraph"/>
        <w:widowControl/>
        <w:spacing w:after="60" w:line="250" w:lineRule="auto"/>
      </w:pPr>
      <w:r>
        <w:rPr>
          <w:rFonts w:ascii="Noto Serif" w:hAnsi="Noto Serif" w:eastAsia="Noto Serif"/>
          <w:sz w:val="19"/>
        </w:rPr>
        <w:t xml:space="preserve">The American Restoration Act is a national repair bill. It creates a lawful process to identify and reverse government actions that broke statutes, withheld funds, dismantled agencies, weakened rights, misused data, or caused severe public harm. It does not simply say</w:t>
      </w:r>
      <w:r>
        <w:rPr>
          <w:rFonts w:ascii="Noto Serif" w:hAnsi="Noto Serif" w:eastAsia="Noto Serif"/>
          <w:sz w:val="19"/>
        </w:rPr>
        <w:t xml:space="preserve"> </w:t>
      </w:r>
      <w:r>
        <w:rPr>
          <w:rFonts w:ascii="Noto Serif" w:hAnsi="Noto Serif" w:eastAsia="Noto Serif"/>
          <w:sz w:val="19"/>
        </w:rPr>
        <w:t xml:space="preserve">“</w:t>
      </w:r>
      <w:r>
        <w:rPr>
          <w:rFonts w:ascii="Noto Serif" w:hAnsi="Noto Serif" w:eastAsia="Noto Serif"/>
          <w:sz w:val="19"/>
        </w:rPr>
        <w:t xml:space="preserve">undo everything.</w:t>
      </w:r>
      <w:r>
        <w:rPr>
          <w:rFonts w:ascii="Noto Serif" w:hAnsi="Noto Serif" w:eastAsia="Noto Serif"/>
          <w:sz w:val="19"/>
        </w:rPr>
        <w:t xml:space="preserve">”</w:t>
      </w:r>
      <w:r>
        <w:rPr>
          <w:rFonts w:ascii="Noto Serif" w:hAnsi="Noto Serif" w:eastAsia="Noto Serif"/>
          <w:sz w:val="19"/>
        </w:rPr>
        <w:t xml:space="preserve"> </w:t>
      </w:r>
      <w:r>
        <w:rPr>
          <w:rFonts w:ascii="Noto Serif" w:hAnsi="Noto Serif" w:eastAsia="Noto Serif"/>
          <w:sz w:val="19"/>
        </w:rPr>
        <w:t xml:space="preserve">Every action receives evidence-based review, and lawful improvements can stay.</w:t>
      </w:r>
    </w:p>
    <w:p>
      <w:pPr>
        <w:pStyle w:val="BodyText"/>
        <w:widowControl/>
        <w:spacing w:after="60" w:line="250" w:lineRule="auto"/>
      </w:pPr>
      <w:r>
        <w:rPr>
          <w:rFonts w:ascii="Noto Serif" w:hAnsi="Noto Serif" w:eastAsia="Noto Serif"/>
          <w:sz w:val="19"/>
        </w:rPr>
        <w:t xml:space="preserve">It restores USAID, education, public health, civil-rights enforcement, environmental protection, labor and consumer enforcement, refugee and asylum systems, scientific integrity, and professional public service. It replaces ad hoc DOGE operations with a Senate-confirmed efficiency office that can audit and recommend but cannot fire people, cancel Congress’s programs, or roam through private data without controls.</w:t>
      </w:r>
    </w:p>
    <w:p>
      <w:pPr>
        <w:pStyle w:val="BodyText"/>
        <w:widowControl/>
        <w:spacing w:after="60" w:line="250" w:lineRule="auto"/>
      </w:pPr>
      <w:r>
        <w:rPr>
          <w:rFonts w:ascii="Noto Serif" w:hAnsi="Noto Serif" w:eastAsia="Noto Serif"/>
          <w:sz w:val="19"/>
        </w:rPr>
        <w:t xml:space="preserve">The bill protects voting access, requires warrants for government purchases of sensitive data, regulates large data centers as major industrial facilities, restores public lands and clean-water safeguards, and prevents foreign military partnerships from becoming automatic blank checks. Security aid to every country must meet the same human-rights and end-use rules.</w:t>
      </w:r>
    </w:p>
    <w:p>
      <w:pPr>
        <w:pStyle w:val="BodyText"/>
        <w:widowControl/>
        <w:spacing w:after="60" w:line="250" w:lineRule="auto"/>
      </w:pPr>
      <w:r>
        <w:rPr>
          <w:rFonts w:ascii="Noto Serif" w:hAnsi="Noto Serif" w:eastAsia="Noto Serif"/>
          <w:sz w:val="19"/>
        </w:rPr>
        <w:t xml:space="preserve">The Act is reviewed after 3, 7, and 15 years. It does not automatically expire after 15 years.</w:t>
      </w:r>
    </w:p>
    <w:bookmarkEnd w:id="436"/>
    <w:bookmarkStart w:id="446" w:name="frequently-asked-questions"/>
    <w:p>
      <w:pPr>
        <w:pStyle w:val="Heading1"/>
        <w:keepNext/>
        <w:pageBreakBefore/>
        <w:spacing w:before="0" w:after="180"/>
        <w:pBdr>
          <w:bottom w:val="single" w:sz="8" w:space="4" w:color="9EB0BF"/>
        </w:pBdr>
      </w:pPr>
      <w:r>
        <w:rPr>
          <w:rFonts w:ascii="Inter" w:hAnsi="Inter" w:eastAsia="Inter"/>
          <w:b/>
          <w:color w:val="142D48"/>
          <w:sz w:val="34"/>
        </w:rPr>
        <w:t xml:space="preserve">FREQUENTLY ASKED QUESTIONS</w:t>
      </w:r>
    </w:p>
    <w:bookmarkStart w:id="437" w:name="X931d49128999bb0fb4e831ee96a86960697a359"/>
    <w:p>
      <w:pPr>
        <w:pStyle w:val="Heading2"/>
        <w:keepNext/>
        <w:spacing w:before="160" w:after="60"/>
      </w:pPr>
      <w:r>
        <w:rPr>
          <w:rFonts w:ascii="Inter" w:hAnsi="Inter" w:eastAsia="Inter"/>
          <w:b/>
          <w:color w:val="1F3F5B"/>
          <w:sz w:val="23"/>
        </w:rPr>
        <w:t xml:space="preserve">Does the bill repeal every Republican policy?</w:t>
      </w:r>
    </w:p>
    <w:p>
      <w:pPr>
        <w:pStyle w:val="FirstParagraph"/>
        <w:widowControl/>
        <w:spacing w:after="60" w:line="250" w:lineRule="auto"/>
      </w:pPr>
      <w:r>
        <w:rPr>
          <w:rFonts w:ascii="Noto Serif" w:hAnsi="Noto Serif" w:eastAsia="Noto Serif"/>
          <w:sz w:val="19"/>
        </w:rPr>
        <w:t xml:space="preserve">No. That would be both bad drafting and legally vulnerable. The bill reviews actions under neutral criteria: legality, evidence, rights, fiscal integrity, public harm, reliance, and statutory purpose. A policy adopted by a conservative administration can be retained if lawful and effective; a similar policy adopted by a progressive administration can be reversed if it fails the same test.</w:t>
      </w:r>
    </w:p>
    <w:bookmarkEnd w:id="437"/>
    <w:bookmarkStart w:id="438" w:name="Xf149f78e3f463c680c14ac3f1e392493b036523"/>
    <w:p>
      <w:pPr>
        <w:pStyle w:val="Heading2"/>
        <w:keepNext/>
        <w:spacing w:before="160" w:after="60"/>
      </w:pPr>
      <w:r>
        <w:rPr>
          <w:rFonts w:ascii="Inter" w:hAnsi="Inter" w:eastAsia="Inter"/>
          <w:b/>
          <w:color w:val="1F3F5B"/>
          <w:sz w:val="23"/>
        </w:rPr>
        <w:t xml:space="preserve">Can Congress reverse Supreme Court decisions?</w:t>
      </w:r>
    </w:p>
    <w:p>
      <w:pPr>
        <w:pStyle w:val="FirstParagraph"/>
        <w:widowControl/>
        <w:spacing w:after="60" w:line="250" w:lineRule="auto"/>
      </w:pPr>
      <w:r>
        <w:rPr>
          <w:rFonts w:ascii="Noto Serif" w:hAnsi="Noto Serif" w:eastAsia="Noto Serif"/>
          <w:sz w:val="19"/>
        </w:rPr>
        <w:t xml:space="preserve">Congress cannot override the Constitution or reopen final judgments at will. It can amend statutes that courts interpreted, clarify delegations, create new causes of action and procedures, and legislate up to the constitutional boundary. The Act expressly says so.</w:t>
      </w:r>
    </w:p>
    <w:bookmarkEnd w:id="438"/>
    <w:bookmarkStart w:id="439" w:name="does-the-bill-abolish-doge"/>
    <w:p>
      <w:pPr>
        <w:pStyle w:val="Heading2"/>
        <w:keepNext/>
        <w:spacing w:before="160" w:after="60"/>
      </w:pPr>
      <w:r>
        <w:rPr>
          <w:rFonts w:ascii="Inter" w:hAnsi="Inter" w:eastAsia="Inter"/>
          <w:b/>
          <w:color w:val="1F3F5B"/>
          <w:sz w:val="23"/>
        </w:rPr>
        <w:t xml:space="preserve">Does the bill abolish DOGE?</w:t>
      </w:r>
    </w:p>
    <w:p>
      <w:pPr>
        <w:pStyle w:val="FirstParagraph"/>
        <w:widowControl/>
        <w:spacing w:after="60" w:line="250" w:lineRule="auto"/>
      </w:pPr>
      <w:r>
        <w:rPr>
          <w:rFonts w:ascii="Noto Serif" w:hAnsi="Noto Serif" w:eastAsia="Noto Serif"/>
          <w:sz w:val="19"/>
        </w:rPr>
        <w:t xml:space="preserve">It terminates ad hoc DOGE structures created only by executive action and replaces them with OPEI, a permanent, audited, professional efficiency office with strict limits on data access and no unilateral firing, cancellation, or impoundment power.</w:t>
      </w:r>
    </w:p>
    <w:bookmarkEnd w:id="439"/>
    <w:bookmarkStart w:id="440" w:name="does-it-bring-usaid-back"/>
    <w:p>
      <w:pPr>
        <w:pStyle w:val="Heading2"/>
        <w:keepNext/>
        <w:spacing w:before="160" w:after="60"/>
      </w:pPr>
      <w:r>
        <w:rPr>
          <w:rFonts w:ascii="Inter" w:hAnsi="Inter" w:eastAsia="Inter"/>
          <w:b/>
          <w:color w:val="1F3F5B"/>
          <w:sz w:val="23"/>
        </w:rPr>
        <w:t xml:space="preserve">Does it bring USAID back?</w:t>
      </w:r>
    </w:p>
    <w:p>
      <w:pPr>
        <w:pStyle w:val="FirstParagraph"/>
        <w:widowControl/>
        <w:spacing w:after="60" w:line="250" w:lineRule="auto"/>
      </w:pPr>
      <w:r>
        <w:rPr>
          <w:rFonts w:ascii="Noto Serif" w:hAnsi="Noto Serif" w:eastAsia="Noto Serif"/>
          <w:sz w:val="19"/>
        </w:rPr>
        <w:t xml:space="preserve">Yes. USAID is reaffirmed as an independent establishment, its workforce and missions are rebuilt, blanket assistance pauses are prohibited, and long-term development and humanitarian funding is authorized.</w:t>
      </w:r>
    </w:p>
    <w:bookmarkEnd w:id="440"/>
    <w:bookmarkStart w:id="441" w:name="X7a81749bcfbd241a6a5f705976c7380c5ce977c"/>
    <w:p>
      <w:pPr>
        <w:pStyle w:val="Heading2"/>
        <w:keepNext/>
        <w:spacing w:before="160" w:after="60"/>
      </w:pPr>
      <w:r>
        <w:rPr>
          <w:rFonts w:ascii="Inter" w:hAnsi="Inter" w:eastAsia="Inter"/>
          <w:b/>
          <w:color w:val="1F3F5B"/>
          <w:sz w:val="23"/>
        </w:rPr>
        <w:t xml:space="preserve">Does it stop oil, gas, mining, logging, or data centers?</w:t>
      </w:r>
    </w:p>
    <w:p>
      <w:pPr>
        <w:pStyle w:val="FirstParagraph"/>
        <w:widowControl/>
        <w:spacing w:after="60" w:line="250" w:lineRule="auto"/>
      </w:pPr>
      <w:r>
        <w:rPr>
          <w:rFonts w:ascii="Noto Serif" w:hAnsi="Noto Serif" w:eastAsia="Noto Serif"/>
          <w:sz w:val="19"/>
        </w:rPr>
        <w:t xml:space="preserve">No. It requires lawful review, fair value, bonding, pollution controls, resource planning, and community protection. Valid vested interests receive due process. Major data centers can proceed under predictable energy, water, grid, pollution, and cost-allocation rules.</w:t>
      </w:r>
    </w:p>
    <w:bookmarkEnd w:id="441"/>
    <w:bookmarkStart w:id="442" w:name="does-it-make-voting-open-to-noncitizens"/>
    <w:p>
      <w:pPr>
        <w:pStyle w:val="Heading2"/>
        <w:keepNext/>
        <w:spacing w:before="160" w:after="60"/>
      </w:pPr>
      <w:r>
        <w:rPr>
          <w:rFonts w:ascii="Inter" w:hAnsi="Inter" w:eastAsia="Inter"/>
          <w:b/>
          <w:color w:val="1F3F5B"/>
          <w:sz w:val="23"/>
        </w:rPr>
        <w:t xml:space="preserve">Does it make voting open to noncitizens?</w:t>
      </w:r>
    </w:p>
    <w:p>
      <w:pPr>
        <w:pStyle w:val="FirstParagraph"/>
        <w:widowControl/>
        <w:spacing w:after="60" w:line="250" w:lineRule="auto"/>
      </w:pPr>
      <w:r>
        <w:rPr>
          <w:rFonts w:ascii="Noto Serif" w:hAnsi="Noto Serif" w:eastAsia="Noto Serif"/>
          <w:sz w:val="19"/>
        </w:rPr>
        <w:t xml:space="preserve">No. Citizenship remains required for Federal voting. The bill rejects paperwork barriers that can exclude eligible citizens and relies on sworn eligibility, accurate government records, individualized review, and penalties for knowing fraud.</w:t>
      </w:r>
    </w:p>
    <w:bookmarkEnd w:id="442"/>
    <w:bookmarkStart w:id="443" w:name="X013f8bf998ea9e3e26b9f8259f5089659c4b0d9"/>
    <w:p>
      <w:pPr>
        <w:pStyle w:val="Heading2"/>
        <w:keepNext/>
        <w:spacing w:before="160" w:after="60"/>
      </w:pPr>
      <w:r>
        <w:rPr>
          <w:rFonts w:ascii="Inter" w:hAnsi="Inter" w:eastAsia="Inter"/>
          <w:b/>
          <w:color w:val="1F3F5B"/>
          <w:sz w:val="23"/>
        </w:rPr>
        <w:t xml:space="preserve">Does it force one ideology on Federal workers or schools?</w:t>
      </w:r>
    </w:p>
    <w:p>
      <w:pPr>
        <w:pStyle w:val="FirstParagraph"/>
        <w:widowControl/>
        <w:spacing w:after="60" w:line="250" w:lineRule="auto"/>
      </w:pPr>
      <w:r>
        <w:rPr>
          <w:rFonts w:ascii="Noto Serif" w:hAnsi="Noto Serif" w:eastAsia="Noto Serif"/>
          <w:sz w:val="19"/>
        </w:rPr>
        <w:t xml:space="preserve">No. It prohibits political loyalty tests, compelled ideological statements, and discrimination. Civil-rights compliance, professional competence, scientific integrity, and lawful job performance remain required.</w:t>
      </w:r>
    </w:p>
    <w:bookmarkEnd w:id="443"/>
    <w:bookmarkStart w:id="444" w:name="X9694982940ee353775696e78e49d3208bc3f5d2"/>
    <w:p>
      <w:pPr>
        <w:pStyle w:val="Heading2"/>
        <w:keepNext/>
        <w:spacing w:before="160" w:after="60"/>
      </w:pPr>
      <w:r>
        <w:rPr>
          <w:rFonts w:ascii="Inter" w:hAnsi="Inter" w:eastAsia="Inter"/>
          <w:b/>
          <w:color w:val="1F3F5B"/>
          <w:sz w:val="23"/>
        </w:rPr>
        <w:t xml:space="preserve">Does it make the United States hostile to Israel?</w:t>
      </w:r>
    </w:p>
    <w:p>
      <w:pPr>
        <w:pStyle w:val="FirstParagraph"/>
        <w:widowControl/>
        <w:spacing w:after="60" w:line="250" w:lineRule="auto"/>
      </w:pPr>
      <w:r>
        <w:rPr>
          <w:rFonts w:ascii="Noto Serif" w:hAnsi="Noto Serif" w:eastAsia="Noto Serif"/>
          <w:sz w:val="19"/>
        </w:rPr>
        <w:t xml:space="preserve">No. The foreign-policy title is deliberately country-neutral. Israel and every other security partner receive assistance only under the same congressional, human-rights, end-use, civilian-harm, sovereignty, and anti-corruption rules. No country receives a blank check, and no country is singled out for unequal punishment.</w:t>
      </w:r>
    </w:p>
    <w:bookmarkEnd w:id="444"/>
    <w:bookmarkStart w:id="445" w:name="is-the-15-year-review-a-sunset"/>
    <w:p>
      <w:pPr>
        <w:pStyle w:val="Heading2"/>
        <w:keepNext/>
        <w:spacing w:before="160" w:after="60"/>
      </w:pPr>
      <w:r>
        <w:rPr>
          <w:rFonts w:ascii="Inter" w:hAnsi="Inter" w:eastAsia="Inter"/>
          <w:b/>
          <w:color w:val="1F3F5B"/>
          <w:sz w:val="23"/>
        </w:rPr>
        <w:t xml:space="preserve">Is the 15-year review a sunset?</w:t>
      </w:r>
    </w:p>
    <w:p>
      <w:pPr>
        <w:pStyle w:val="FirstParagraph"/>
        <w:widowControl/>
        <w:spacing w:after="60" w:line="250" w:lineRule="auto"/>
      </w:pPr>
      <w:r>
        <w:rPr>
          <w:rFonts w:ascii="Noto Serif" w:hAnsi="Noto Serif" w:eastAsia="Noto Serif"/>
          <w:sz w:val="19"/>
        </w:rPr>
        <w:t xml:space="preserve">No. The law continues unless Congress amends or repeals it. The review is a mandatory evidence and accountability process.</w:t>
      </w:r>
    </w:p>
    <w:bookmarkEnd w:id="445"/>
    <w:bookmarkEnd w:id="446"/>
    <w:bookmarkStart w:id="447" w:name="Xf8cf199b9e4c530db6bfa145d34caaecfe63e8a"/>
    <w:p>
      <w:pPr>
        <w:pStyle w:val="Heading1"/>
        <w:keepNext/>
        <w:pageBreakBefore/>
        <w:spacing w:before="0" w:after="180"/>
        <w:pBdr>
          <w:bottom w:val="single" w:sz="8" w:space="4" w:color="9EB0BF"/>
        </w:pBdr>
      </w:pPr>
      <w:r>
        <w:rPr>
          <w:rFonts w:ascii="Inter" w:hAnsi="Inter" w:eastAsia="Inter"/>
          <w:b/>
          <w:color w:val="142D48"/>
          <w:sz w:val="34"/>
        </w:rPr>
        <w:t xml:space="preserve">RESEARCH BASIS AND SELECTED PRIMARY SOURCES</w:t>
      </w:r>
    </w:p>
    <w:p>
      <w:pPr>
        <w:pStyle w:val="FirstParagraph"/>
        <w:widowControl/>
        <w:spacing w:after="60" w:line="250" w:lineRule="auto"/>
      </w:pPr>
      <w:r>
        <w:rPr>
          <w:rFonts w:ascii="Noto Serif" w:hAnsi="Noto Serif" w:eastAsia="Noto Serif"/>
          <w:sz w:val="19"/>
        </w:rPr>
        <w:t xml:space="preserve">The legislative design was informed principally by official sources, including:</w:t>
      </w:r>
    </w:p>
    <w:p>
      <w:pPr>
        <w:pStyle w:val="Compact"/>
        <w:widowControl/>
        <w:numPr>
          <w:ilvl w:val="0"/>
          <w:numId w:val="1144"/>
        </w:numPr>
        <w:spacing w:after="30" w:line="245" w:lineRule="auto"/>
      </w:pPr>
      <w:r>
        <w:rPr>
          <w:rFonts w:ascii="Noto Serif" w:hAnsi="Noto Serif" w:eastAsia="Noto Serif"/>
          <w:sz w:val="18"/>
        </w:rPr>
        <w:t xml:space="preserve">Federal Register and White House executive actions concerning initial rescissions, DOGE, workforce optimization, cost efficiency, regulatory quotas, Policy/Career personnel classification, independent agencies, energy, climate, elections, immigration, education, foreign assistance, tariffs, AI infrastructure, and related administration policy.</w:t>
      </w:r>
    </w:p>
    <w:p>
      <w:pPr>
        <w:pStyle w:val="Compact"/>
        <w:widowControl/>
        <w:numPr>
          <w:ilvl w:val="0"/>
          <w:numId w:val="1144"/>
        </w:numPr>
        <w:spacing w:after="30" w:line="245" w:lineRule="auto"/>
      </w:pPr>
      <w:r>
        <w:rPr>
          <w:rFonts w:ascii="Noto Serif" w:hAnsi="Noto Serif" w:eastAsia="Noto Serif"/>
          <w:sz w:val="18"/>
        </w:rPr>
        <w:t xml:space="preserve">Government Accountability Office materials concerning the Impoundment Control Act, appropriations enforcement, Federal data-center electricity demand, and agency oversight.</w:t>
      </w:r>
    </w:p>
    <w:p>
      <w:pPr>
        <w:pStyle w:val="Compact"/>
        <w:widowControl/>
        <w:numPr>
          <w:ilvl w:val="0"/>
          <w:numId w:val="1144"/>
        </w:numPr>
        <w:spacing w:after="30" w:line="245" w:lineRule="auto"/>
      </w:pPr>
      <w:r>
        <w:rPr>
          <w:rFonts w:ascii="Noto Serif" w:hAnsi="Noto Serif" w:eastAsia="Noto Serif"/>
          <w:sz w:val="18"/>
        </w:rPr>
        <w:t xml:space="preserve">Official Department of State, USAID-transition, Department of Education, HHS, EPA, DOE, OPM, OMB, CEQ, CFPB, and Treasury materials describing reorganizations, reductions, rule changes, enforcement policies, and program transitions.</w:t>
      </w:r>
    </w:p>
    <w:p>
      <w:pPr>
        <w:pStyle w:val="Compact"/>
        <w:widowControl/>
        <w:numPr>
          <w:ilvl w:val="0"/>
          <w:numId w:val="1144"/>
        </w:numPr>
        <w:spacing w:after="30" w:line="245" w:lineRule="auto"/>
      </w:pPr>
      <w:r>
        <w:rPr>
          <w:rFonts w:ascii="Noto Serif" w:hAnsi="Noto Serif" w:eastAsia="Noto Serif"/>
          <w:sz w:val="18"/>
        </w:rPr>
        <w:t xml:space="preserve">Supreme Court opinions and dockets concerning administrative deference, Clean Water Act jurisdiction, climate regulation, presidential immunity, tariffs under IEEPA, and birthright citizenship.</w:t>
      </w:r>
    </w:p>
    <w:p>
      <w:pPr>
        <w:pStyle w:val="Compact"/>
        <w:widowControl/>
        <w:numPr>
          <w:ilvl w:val="0"/>
          <w:numId w:val="1144"/>
        </w:numPr>
        <w:spacing w:after="30" w:line="245" w:lineRule="auto"/>
      </w:pPr>
      <w:r>
        <w:rPr>
          <w:rFonts w:ascii="Noto Serif" w:hAnsi="Noto Serif" w:eastAsia="Noto Serif"/>
          <w:sz w:val="18"/>
        </w:rPr>
        <w:t xml:space="preserve">The project’s full FAITH Act draft, which establishes conscience, non-entanglement, institutional accountability, safeguarding, privacy, and religion-politics design.</w:t>
      </w:r>
    </w:p>
    <w:p>
      <w:pPr>
        <w:pStyle w:val="Compact"/>
        <w:widowControl/>
        <w:numPr>
          <w:ilvl w:val="0"/>
          <w:numId w:val="1144"/>
        </w:numPr>
        <w:spacing w:after="30" w:line="245" w:lineRule="auto"/>
      </w:pPr>
      <w:r>
        <w:rPr>
          <w:rFonts w:ascii="Noto Serif" w:hAnsi="Noto Serif" w:eastAsia="Noto Serif"/>
          <w:sz w:val="18"/>
        </w:rPr>
        <w:t xml:space="preserve">The project’s Transparent Government Act instructions, which establish the public portal, influence-contact disclosures, citizen questions, records, whistleblowing, and independent integrity architecture.</w:t>
      </w:r>
    </w:p>
    <w:p>
      <w:pPr>
        <w:pStyle w:val="Compact"/>
        <w:widowControl/>
        <w:numPr>
          <w:ilvl w:val="0"/>
          <w:numId w:val="1144"/>
        </w:numPr>
        <w:spacing w:after="30" w:line="245" w:lineRule="auto"/>
      </w:pPr>
      <w:r>
        <w:rPr>
          <w:rFonts w:ascii="Noto Serif" w:hAnsi="Noto Serif" w:eastAsia="Noto Serif"/>
          <w:sz w:val="18"/>
        </w:rPr>
        <w:t xml:space="preserve">The text of the SAVE Act supplied in the project record, including documentary-citizenship proof, database, private-action, and criminal-penalty provisions.</w:t>
      </w:r>
    </w:p>
    <w:bookmarkEnd w:id="447"/>
    <w:bookmarkStart w:id="455" w:name="quality-check"/>
    <w:p>
      <w:pPr>
        <w:pStyle w:val="Heading1"/>
        <w:keepNext/>
        <w:pageBreakBefore/>
        <w:spacing w:before="0" w:after="180"/>
        <w:pBdr>
          <w:bottom w:val="single" w:sz="8" w:space="4" w:color="9EB0BF"/>
        </w:pBdr>
      </w:pPr>
      <w:r>
        <w:rPr>
          <w:rFonts w:ascii="Inter" w:hAnsi="Inter" w:eastAsia="Inter"/>
          <w:b/>
          <w:color w:val="142D48"/>
          <w:sz w:val="34"/>
        </w:rPr>
        <w:t xml:space="preserve">QUALITY-CHECK</w:t>
      </w:r>
    </w:p>
    <w:bookmarkStart w:id="448" w:name="consistency"/>
    <w:p>
      <w:pPr>
        <w:pStyle w:val="Heading2"/>
        <w:keepNext/>
        <w:spacing w:before="160" w:after="60"/>
      </w:pPr>
      <w:r>
        <w:rPr>
          <w:rFonts w:ascii="Inter" w:hAnsi="Inter" w:eastAsia="Inter"/>
          <w:b/>
          <w:color w:val="1F3F5B"/>
          <w:sz w:val="23"/>
        </w:rPr>
        <w:t xml:space="preserve">Consistency</w:t>
      </w:r>
    </w:p>
    <w:p>
      <w:pPr>
        <w:pStyle w:val="Compact"/>
        <w:widowControl/>
        <w:numPr>
          <w:ilvl w:val="0"/>
          <w:numId w:val="1145"/>
        </w:numPr>
        <w:spacing w:after="30" w:line="245" w:lineRule="auto"/>
      </w:pPr>
      <w:r>
        <w:rPr>
          <w:rFonts w:ascii="Noto Serif" w:hAnsi="Noto Serif" w:eastAsia="Noto Serif"/>
          <w:sz w:val="18"/>
        </w:rPr>
        <w:t xml:space="preserve">Definitions precede operative use.</w:t>
      </w:r>
    </w:p>
    <w:p>
      <w:pPr>
        <w:pStyle w:val="Compact"/>
        <w:widowControl/>
        <w:numPr>
          <w:ilvl w:val="0"/>
          <w:numId w:val="1145"/>
        </w:numPr>
        <w:spacing w:after="30" w:line="245" w:lineRule="auto"/>
      </w:pPr>
      <w:r>
        <w:rPr>
          <w:rFonts w:ascii="Noto Serif" w:hAnsi="Noto Serif" w:eastAsia="Noto Serif"/>
          <w:sz w:val="18"/>
        </w:rPr>
        <w:t xml:space="preserve">The review mechanism reaches named and unnamed actions.</w:t>
      </w:r>
    </w:p>
    <w:p>
      <w:pPr>
        <w:pStyle w:val="Compact"/>
        <w:widowControl/>
        <w:numPr>
          <w:ilvl w:val="0"/>
          <w:numId w:val="1145"/>
        </w:numPr>
        <w:spacing w:after="30" w:line="245" w:lineRule="auto"/>
      </w:pPr>
      <w:r>
        <w:rPr>
          <w:rFonts w:ascii="Noto Serif" w:hAnsi="Noto Serif" w:eastAsia="Noto Serif"/>
          <w:sz w:val="18"/>
        </w:rPr>
        <w:t xml:space="preserve">Specialized project Acts control where stronger, reducing duplication.</w:t>
      </w:r>
    </w:p>
    <w:p>
      <w:pPr>
        <w:pStyle w:val="Compact"/>
        <w:widowControl/>
        <w:numPr>
          <w:ilvl w:val="0"/>
          <w:numId w:val="1145"/>
        </w:numPr>
        <w:spacing w:after="30" w:line="245" w:lineRule="auto"/>
      </w:pPr>
      <w:r>
        <w:rPr>
          <w:rFonts w:ascii="Noto Serif" w:hAnsi="Noto Serif" w:eastAsia="Noto Serif"/>
          <w:sz w:val="18"/>
        </w:rPr>
        <w:t xml:space="preserve">Immediate, 90-day, 1-year, 2-year, 5-year, and 15-year deadlines are coordinated.</w:t>
      </w:r>
    </w:p>
    <w:p>
      <w:pPr>
        <w:pStyle w:val="Compact"/>
        <w:widowControl/>
        <w:numPr>
          <w:ilvl w:val="0"/>
          <w:numId w:val="1145"/>
        </w:numPr>
        <w:spacing w:after="30" w:line="245" w:lineRule="auto"/>
      </w:pPr>
      <w:r>
        <w:rPr>
          <w:rFonts w:ascii="Noto Serif" w:hAnsi="Noto Serif" w:eastAsia="Noto Serif"/>
          <w:sz w:val="18"/>
        </w:rPr>
        <w:t xml:space="preserve">“</w:t>
      </w:r>
      <w:r>
        <w:rPr>
          <w:rFonts w:ascii="Noto Serif" w:hAnsi="Noto Serif" w:eastAsia="Noto Serif"/>
          <w:sz w:val="18"/>
        </w:rPr>
        <w:t xml:space="preserve">Authorization</w:t>
      </w:r>
      <w:r>
        <w:rPr>
          <w:rFonts w:ascii="Noto Serif" w:hAnsi="Noto Serif" w:eastAsia="Noto Serif"/>
          <w:sz w:val="18"/>
        </w:rPr>
        <w:t xml:space="preserve">”</w:t>
      </w:r>
      <w:r>
        <w:rPr>
          <w:rFonts w:ascii="Noto Serif" w:hAnsi="Noto Serif" w:eastAsia="Noto Serif"/>
          <w:sz w:val="18"/>
        </w:rPr>
        <w:t xml:space="preserve"> </w:t>
      </w:r>
      <w:r>
        <w:rPr>
          <w:rFonts w:ascii="Noto Serif" w:hAnsi="Noto Serif" w:eastAsia="Noto Serif"/>
          <w:sz w:val="18"/>
        </w:rPr>
        <w:t xml:space="preserve">is not presented as an automatic outlay.</w:t>
      </w:r>
    </w:p>
    <w:bookmarkEnd w:id="448"/>
    <w:bookmarkStart w:id="449" w:name="authority"/>
    <w:p>
      <w:pPr>
        <w:pStyle w:val="Heading2"/>
        <w:keepNext/>
        <w:spacing w:before="160" w:after="60"/>
      </w:pPr>
      <w:r>
        <w:rPr>
          <w:rFonts w:ascii="Inter" w:hAnsi="Inter" w:eastAsia="Inter"/>
          <w:b/>
          <w:color w:val="1F3F5B"/>
          <w:sz w:val="23"/>
        </w:rPr>
        <w:t xml:space="preserve">Authority</w:t>
      </w:r>
    </w:p>
    <w:p>
      <w:pPr>
        <w:pStyle w:val="Compact"/>
        <w:widowControl/>
        <w:numPr>
          <w:ilvl w:val="0"/>
          <w:numId w:val="1146"/>
        </w:numPr>
        <w:spacing w:after="30" w:line="245" w:lineRule="auto"/>
      </w:pPr>
      <w:r>
        <w:rPr>
          <w:rFonts w:ascii="Noto Serif" w:hAnsi="Noto Serif" w:eastAsia="Noto Serif"/>
          <w:sz w:val="18"/>
        </w:rPr>
        <w:t xml:space="preserve">Elections: Elections Clause, Reconstruction Amendments, spending power.</w:t>
      </w:r>
    </w:p>
    <w:p>
      <w:pPr>
        <w:pStyle w:val="Compact"/>
        <w:widowControl/>
        <w:numPr>
          <w:ilvl w:val="0"/>
          <w:numId w:val="1146"/>
        </w:numPr>
        <w:spacing w:after="30" w:line="245" w:lineRule="auto"/>
      </w:pPr>
      <w:r>
        <w:rPr>
          <w:rFonts w:ascii="Noto Serif" w:hAnsi="Noto Serif" w:eastAsia="Noto Serif"/>
          <w:sz w:val="18"/>
        </w:rPr>
        <w:t xml:space="preserve">Appropriations: Article I and Necessary and Proper Clause.</w:t>
      </w:r>
    </w:p>
    <w:p>
      <w:pPr>
        <w:pStyle w:val="Compact"/>
        <w:widowControl/>
        <w:numPr>
          <w:ilvl w:val="0"/>
          <w:numId w:val="1146"/>
        </w:numPr>
        <w:spacing w:after="30" w:line="245" w:lineRule="auto"/>
      </w:pPr>
      <w:r>
        <w:rPr>
          <w:rFonts w:ascii="Noto Serif" w:hAnsi="Noto Serif" w:eastAsia="Noto Serif"/>
          <w:sz w:val="18"/>
        </w:rPr>
        <w:t xml:space="preserve">Civil service and agencies: creation and regulation of Federal offices.</w:t>
      </w:r>
    </w:p>
    <w:p>
      <w:pPr>
        <w:pStyle w:val="Compact"/>
        <w:widowControl/>
        <w:numPr>
          <w:ilvl w:val="0"/>
          <w:numId w:val="1146"/>
        </w:numPr>
        <w:spacing w:after="30" w:line="245" w:lineRule="auto"/>
      </w:pPr>
      <w:r>
        <w:rPr>
          <w:rFonts w:ascii="Noto Serif" w:hAnsi="Noto Serif" w:eastAsia="Noto Serif"/>
          <w:sz w:val="18"/>
        </w:rPr>
        <w:t xml:space="preserve">Environment/data centers/privacy/economy: Commerce, Property, spending, and necessary-and-proper powers.</w:t>
      </w:r>
    </w:p>
    <w:p>
      <w:pPr>
        <w:pStyle w:val="Compact"/>
        <w:widowControl/>
        <w:numPr>
          <w:ilvl w:val="0"/>
          <w:numId w:val="1146"/>
        </w:numPr>
        <w:spacing w:after="30" w:line="245" w:lineRule="auto"/>
      </w:pPr>
      <w:r>
        <w:rPr>
          <w:rFonts w:ascii="Noto Serif" w:hAnsi="Noto Serif" w:eastAsia="Noto Serif"/>
          <w:sz w:val="18"/>
        </w:rPr>
        <w:t xml:space="preserve">Immigration: naturalization and immigration powers plus due process.</w:t>
      </w:r>
    </w:p>
    <w:p>
      <w:pPr>
        <w:pStyle w:val="Compact"/>
        <w:widowControl/>
        <w:numPr>
          <w:ilvl w:val="0"/>
          <w:numId w:val="1146"/>
        </w:numPr>
        <w:spacing w:after="30" w:line="245" w:lineRule="auto"/>
      </w:pPr>
      <w:r>
        <w:rPr>
          <w:rFonts w:ascii="Noto Serif" w:hAnsi="Noto Serif" w:eastAsia="Noto Serif"/>
          <w:sz w:val="18"/>
        </w:rPr>
        <w:t xml:space="preserve">Foreign aid/security: spending, foreign commerce, Armed Forces, war, and oversight powers.</w:t>
      </w:r>
    </w:p>
    <w:bookmarkEnd w:id="449"/>
    <w:bookmarkStart w:id="450" w:name="constitutional-risk"/>
    <w:p>
      <w:pPr>
        <w:pStyle w:val="Heading2"/>
        <w:keepNext/>
        <w:spacing w:before="160" w:after="60"/>
      </w:pPr>
      <w:r>
        <w:rPr>
          <w:rFonts w:ascii="Inter" w:hAnsi="Inter" w:eastAsia="Inter"/>
          <w:b/>
          <w:color w:val="1F3F5B"/>
          <w:sz w:val="23"/>
        </w:rPr>
        <w:t xml:space="preserve">Constitutional risk</w:t>
      </w:r>
    </w:p>
    <w:p>
      <w:pPr>
        <w:pStyle w:val="FirstParagraph"/>
        <w:widowControl/>
        <w:spacing w:after="60" w:line="250" w:lineRule="auto"/>
      </w:pPr>
      <w:r>
        <w:rPr>
          <w:rFonts w:ascii="Noto Serif" w:hAnsi="Noto Serif" w:eastAsia="Noto Serif"/>
          <w:sz w:val="19"/>
        </w:rPr>
        <w:t xml:space="preserve">Highest-risk provisions are removal protections, broad election rules, Clean Water Act scope, administrative deference, major-questions limits, foreign-affairs reporting, and systemwide judicial remedies. Each contains tailoring and severability, but all should receive current Supreme Court precedent review immediately before introduction.</w:t>
      </w:r>
    </w:p>
    <w:bookmarkEnd w:id="450"/>
    <w:bookmarkStart w:id="451" w:name="enforceability"/>
    <w:p>
      <w:pPr>
        <w:pStyle w:val="Heading2"/>
        <w:keepNext/>
        <w:spacing w:before="160" w:after="60"/>
      </w:pPr>
      <w:r>
        <w:rPr>
          <w:rFonts w:ascii="Inter" w:hAnsi="Inter" w:eastAsia="Inter"/>
          <w:b/>
          <w:color w:val="1F3F5B"/>
          <w:sz w:val="23"/>
        </w:rPr>
        <w:t xml:space="preserve">Enforceability</w:t>
      </w:r>
    </w:p>
    <w:p>
      <w:pPr>
        <w:pStyle w:val="Compact"/>
        <w:widowControl/>
        <w:numPr>
          <w:ilvl w:val="0"/>
          <w:numId w:val="1147"/>
        </w:numPr>
        <w:spacing w:after="30" w:line="245" w:lineRule="auto"/>
      </w:pPr>
      <w:r>
        <w:rPr>
          <w:rFonts w:ascii="Noto Serif" w:hAnsi="Noto Serif" w:eastAsia="Noto Serif"/>
          <w:sz w:val="18"/>
        </w:rPr>
        <w:t xml:space="preserve">Named administrators, deadlines, records, hearing rights, and judicial review are provided.</w:t>
      </w:r>
    </w:p>
    <w:p>
      <w:pPr>
        <w:pStyle w:val="Compact"/>
        <w:widowControl/>
        <w:numPr>
          <w:ilvl w:val="0"/>
          <w:numId w:val="1147"/>
        </w:numPr>
        <w:spacing w:after="30" w:line="245" w:lineRule="auto"/>
      </w:pPr>
      <w:r>
        <w:rPr>
          <w:rFonts w:ascii="Noto Serif" w:hAnsi="Noto Serif" w:eastAsia="Noto Serif"/>
          <w:sz w:val="18"/>
        </w:rPr>
        <w:t xml:space="preserve">OPEI has useful tools but cannot exercise unbounded power.</w:t>
      </w:r>
    </w:p>
    <w:p>
      <w:pPr>
        <w:pStyle w:val="Compact"/>
        <w:widowControl/>
        <w:numPr>
          <w:ilvl w:val="0"/>
          <w:numId w:val="1147"/>
        </w:numPr>
        <w:spacing w:after="30" w:line="245" w:lineRule="auto"/>
      </w:pPr>
      <w:r>
        <w:rPr>
          <w:rFonts w:ascii="Noto Serif" w:hAnsi="Noto Serif" w:eastAsia="Noto Serif"/>
          <w:sz w:val="18"/>
        </w:rPr>
        <w:t xml:space="preserve">Agencies must publish implementation and corrective plans.</w:t>
      </w:r>
    </w:p>
    <w:p>
      <w:pPr>
        <w:pStyle w:val="Compact"/>
        <w:widowControl/>
        <w:numPr>
          <w:ilvl w:val="0"/>
          <w:numId w:val="1147"/>
        </w:numPr>
        <w:spacing w:after="30" w:line="245" w:lineRule="auto"/>
      </w:pPr>
      <w:r>
        <w:rPr>
          <w:rFonts w:ascii="Noto Serif" w:hAnsi="Noto Serif" w:eastAsia="Noto Serif"/>
          <w:sz w:val="18"/>
        </w:rPr>
        <w:t xml:space="preserve">GAO, Inspectors General, States, Tribes, affected persons, and courts have defined roles.</w:t>
      </w:r>
    </w:p>
    <w:bookmarkEnd w:id="451"/>
    <w:bookmarkStart w:id="452" w:name="fiscal-assumptions"/>
    <w:p>
      <w:pPr>
        <w:pStyle w:val="Heading2"/>
        <w:keepNext/>
        <w:spacing w:before="160" w:after="60"/>
      </w:pPr>
      <w:r>
        <w:rPr>
          <w:rFonts w:ascii="Inter" w:hAnsi="Inter" w:eastAsia="Inter"/>
          <w:b/>
          <w:color w:val="1F3F5B"/>
          <w:sz w:val="23"/>
        </w:rPr>
        <w:t xml:space="preserve">Fiscal assumptions</w:t>
      </w:r>
    </w:p>
    <w:p>
      <w:pPr>
        <w:pStyle w:val="Compact"/>
        <w:widowControl/>
        <w:numPr>
          <w:ilvl w:val="0"/>
          <w:numId w:val="1148"/>
        </w:numPr>
        <w:spacing w:after="30" w:line="245" w:lineRule="auto"/>
      </w:pPr>
      <w:r>
        <w:rPr>
          <w:rFonts w:ascii="Noto Serif" w:hAnsi="Noto Serif" w:eastAsia="Noto Serif"/>
          <w:sz w:val="18"/>
        </w:rPr>
        <w:t xml:space="preserve">The fiscal note is illustrative and requires CBO/JCT scoring.</w:t>
      </w:r>
    </w:p>
    <w:p>
      <w:pPr>
        <w:pStyle w:val="Compact"/>
        <w:widowControl/>
        <w:numPr>
          <w:ilvl w:val="0"/>
          <w:numId w:val="1148"/>
        </w:numPr>
        <w:spacing w:after="30" w:line="245" w:lineRule="auto"/>
      </w:pPr>
      <w:r>
        <w:rPr>
          <w:rFonts w:ascii="Noto Serif" w:hAnsi="Noto Serif" w:eastAsia="Noto Serif"/>
          <w:sz w:val="18"/>
        </w:rPr>
        <w:t xml:space="preserve">USAID, grid, environmental, claims, and Restoration Fund authorizations drive the largest direct cost.</w:t>
      </w:r>
    </w:p>
    <w:p>
      <w:pPr>
        <w:pStyle w:val="Compact"/>
        <w:widowControl/>
        <w:numPr>
          <w:ilvl w:val="0"/>
          <w:numId w:val="1148"/>
        </w:numPr>
        <w:spacing w:after="30" w:line="245" w:lineRule="auto"/>
      </w:pPr>
      <w:r>
        <w:rPr>
          <w:rFonts w:ascii="Noto Serif" w:hAnsi="Noto Serif" w:eastAsia="Noto Serif"/>
          <w:sz w:val="18"/>
        </w:rPr>
        <w:t xml:space="preserve">Tax compliance, procurement, fair-value leasing, and avoided harm may offset cost but should be scored conservatively.</w:t>
      </w:r>
    </w:p>
    <w:bookmarkEnd w:id="452"/>
    <w:bookmarkStart w:id="453" w:name="implementation-risk"/>
    <w:p>
      <w:pPr>
        <w:pStyle w:val="Heading2"/>
        <w:keepNext/>
        <w:spacing w:before="160" w:after="60"/>
      </w:pPr>
      <w:r>
        <w:rPr>
          <w:rFonts w:ascii="Inter" w:hAnsi="Inter" w:eastAsia="Inter"/>
          <w:b/>
          <w:color w:val="1F3F5B"/>
          <w:sz w:val="23"/>
        </w:rPr>
        <w:t xml:space="preserve">Implementation risk</w:t>
      </w:r>
    </w:p>
    <w:p>
      <w:pPr>
        <w:pStyle w:val="FirstParagraph"/>
        <w:widowControl/>
        <w:spacing w:after="60" w:line="250" w:lineRule="auto"/>
      </w:pPr>
      <w:r>
        <w:rPr>
          <w:rFonts w:ascii="Noto Serif" w:hAnsi="Noto Serif" w:eastAsia="Noto Serif"/>
          <w:sz w:val="19"/>
        </w:rPr>
        <w:t xml:space="preserve">Principal risks are hiring bottlenecks, litigation, loss of institutional knowledge, contractor dependence, State capacity, incompatible data systems, rapid grant deployment, and overlapping companion Acts. The roadmap, reconstitution corps, public dashboards, technical assistance, and staged review address but do not eliminate those risks.</w:t>
      </w:r>
    </w:p>
    <w:bookmarkEnd w:id="453"/>
    <w:bookmarkStart w:id="454" w:name="open-questions-for-sponsor-decisions"/>
    <w:p>
      <w:pPr>
        <w:pStyle w:val="Heading2"/>
        <w:keepNext/>
        <w:spacing w:before="160" w:after="60"/>
      </w:pPr>
      <w:r>
        <w:rPr>
          <w:rFonts w:ascii="Inter" w:hAnsi="Inter" w:eastAsia="Inter"/>
          <w:b/>
          <w:color w:val="1F3F5B"/>
          <w:sz w:val="23"/>
        </w:rPr>
        <w:t xml:space="preserve">Open questions for sponsor decisions</w:t>
      </w:r>
    </w:p>
    <w:p>
      <w:pPr>
        <w:pStyle w:val="Compact"/>
        <w:widowControl/>
        <w:numPr>
          <w:ilvl w:val="0"/>
          <w:numId w:val="1149"/>
        </w:numPr>
        <w:spacing w:after="30" w:line="245" w:lineRule="auto"/>
      </w:pPr>
      <w:r>
        <w:rPr>
          <w:rFonts w:ascii="Noto Serif" w:hAnsi="Noto Serif" w:eastAsia="Noto Serif"/>
          <w:sz w:val="18"/>
        </w:rPr>
        <w:t xml:space="preserve">Whether USAID funding should be a fixed dollar path, a GNI percentage, or both.</w:t>
      </w:r>
    </w:p>
    <w:p>
      <w:pPr>
        <w:pStyle w:val="Compact"/>
        <w:widowControl/>
        <w:numPr>
          <w:ilvl w:val="0"/>
          <w:numId w:val="1149"/>
        </w:numPr>
        <w:spacing w:after="30" w:line="245" w:lineRule="auto"/>
      </w:pPr>
      <w:r>
        <w:rPr>
          <w:rFonts w:ascii="Noto Serif" w:hAnsi="Noto Serif" w:eastAsia="Noto Serif"/>
          <w:sz w:val="18"/>
        </w:rPr>
        <w:t xml:space="preserve">Whether the refugee admissions floor should be 100,000, 125,000, or indexed to global need and domestic capacity.</w:t>
      </w:r>
    </w:p>
    <w:p>
      <w:pPr>
        <w:pStyle w:val="Compact"/>
        <w:widowControl/>
        <w:numPr>
          <w:ilvl w:val="0"/>
          <w:numId w:val="1149"/>
        </w:numPr>
        <w:spacing w:after="30" w:line="245" w:lineRule="auto"/>
      </w:pPr>
      <w:r>
        <w:rPr>
          <w:rFonts w:ascii="Noto Serif" w:hAnsi="Noto Serif" w:eastAsia="Noto Serif"/>
          <w:sz w:val="18"/>
        </w:rPr>
        <w:t xml:space="preserve">Whether data-center thresholds should begin at 25, 50, or 100 megawatts and whether cryptocurrency mining should be expressly included.</w:t>
      </w:r>
    </w:p>
    <w:p>
      <w:pPr>
        <w:pStyle w:val="Compact"/>
        <w:widowControl/>
        <w:numPr>
          <w:ilvl w:val="0"/>
          <w:numId w:val="1149"/>
        </w:numPr>
        <w:spacing w:after="30" w:line="245" w:lineRule="auto"/>
      </w:pPr>
      <w:r>
        <w:rPr>
          <w:rFonts w:ascii="Noto Serif" w:hAnsi="Noto Serif" w:eastAsia="Noto Serif"/>
          <w:sz w:val="18"/>
        </w:rPr>
        <w:t xml:space="preserve">Whether the Claims Commission cap should be fixed or separately appropriated by category.</w:t>
      </w:r>
    </w:p>
    <w:p>
      <w:pPr>
        <w:pStyle w:val="Compact"/>
        <w:widowControl/>
        <w:numPr>
          <w:ilvl w:val="0"/>
          <w:numId w:val="1149"/>
        </w:numPr>
        <w:spacing w:after="30" w:line="245" w:lineRule="auto"/>
      </w:pPr>
      <w:r>
        <w:rPr>
          <w:rFonts w:ascii="Noto Serif" w:hAnsi="Noto Serif" w:eastAsia="Noto Serif"/>
          <w:sz w:val="18"/>
        </w:rPr>
        <w:t xml:space="preserve">Whether the interim election title should remain if the American Vote Act is enacted simultaneously.</w:t>
      </w:r>
    </w:p>
    <w:p>
      <w:pPr>
        <w:pStyle w:val="Compact"/>
        <w:widowControl/>
        <w:numPr>
          <w:ilvl w:val="0"/>
          <w:numId w:val="1149"/>
        </w:numPr>
        <w:spacing w:after="30" w:line="245" w:lineRule="auto"/>
      </w:pPr>
      <w:r>
        <w:rPr>
          <w:rFonts w:ascii="Noto Serif" w:hAnsi="Noto Serif" w:eastAsia="Noto Serif"/>
          <w:sz w:val="18"/>
        </w:rPr>
        <w:t xml:space="preserve">Which provisions should be included in budget reconciliation, regular authorization, appropriations, or separate constitutional amendments.</w:t>
      </w:r>
    </w:p>
    <w:p>
      <w:pPr>
        <w:pStyle w:val="Compact"/>
        <w:widowControl/>
        <w:numPr>
          <w:ilvl w:val="0"/>
          <w:numId w:val="1149"/>
        </w:numPr>
        <w:spacing w:after="30" w:line="245" w:lineRule="auto"/>
      </w:pPr>
      <w:r>
        <w:rPr>
          <w:rFonts w:ascii="Noto Serif" w:hAnsi="Noto Serif" w:eastAsia="Noto Serif"/>
          <w:sz w:val="18"/>
        </w:rPr>
        <w:t xml:space="preserve">The exact conforming amendments required across the U.S. Code, Federal Register, and companion project measures.</w:t>
      </w:r>
    </w:p>
    <w:bookmarkEnd w:id="454"/>
    <w:bookmarkEnd w:id="455"/>
    <w:sectPr w:rsidR="00FC693F" w:rsidRPr="0006063C" w:rsidSect="00034616">
      <w:headerReference r:id="rId9" w:type="default"/>
      <w:footerReference r:id="rId10" w:type="default"/>
      <w:headerReference w:type="first" r:id="rId11"/>
      <w:footerReference w:type="first" r:id="rId12"/>
      <w:pgSz w:h="15840" w:w="12240"/>
      <w:pgMar w:bottom="1037" w:footer="432" w:gutter="0" w:header="432" w:left="1181" w:right="1181" w:top="1123"/>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color w:val="6E767D"/>
        <w:sz w:val="14"/>
      </w:rPr>
      <w:t xml:space="preserve">DRAFT FOR POLICY DEVELOPMENT  •  </w:t>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3" w:color="B6C3CE"/>
      </w:pBdr>
    </w:pPr>
    <w:r>
      <w:rPr>
        <w:rFonts w:ascii="Inter" w:hAnsi="Inter" w:eastAsia="Inter"/>
        <w:b/>
        <w:color w:val="5F6C76"/>
        <w:sz w:val="14"/>
      </w:rPr>
      <w:t>AMERICAN RESTORATION ACT OF 2026  |  MODEL FEDERAL LEGISLATIVE PACKAGE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2">
    <w:nsid w:val="00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33">
    <w:nsid w:val="00A9973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1"/>
  </w:num>
  <w:num w:numId="1146">
    <w:abstractNumId w:val="991"/>
  </w:num>
  <w:num w:numId="1147">
    <w:abstractNumId w:val="991"/>
  </w:num>
  <w:num w:numId="1148">
    <w:abstractNumId w:val="991"/>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60" w:line="250" w:lineRule="auto"/>
    </w:pPr>
    <w:rPr>
      <w:rFonts w:ascii="Noto Serif" w:eastAsia="Noto Serif" w:hAnsi="Noto Serif"/>
      <w:sz w:val="19"/>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0" w:line="240" w:lineRule="auto"/>
      <w:outlineLvl w:val="0"/>
    </w:pPr>
    <w:rPr>
      <w:rFonts w:ascii="Inter" w:asciiTheme="majorHAnsi" w:cstheme="majorBidi" w:eastAsia="Inter" w:eastAsiaTheme="majorEastAsia" w:hAnsi="Inter" w:hAnsiTheme="majorHAnsi"/>
      <w:b/>
      <w:bCs/>
      <w:color w:val="142D48"/>
      <w:sz w:val="3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outlineLvl w:val="1"/>
    </w:pPr>
    <w:rPr>
      <w:rFonts w:ascii="Inter" w:asciiTheme="majorHAnsi" w:cstheme="majorBidi" w:eastAsia="Inter" w:eastAsiaTheme="majorEastAsia" w:hAnsi="Inter" w:hAnsiTheme="majorHAnsi"/>
      <w:b/>
      <w:bCs/>
      <w:color w:val="1F3F5B"/>
      <w:sz w:val="23"/>
      <w:szCs w:val="26"/>
    </w:rPr>
  </w:style>
  <w:style w:styleId="Heading3" w:type="paragraph">
    <w:name w:val="heading 3"/>
    <w:basedOn w:val="Normal"/>
    <w:next w:val="Normal"/>
    <w:link w:val="Heading3Char"/>
    <w:uiPriority w:val="9"/>
    <w:unhideWhenUsed/>
    <w:qFormat/>
    <w:rsid w:val="00FC693F"/>
    <w:pPr>
      <w:keepNext/>
      <w:keepLines/>
      <w:spacing w:after="40" w:before="120"/>
      <w:outlineLvl w:val="2"/>
    </w:pPr>
    <w:rPr>
      <w:rFonts w:ascii="Inter" w:asciiTheme="majorHAnsi" w:cstheme="majorBidi" w:eastAsia="Inter" w:eastAsiaTheme="majorEastAsia" w:hAnsi="Inter" w:hAnsiTheme="majorHAnsi"/>
      <w:b/>
      <w:bCs/>
      <w:color w:val="315069"/>
      <w:sz w:val="21"/>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240" w:before="2400" w:line="240" w:lineRule="auto"/>
      <w:contextualSpacing/>
      <w:jc w:val="center"/>
    </w:pPr>
    <w:rPr>
      <w:rFonts w:ascii="Inter" w:asciiTheme="majorHAnsi" w:cstheme="majorBidi" w:eastAsia="Inter" w:eastAsiaTheme="majorEastAsia" w:hAnsi="Inter" w:hAnsiTheme="majorHAnsi"/>
      <w:b/>
      <w:color w:val="142D48"/>
      <w:spacing w:val="5"/>
      <w:kern w:val="28"/>
      <w:sz w:val="6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480"/>
      <w:jc w:val="center"/>
    </w:pPr>
    <w:rPr>
      <w:rFonts w:ascii="Inter" w:asciiTheme="majorHAnsi" w:cstheme="majorBidi" w:eastAsia="Inter" w:eastAsiaTheme="majorEastAsia" w:hAnsi="Inter" w:hAnsiTheme="majorHAnsi"/>
      <w:i/>
      <w:iCs/>
      <w:color w:val="4C6276"/>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60" w:line="250" w:lineRule="auto"/>
    </w:pPr>
    <w:rPr>
      <w:rFonts w:ascii="Noto Serif" w:eastAsia="Noto Serif" w:hAnsi="Noto Serif"/>
      <w:sz w:val="19"/>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30" w:line="245" w:lineRule="auto"/>
      <w:contextualSpacing/>
    </w:pPr>
    <w:rPr>
      <w:rFonts w:ascii="Noto Serif" w:eastAsia="Noto Serif" w:hAnsi="Noto Serif"/>
      <w:sz w:val="18"/>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30" w:line="245" w:lineRule="auto"/>
      <w:contextualSpacing/>
    </w:pPr>
    <w:rPr>
      <w:rFonts w:ascii="Noto Serif" w:eastAsia="Noto Serif" w:hAnsi="Noto Serif"/>
      <w:sz w:val="18"/>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Inter" w:eastAsia="Inter" w:hAnsi="Inter"/>
      <w:b/>
      <w:bCs/>
      <w:i/>
      <w:color w:val="5A646E"/>
      <w:sz w:val="16"/>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Inter" w:eastAsia="Inter" w:hAnsi="Inter"/>
      <w:sz w:val="16"/>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Restoration Act of 2026</dc:title>
  <dc:creator>Prepared in legislative-counsel format</dc:creator>
  <dc:language>en-US</dc:language>
  <cp:keywords/>
  <dcterms:created xsi:type="dcterms:W3CDTF">2026-07-16T04:51:19Z</dcterms:created>
  <dcterms:modified xsi:type="dcterms:W3CDTF">2026-07-16T04:51:19Z</dcterms:modified>
  <dc:subject>Complete model federal legislative package, constitutional analysis, fiscal note, and implementation plan</dc:subject>
  <dc:description>Model legislation for policy development; not introduced bill text or official CBO score.</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July 2026</vt:lpwstr>
  </property>
  <property fmtid="{D5CDD505-2E9C-101B-9397-08002B2CF9AE}" pid="3" name="subtitle">
    <vt:lpwstr>Model Federal Legislative Package</vt:lpwstr>
  </property>
</Properties>
</file>